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61B08">
      <w:pPr>
        <w:jc w:val="center"/>
        <w:rPr>
          <w:rFonts w:ascii="Cambria" w:hAnsi="Cambria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1858010</wp:posOffset>
                </wp:positionV>
                <wp:extent cx="5170805" cy="473710"/>
                <wp:effectExtent l="0" t="0" r="0" b="2540"/>
                <wp:wrapNone/>
                <wp:docPr id="48120730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1012" cy="4739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FB72E1">
                            <w:pPr>
                              <w:widowControl/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5"/>
                                <w:szCs w:val="15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5"/>
                                <w:szCs w:val="15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Written informed consent was obtained from patients. This study involving human - related aspects was approved by the relevant ethics committee. For animal - related procedures, all followed the Guide for the Care and Use of Laboratory Animals (GB/T 35892 - 2018) and were approved by the relevant institutional animal care and use committee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color w:val="FFFFFF" w:themeColor="background1"/>
                                <w:sz w:val="15"/>
                                <w:szCs w:val="15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0.55pt;margin-top:146.3pt;height:37.3pt;width:407.15pt;z-index:251660288;v-text-anchor:middle;mso-width-relative:page;mso-height-relative:page;" filled="f" stroked="f" coordsize="21600,21600" o:gfxdata="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Ws0HjcAAAACgEAAA8AAAAAAAAA&#10;AQAgAAAAIgAAAGRycy9kb3ducmV2LnhtbFBLAQIUABQAAAAIAIdO4kAtCBZIRgIAAHAEAAAOAAAA&#10;AAAAAAEAIAAAACs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FB72E1">
                      <w:pPr>
                        <w:widowControl/>
                        <w:spacing w:line="0" w:lineRule="atLeast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5"/>
                          <w:szCs w:val="15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15"/>
                          <w:szCs w:val="15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Written informed consent was obtained from patients. This study involving human - related aspects was approved by the relevant ethics committee. For animal - related procedures, all followed the Guide for the Care and Use of Laboratory Animals (GB/T 35892 - 2018) and were approved by the relevant institutional animal care and use committee</w:t>
                      </w:r>
                      <w:r>
                        <w:rPr>
                          <w:rFonts w:hint="eastAsia" w:ascii="Times New Roman" w:hAnsi="Times New Roman" w:cs="Times New Roman"/>
                          <w:color w:val="FFFFFF" w:themeColor="background1"/>
                          <w:sz w:val="15"/>
                          <w:szCs w:val="15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1084580</wp:posOffset>
                </wp:positionH>
                <wp:positionV relativeFrom="paragraph">
                  <wp:posOffset>7185660</wp:posOffset>
                </wp:positionV>
                <wp:extent cx="3321685" cy="21082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1685" cy="211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E4808A">
                            <w:pPr>
                              <w:widowControl/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eastAsia="宋体" w:cs="Times New Roman"/>
                                <w:color w:val="000000" w:themeColor="text1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This study was supported by a national funding body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</w:t>
                            </w:r>
                          </w:p>
                          <w:p w14:paraId="23273D58">
                            <w:pPr>
                              <w:widowControl/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5.4pt;margin-top:565.8pt;height:16.6pt;width:261.55pt;z-index:251662336;mso-width-relative:page;mso-height-relative:page;" filled="f" stroked="f" coordsize="21600,21600" o:gfxdata="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fj8U7dAAAADQEAAA8AAAAAAAAAAQAgAAAAIgAA&#10;AGRycy9kb3ducmV2LnhtbFBLAQIUABQAAAAIAIdO4kDzTdSgPAIAAGY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4E4808A">
                      <w:pPr>
                        <w:widowControl/>
                        <w:spacing w:line="0" w:lineRule="atLeast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eastAsia="宋体" w:cs="Times New Roman"/>
                          <w:color w:val="000000" w:themeColor="text1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This study was supported by a national funding body</w:t>
                      </w: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</w:p>
                    <w:p w14:paraId="23273D58">
                      <w:pPr>
                        <w:widowControl/>
                        <w:spacing w:line="0" w:lineRule="atLeast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lang w:val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509270</wp:posOffset>
            </wp:positionV>
            <wp:extent cx="5421630" cy="7668260"/>
            <wp:effectExtent l="0" t="0" r="7620" b="8890"/>
            <wp:wrapSquare wrapText="bothSides"/>
            <wp:docPr id="18918467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846728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766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PRILE 2021 Flowchart</w:t>
      </w:r>
    </w:p>
    <w:p w14:paraId="34E33AC4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sz w:val="24"/>
          <w:lang w:val="en-GB"/>
        </w:rPr>
        <w:t>F</w:t>
      </w:r>
      <w:r>
        <w:rPr>
          <w:rFonts w:hint="eastAsia" w:ascii="Times New Roman" w:hAnsi="Times New Roman" w:cs="Times New Roman"/>
          <w:b/>
          <w:bCs/>
          <w:sz w:val="24"/>
        </w:rPr>
        <w:t>ig</w:t>
      </w:r>
      <w:r>
        <w:rPr>
          <w:rFonts w:ascii="Times New Roman" w:hAnsi="Times New Roman" w:cs="Times New Roman"/>
          <w:b/>
          <w:bCs/>
          <w:sz w:val="24"/>
          <w:lang w:val="en-GB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>S</w:t>
      </w:r>
      <w:r>
        <w:rPr>
          <w:rFonts w:ascii="Times New Roman" w:hAnsi="Times New Roman" w:cs="Times New Roman"/>
          <w:b/>
          <w:bCs/>
          <w:sz w:val="24"/>
          <w:lang w:val="en-GB"/>
        </w:rPr>
        <w:t>1</w:t>
      </w:r>
      <w:r>
        <w:rPr>
          <w:rFonts w:ascii="宋体" w:hAnsi="宋体" w:eastAsia="宋体" w:cs="宋体"/>
          <w:sz w:val="24"/>
        </w:rPr>
        <w:t xml:space="preserve"> </w:t>
      </w:r>
      <w:r>
        <w:rPr>
          <w:rFonts w:hint="eastAsia" w:ascii="宋体" w:hAnsi="宋体" w:eastAsia="宋体" w:cs="宋体"/>
          <w:sz w:val="24"/>
        </w:rPr>
        <w:t xml:space="preserve"> </w:t>
      </w:r>
      <w:r>
        <w:rPr>
          <w:rFonts w:ascii="Times New Roman" w:hAnsi="Times New Roman" w:cs="Times New Roman"/>
          <w:lang w:val="en-GB"/>
        </w:rPr>
        <w:t>Preferred Reporting Items for Laboratory studies in Endodontology (PRILE) 2021 flowchart</w:t>
      </w:r>
    </w:p>
    <w:p w14:paraId="154DE531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37CA11E4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hint="eastAsia" w:ascii="Times New Roman" w:hAnsi="Times New Roman" w:cs="Times New Roman"/>
          <w:sz w:val="22"/>
          <w:szCs w:val="22"/>
          <w:lang w:val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-1121410</wp:posOffset>
            </wp:positionH>
            <wp:positionV relativeFrom="paragraph">
              <wp:posOffset>33655</wp:posOffset>
            </wp:positionV>
            <wp:extent cx="7519035" cy="4231005"/>
            <wp:effectExtent l="0" t="0" r="5715" b="7620"/>
            <wp:wrapTopAndBottom/>
            <wp:docPr id="1" name="图片 1" descr="3.6A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.6AB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9035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lang w:val="en-GB"/>
        </w:rPr>
        <w:t>Fig. S</w:t>
      </w:r>
      <w:r>
        <w:rPr>
          <w:rFonts w:hint="eastAsia" w:ascii="Times New Roman" w:hAnsi="Times New Roman" w:cs="Times New Roman"/>
          <w:b/>
          <w:bCs/>
          <w:sz w:val="24"/>
        </w:rPr>
        <w:t>2</w:t>
      </w:r>
      <w:r>
        <w:rPr>
          <w:rFonts w:ascii="Times New Roman" w:hAnsi="Times New Roman" w:cs="Times New Roman"/>
          <w:b/>
          <w:bCs/>
          <w:sz w:val="24"/>
          <w:lang w:val="en-GB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lang w:val="en-GB"/>
        </w:rPr>
        <w:t>Construction and biocompatibility evaluation of the extracellular vesicle-hydrogel sustained-release system.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GB"/>
        </w:rPr>
        <w:t>A. Live/dead cell staining images of DPSCs co-cultured with Norm-EVs or Hypo-EVs for 120 hours (scale bar = 100 μm). Green fluorescence indicates viable cells (stained with calcein AM), and red fluorescence indicates dead cells (stained with propidium iodide), showing a higher cell survival rate in the Hypo-EVs group; B. Quantitative analysis of live/dead staining. Data are presented as mean ± standard deviation, reflecting the effects of different EV treatments on cell survival; C. In vitro sustained-release curve of Hypo-EVs. The amount of EVs at different time points was detected by the BCA method.</w:t>
      </w:r>
    </w:p>
    <w:p w14:paraId="33CB0EB4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5C872F9E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2897D226">
      <w:pPr>
        <w:spacing w:line="480" w:lineRule="auto"/>
        <w:rPr>
          <w:rFonts w:hint="eastAsia" w:ascii="Times New Roman" w:hAnsi="Times New Roman" w:cs="Times New Roman" w:eastAsiaTheme="minorEastAsia"/>
          <w:sz w:val="22"/>
          <w:szCs w:val="22"/>
          <w:lang w:val="en-GB" w:eastAsia="zh-CN"/>
        </w:rPr>
      </w:pPr>
      <w:r>
        <w:rPr>
          <w:rFonts w:hint="eastAsia" w:ascii="Times New Roman" w:hAnsi="Times New Roman" w:cs="Times New Roman" w:eastAsiaTheme="minorEastAsia"/>
          <w:sz w:val="22"/>
          <w:szCs w:val="22"/>
          <w:lang w:val="en-GB" w:eastAsia="zh-CN"/>
        </w:rPr>
        <w:drawing>
          <wp:inline distT="0" distB="0" distL="114300" distR="114300">
            <wp:extent cx="5271770" cy="5321300"/>
            <wp:effectExtent l="0" t="0" r="5080" b="3175"/>
            <wp:docPr id="3" name="图片 3" descr="补充图剪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补充图剪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A255A">
      <w:pPr>
        <w:spacing w:line="480" w:lineRule="auto"/>
        <w:ind w:firstLine="241" w:firstLineChars="100"/>
        <w:rPr>
          <w:rFonts w:hint="eastAsia" w:ascii="Times New Roman" w:hAnsi="Times New Roman" w:cs="Times New Roman" w:eastAsiaTheme="minorEastAsia"/>
          <w:sz w:val="22"/>
          <w:szCs w:val="22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lang w:val="en-GB"/>
        </w:rPr>
        <w:t>Fig.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4"/>
          <w:lang w:val="en-GB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4"/>
          <w:lang w:val="en-GB"/>
        </w:rPr>
        <w:t>Transcriptomic analysis of DPSCs following EV internalization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A.</w:t>
      </w:r>
      <w:r>
        <w:rPr>
          <w:rFonts w:ascii="Times New Roman" w:hAnsi="Times New Roman" w:cs="Times New Roman"/>
          <w:sz w:val="20"/>
          <w:szCs w:val="20"/>
        </w:rPr>
        <w:t xml:space="preserve"> Hierarchical clustering plot of differentially expressed genes;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B.</w:t>
      </w:r>
      <w:r>
        <w:rPr>
          <w:rFonts w:ascii="Times New Roman" w:hAnsi="Times New Roman" w:cs="Times New Roman"/>
          <w:sz w:val="20"/>
          <w:szCs w:val="20"/>
        </w:rPr>
        <w:t xml:space="preserve"> Radar plot of differentially expressed genes;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C.</w:t>
      </w:r>
      <w:r>
        <w:rPr>
          <w:rFonts w:ascii="Times New Roman" w:hAnsi="Times New Roman" w:cs="Times New Roman"/>
          <w:sz w:val="20"/>
          <w:szCs w:val="20"/>
        </w:rPr>
        <w:t xml:space="preserve"> Chord diagram of top 10 GO enrichments;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D.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Circle plot of KEGG enrichment for differentially expressed genes and background genes, showing the enrichment of genes in pathways in a hierarchical manner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</w:p>
    <w:p w14:paraId="3C03DA78">
      <w:pPr>
        <w:spacing w:line="480" w:lineRule="auto"/>
        <w:rPr>
          <w:rFonts w:hint="eastAsia" w:ascii="Times New Roman" w:hAnsi="Times New Roman" w:cs="Times New Roman" w:eastAsiaTheme="minorEastAsia"/>
          <w:sz w:val="22"/>
          <w:szCs w:val="22"/>
          <w:lang w:val="en-GB" w:eastAsia="zh-CN"/>
        </w:rPr>
      </w:pPr>
    </w:p>
    <w:p w14:paraId="31719CCE">
      <w:pPr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br w:type="page"/>
      </w:r>
    </w:p>
    <w:p w14:paraId="09FE300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Table S1 </w:t>
      </w:r>
      <w:r>
        <w:rPr>
          <w:rFonts w:ascii="Times New Roman" w:hAnsi="Times New Roman" w:cs="Times New Roman"/>
          <w:sz w:val="22"/>
          <w:szCs w:val="22"/>
        </w:rPr>
        <w:t>Primer sequences of linear</w:t>
      </w:r>
      <w:r>
        <w:rPr>
          <w:rFonts w:hint="eastAsia" w:ascii="Times New Roman" w:hAnsi="Times New Roman" w:cs="Times New Roman"/>
          <w:sz w:val="22"/>
          <w:szCs w:val="22"/>
        </w:rPr>
        <w:t xml:space="preserve"> mRNA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Style w:val="4"/>
        <w:tblpPr w:leftFromText="180" w:rightFromText="180" w:vertAnchor="page" w:horzAnchor="page" w:tblpX="1806" w:tblpY="1795"/>
        <w:tblOverlap w:val="never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31"/>
        <w:gridCol w:w="5295"/>
      </w:tblGrid>
      <w:tr w14:paraId="58E0AA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  <w:tblHeader/>
        </w:trPr>
        <w:tc>
          <w:tcPr>
            <w:tcW w:w="1820" w:type="pct"/>
            <w:tcBorders>
              <w:top w:val="single" w:color="000000" w:sz="18" w:space="0"/>
              <w:left w:val="nil"/>
              <w:bottom w:val="single" w:color="000000" w:sz="18" w:space="0"/>
              <w:right w:val="nil"/>
            </w:tcBorders>
            <w:vAlign w:val="center"/>
          </w:tcPr>
          <w:p w14:paraId="27F6664C">
            <w:pPr>
              <w:tabs>
                <w:tab w:val="left" w:pos="4974"/>
              </w:tabs>
              <w:ind w:firstLine="480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Gene</w:t>
            </w:r>
          </w:p>
        </w:tc>
        <w:tc>
          <w:tcPr>
            <w:tcW w:w="3179" w:type="pct"/>
            <w:tcBorders>
              <w:top w:val="single" w:color="000000" w:sz="18" w:space="0"/>
              <w:left w:val="nil"/>
              <w:bottom w:val="single" w:color="000000" w:sz="18" w:space="0"/>
              <w:right w:val="nil"/>
            </w:tcBorders>
            <w:vAlign w:val="center"/>
          </w:tcPr>
          <w:p w14:paraId="4210F46B">
            <w:pPr>
              <w:tabs>
                <w:tab w:val="left" w:pos="4974"/>
              </w:tabs>
              <w:ind w:firstLine="480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Primer sequences</w:t>
            </w:r>
          </w:p>
        </w:tc>
      </w:tr>
      <w:tr w14:paraId="09EB88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1820" w:type="pct"/>
            <w:vMerge w:val="restart"/>
            <w:tcBorders>
              <w:top w:val="single" w:color="000000" w:sz="18" w:space="0"/>
              <w:left w:val="nil"/>
              <w:bottom w:val="nil"/>
              <w:right w:val="nil"/>
              <w:tl2br w:val="nil"/>
            </w:tcBorders>
            <w:shd w:val="clear" w:color="auto" w:fill="FFFFFF"/>
            <w:vAlign w:val="center"/>
          </w:tcPr>
          <w:p w14:paraId="6B2013D0">
            <w:pPr>
              <w:tabs>
                <w:tab w:val="left" w:pos="4974"/>
              </w:tabs>
              <w:ind w:firstLine="48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GAPDH</w:t>
            </w:r>
          </w:p>
        </w:tc>
        <w:tc>
          <w:tcPr>
            <w:tcW w:w="3179" w:type="pct"/>
            <w:tcBorders>
              <w:top w:val="single" w:color="000000" w:sz="18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4C7C2B">
            <w:pPr>
              <w:tabs>
                <w:tab w:val="left" w:pos="4974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Forward：GCACCGTCAAGGCTGAGAAC</w:t>
            </w:r>
          </w:p>
          <w:p w14:paraId="159E9591">
            <w:pPr>
              <w:tabs>
                <w:tab w:val="left" w:pos="4974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Reverse：TGGTGAAGACGCCAGTGGA</w:t>
            </w:r>
          </w:p>
        </w:tc>
      </w:tr>
      <w:tr w14:paraId="0B593C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182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28FE8">
            <w:pPr>
              <w:tabs>
                <w:tab w:val="left" w:pos="4974"/>
              </w:tabs>
              <w:ind w:firstLine="48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</w:rPr>
              <w:t>VEGF</w:t>
            </w:r>
          </w:p>
        </w:tc>
        <w:tc>
          <w:tcPr>
            <w:tcW w:w="3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C34782">
            <w:pPr>
              <w:tabs>
                <w:tab w:val="left" w:pos="4974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Forward：</w:t>
            </w:r>
            <w:r>
              <w:rPr>
                <w:rFonts w:hint="eastAsia" w:ascii="Times New Roman" w:hAnsi="Times New Roman" w:cs="Times New Roman"/>
                <w:color w:val="000000"/>
              </w:rPr>
              <w:t>TGTGAATGCAGACCAAAGAAAGA</w:t>
            </w:r>
          </w:p>
          <w:p w14:paraId="58307630">
            <w:pPr>
              <w:tabs>
                <w:tab w:val="left" w:pos="4974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Reverse：</w:t>
            </w:r>
            <w:r>
              <w:rPr>
                <w:rFonts w:hint="eastAsia" w:ascii="Times New Roman" w:hAnsi="Times New Roman" w:cs="Times New Roman"/>
                <w:color w:val="000000"/>
              </w:rPr>
              <w:t>TTCGTTTAACTCAAGCTGCCTCG</w:t>
            </w:r>
          </w:p>
        </w:tc>
      </w:tr>
      <w:tr w14:paraId="5F2A7B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182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AACD0B">
            <w:pPr>
              <w:tabs>
                <w:tab w:val="left" w:pos="4974"/>
              </w:tabs>
              <w:ind w:firstLine="48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</w:rPr>
              <w:t>FGF2</w:t>
            </w:r>
          </w:p>
        </w:tc>
        <w:tc>
          <w:tcPr>
            <w:tcW w:w="3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3DBE1B">
            <w:pPr>
              <w:tabs>
                <w:tab w:val="left" w:pos="4974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Forward：</w:t>
            </w:r>
            <w:r>
              <w:rPr>
                <w:rFonts w:hint="eastAsia" w:ascii="Times New Roman" w:hAnsi="Times New Roman" w:cs="Times New Roman"/>
                <w:color w:val="000000"/>
              </w:rPr>
              <w:t>GCTGTACTGCAAAAACGGGG</w:t>
            </w:r>
          </w:p>
          <w:p w14:paraId="4E97640B">
            <w:pPr>
              <w:tabs>
                <w:tab w:val="left" w:pos="4974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Reverse：</w:t>
            </w:r>
            <w:r>
              <w:rPr>
                <w:rFonts w:hint="eastAsia" w:ascii="Times New Roman" w:hAnsi="Times New Roman" w:cs="Times New Roman"/>
                <w:color w:val="000000"/>
              </w:rPr>
              <w:t>TCCGTGACCGGTAAGTATTG</w:t>
            </w:r>
          </w:p>
        </w:tc>
      </w:tr>
      <w:tr w14:paraId="14EFB1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182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3E85BC">
            <w:pPr>
              <w:tabs>
                <w:tab w:val="left" w:pos="4974"/>
              </w:tabs>
              <w:ind w:firstLine="48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</w:rPr>
              <w:t>ANG1</w:t>
            </w:r>
          </w:p>
        </w:tc>
        <w:tc>
          <w:tcPr>
            <w:tcW w:w="3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1B334D">
            <w:pPr>
              <w:tabs>
                <w:tab w:val="left" w:pos="4974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Forward：</w:t>
            </w:r>
            <w:r>
              <w:rPr>
                <w:rFonts w:hint="eastAsia" w:ascii="Times New Roman" w:hAnsi="Times New Roman" w:cs="Times New Roman"/>
                <w:color w:val="000000"/>
              </w:rPr>
              <w:t>CAGTGCCACAGAGTGGAAGA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F16FC9E">
            <w:pPr>
              <w:tabs>
                <w:tab w:val="left" w:pos="4974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Reverse：</w:t>
            </w:r>
            <w:r>
              <w:rPr>
                <w:rFonts w:hint="eastAsia" w:ascii="Times New Roman" w:hAnsi="Times New Roman" w:cs="Times New Roman"/>
                <w:color w:val="000000"/>
              </w:rPr>
              <w:t>GCTGGTAGGTGTTGCTGATG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14:paraId="276EBF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182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7B2E6">
            <w:pPr>
              <w:tabs>
                <w:tab w:val="left" w:pos="4974"/>
              </w:tabs>
              <w:ind w:firstLine="48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ALP</w:t>
            </w:r>
          </w:p>
        </w:tc>
        <w:tc>
          <w:tcPr>
            <w:tcW w:w="3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4C183D">
            <w:pPr>
              <w:tabs>
                <w:tab w:val="left" w:pos="4974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Forward：GACCCTTGACCCCCACAAT</w:t>
            </w:r>
          </w:p>
          <w:p w14:paraId="7AD6DE7D">
            <w:pPr>
              <w:tabs>
                <w:tab w:val="left" w:pos="4974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Reverse：GCTCGTACTGCATGTCCCCT</w:t>
            </w:r>
          </w:p>
        </w:tc>
      </w:tr>
      <w:tr w14:paraId="3E23BC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182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E39041">
            <w:pPr>
              <w:tabs>
                <w:tab w:val="left" w:pos="4974"/>
              </w:tabs>
              <w:ind w:firstLine="48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OCN</w:t>
            </w:r>
          </w:p>
        </w:tc>
        <w:tc>
          <w:tcPr>
            <w:tcW w:w="3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CDEB62">
            <w:pPr>
              <w:tabs>
                <w:tab w:val="left" w:pos="4974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Forward：GGCAGCGAGGTAGTGAAGA</w:t>
            </w:r>
          </w:p>
          <w:p w14:paraId="0736D30B">
            <w:pPr>
              <w:tabs>
                <w:tab w:val="left" w:pos="4974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Reverse：CCTGAAAGCCGATGTGGT</w:t>
            </w:r>
          </w:p>
        </w:tc>
      </w:tr>
      <w:tr w14:paraId="21124E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072786">
            <w:pPr>
              <w:tabs>
                <w:tab w:val="left" w:pos="4974"/>
              </w:tabs>
              <w:ind w:firstLine="48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RUNX-2</w:t>
            </w:r>
          </w:p>
        </w:tc>
        <w:tc>
          <w:tcPr>
            <w:tcW w:w="3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3D40AE">
            <w:pPr>
              <w:tabs>
                <w:tab w:val="left" w:pos="4974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Forward：ACCCAGAAGGCACAGACAGAAG </w:t>
            </w:r>
          </w:p>
          <w:p w14:paraId="6F2C54ED">
            <w:pPr>
              <w:tabs>
                <w:tab w:val="left" w:pos="4974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Reverse：AGGAATGCGCCCTAAATCACT </w:t>
            </w:r>
          </w:p>
        </w:tc>
      </w:tr>
      <w:tr w14:paraId="40E572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A0FE2D">
            <w:pPr>
              <w:tabs>
                <w:tab w:val="left" w:pos="4974"/>
              </w:tabs>
              <w:ind w:firstLine="48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DSPP</w:t>
            </w:r>
          </w:p>
        </w:tc>
        <w:tc>
          <w:tcPr>
            <w:tcW w:w="3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7A2E664">
            <w:pPr>
              <w:tabs>
                <w:tab w:val="left" w:pos="4974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Forward：ATATTGAGGGCTGGAATGGGGA</w:t>
            </w:r>
          </w:p>
          <w:p w14:paraId="1B98E486">
            <w:pPr>
              <w:tabs>
                <w:tab w:val="left" w:pos="4974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Reverse：TTTGTGGCTCCAGCATTGTCA</w:t>
            </w:r>
          </w:p>
        </w:tc>
      </w:tr>
      <w:tr w14:paraId="0BC207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9" w:hRule="atLeast"/>
        </w:trPr>
        <w:tc>
          <w:tcPr>
            <w:tcW w:w="182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459CD059">
            <w:pPr>
              <w:tabs>
                <w:tab w:val="left" w:pos="4974"/>
              </w:tabs>
              <w:ind w:firstLine="48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DMP-1</w:t>
            </w:r>
          </w:p>
        </w:tc>
        <w:tc>
          <w:tcPr>
            <w:tcW w:w="31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4151C87E">
            <w:pPr>
              <w:tabs>
                <w:tab w:val="left" w:pos="4974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Forward：TTGACAATGAGGACCGGGTG</w:t>
            </w:r>
          </w:p>
          <w:p w14:paraId="50384182">
            <w:pPr>
              <w:tabs>
                <w:tab w:val="left" w:pos="4974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Reverse：TCCTGATGCTCTCTGGGTCA</w:t>
            </w:r>
          </w:p>
        </w:tc>
      </w:tr>
    </w:tbl>
    <w:p w14:paraId="1E3EEC42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removePersonalInformation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FE573D"/>
    <w:rsid w:val="00013B33"/>
    <w:rsid w:val="00184EB6"/>
    <w:rsid w:val="001C370D"/>
    <w:rsid w:val="00481F64"/>
    <w:rsid w:val="005B4E92"/>
    <w:rsid w:val="007527E8"/>
    <w:rsid w:val="00886A87"/>
    <w:rsid w:val="008E2F0C"/>
    <w:rsid w:val="009110A4"/>
    <w:rsid w:val="00B05E33"/>
    <w:rsid w:val="00BE0605"/>
    <w:rsid w:val="00E90DB8"/>
    <w:rsid w:val="00EE318B"/>
    <w:rsid w:val="00FB755C"/>
    <w:rsid w:val="13A8777A"/>
    <w:rsid w:val="3FB71121"/>
    <w:rsid w:val="58FE573D"/>
    <w:rsid w:val="6D3D14C4"/>
    <w:rsid w:val="6DFB1577"/>
    <w:rsid w:val="7FAE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rPr>
      <w:rFonts w:ascii="Times New Roman" w:hAnsi="Times New Roman"/>
    </w:r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195</Words>
  <Characters>1323</Characters>
  <Lines>10</Lines>
  <Paragraphs>3</Paragraphs>
  <TotalTime>4</TotalTime>
  <ScaleCrop>false</ScaleCrop>
  <LinksUpToDate>false</LinksUpToDate>
  <CharactersWithSpaces>1457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2025-08-01T13:15:00Z</dcterms:created>
  <dcterms:modified xsi:type="dcterms:W3CDTF">2026-01-05T06:06:56Z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eyJoZGlkIjoiMGViZDZkZjlhYWNjMTU1NWE4NzBlZTAxZDZhMzBjODAiLCJ1c2VySWQiOiI0MDM4Njg5NDQifQ==</vt:lpwstr>
  </property>
  <property fmtid="{D5CDD505-2E9C-101B-9397-08002B2CF9AE}" pid="3" name="KSOProductBuildVer">
    <vt:lpwstr>2052-12.1.0.24034</vt:lpwstr>
  </property>
  <property fmtid="{D5CDD505-2E9C-101B-9397-08002B2CF9AE}" pid="4" name="ICV">
    <vt:lpwstr>B8A0C3E568944F45BED2FC537F7AA982_12</vt:lpwstr>
  </property>
</Properties>
</file>