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F7" w:rsidRDefault="00D87AF7" w:rsidP="005B567D">
      <w:pPr>
        <w:pStyle w:val="TableTitle"/>
      </w:pPr>
      <w:r>
        <w:t>STROBE Statement—checklist of items that should be included in reports of observational studies</w:t>
      </w:r>
    </w:p>
    <w:p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rsidTr="00E341E9">
        <w:tc>
          <w:tcPr>
            <w:tcW w:w="1951" w:type="dxa"/>
          </w:tcPr>
          <w:p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191A23" w:rsidRPr="0022554A" w:rsidRDefault="00191A23" w:rsidP="0022554A">
            <w:pPr>
              <w:pStyle w:val="TableHeader"/>
              <w:tabs>
                <w:tab w:val="left" w:pos="5400"/>
              </w:tabs>
              <w:jc w:val="center"/>
              <w:rPr>
                <w:bCs/>
                <w:sz w:val="20"/>
              </w:rPr>
            </w:pPr>
            <w:r>
              <w:rPr>
                <w:bCs/>
                <w:sz w:val="20"/>
              </w:rPr>
              <w:t>Item No.</w:t>
            </w:r>
          </w:p>
        </w:tc>
        <w:tc>
          <w:tcPr>
            <w:tcW w:w="8031" w:type="dxa"/>
            <w:vAlign w:val="bottom"/>
          </w:tcPr>
          <w:p w:rsidR="00191A23" w:rsidRPr="0022554A" w:rsidRDefault="00191A23" w:rsidP="0022554A">
            <w:pPr>
              <w:pStyle w:val="TableHeader"/>
              <w:tabs>
                <w:tab w:val="left" w:pos="5400"/>
              </w:tabs>
              <w:jc w:val="center"/>
              <w:rPr>
                <w:bCs/>
                <w:sz w:val="20"/>
              </w:rPr>
            </w:pPr>
            <w:r>
              <w:rPr>
                <w:bCs/>
                <w:sz w:val="20"/>
              </w:rPr>
              <w:t>Recommendation</w:t>
            </w:r>
          </w:p>
        </w:tc>
        <w:tc>
          <w:tcPr>
            <w:tcW w:w="1559" w:type="dxa"/>
          </w:tcPr>
          <w:p w:rsidR="00191A23" w:rsidRPr="0022554A" w:rsidRDefault="00191A23" w:rsidP="00976EE1">
            <w:pPr>
              <w:pStyle w:val="TableHeader"/>
              <w:tabs>
                <w:tab w:val="left" w:pos="5400"/>
              </w:tabs>
              <w:jc w:val="center"/>
              <w:rPr>
                <w:bCs/>
                <w:sz w:val="20"/>
              </w:rPr>
            </w:pPr>
            <w:r>
              <w:rPr>
                <w:bCs/>
                <w:sz w:val="20"/>
              </w:rPr>
              <w:t xml:space="preserve">Page </w:t>
              <w:br/>
              <w:t>No.</w:t>
            </w:r>
          </w:p>
        </w:tc>
        <w:tc>
          <w:tcPr>
            <w:tcW w:w="2835" w:type="dxa"/>
          </w:tcPr>
          <w:p w:rsidR="00191A23" w:rsidRPr="0022554A" w:rsidRDefault="00517788" w:rsidP="00517788">
            <w:pPr>
              <w:pStyle w:val="TableHeader"/>
              <w:tabs>
                <w:tab w:val="left" w:pos="5400"/>
              </w:tabs>
              <w:jc w:val="center"/>
              <w:rPr>
                <w:bCs/>
                <w:sz w:val="20"/>
              </w:rPr>
            </w:pPr>
            <w:r>
              <w:rPr>
                <w:bCs/>
                <w:sz w:val="20"/>
              </w:rPr>
              <w:t>Relevant text from manuscript</w:t>
            </w:r>
          </w:p>
        </w:tc>
      </w:tr>
      <w:tr w:rsidR="00191A23" w:rsidRPr="0022554A" w:rsidTr="00E341E9">
        <w:tc>
          <w:tcPr>
            <w:tcW w:w="1951" w:type="dxa"/>
            <w:vMerge w:val="restart"/>
          </w:tcPr>
          <w:p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Pr>
                <w:b/>
                <w:sz w:val="20"/>
              </w:rPr>
              <w:t>Title and abstract</w:t>
            </w:r>
            <w:bookmarkEnd w:id="9"/>
            <w:bookmarkEnd w:id="10"/>
          </w:p>
        </w:tc>
        <w:tc>
          <w:tcPr>
            <w:tcW w:w="616" w:type="dxa"/>
            <w:vMerge w:val="restart"/>
          </w:tcPr>
          <w:p w:rsidR="00191A23" w:rsidRPr="0022554A" w:rsidRDefault="00191A23" w:rsidP="0022554A">
            <w:pPr>
              <w:tabs>
                <w:tab w:val="left" w:pos="5400"/>
              </w:tabs>
              <w:jc w:val="center"/>
              <w:rPr>
                <w:sz w:val="20"/>
              </w:rPr>
            </w:pPr>
            <w:r>
              <w:rPr>
                <w:sz w:val="20"/>
              </w:rPr>
              <w:t>1</w:t>
            </w:r>
          </w:p>
        </w:tc>
        <w:tc>
          <w:tcPr>
            <w:tcW w:w="8031" w:type="dxa"/>
          </w:tcPr>
          <w:p w:rsidR="00191A23" w:rsidRPr="0022554A" w:rsidRDefault="00191A23" w:rsidP="0022554A">
            <w:pPr>
              <w:tabs>
                <w:tab w:val="left" w:pos="5400"/>
              </w:tabs>
              <w:rPr>
                <w:sz w:val="20"/>
              </w:rPr>
            </w:pPr>
            <w:r>
              <w:rPr>
                <w:sz w:val="20"/>
              </w:rPr>
              <w:t>(</w:t>
            </w:r>
            <w:r>
              <w:rPr>
                <w:i/>
                <w:sz w:val="20"/>
              </w:rPr>
              <w:t>a</w:t>
            </w:r>
            <w:r>
              <w:rPr>
                <w:sz w:val="20"/>
              </w:rPr>
              <w:t>) Indicate the study’s design with a commonly used term in the title or the abstract</w:t>
            </w:r>
          </w:p>
        </w:tc>
        <w:tc>
          <w:tcPr>
            <w:tcW w:w="1559" w:type="dxa"/>
          </w:tcPr>
          <w:p w:rsidR="00191A23" w:rsidRPr="0022554A" w:rsidRDefault="00191A23" w:rsidP="0022554A">
            <w:pPr>
              <w:tabs>
                <w:tab w:val="left" w:pos="5400"/>
              </w:tabs>
              <w:rPr>
                <w:sz w:val="20"/>
              </w:rPr>
            </w:pPr>
            <w:r>
              <w:rPr>
                <w:sz w:val="20"/>
              </w:rPr>
              <w:t xml:space="preserve">1</w:t>
            </w:r>
          </w:p>
        </w:tc>
        <w:tc>
          <w:tcPr>
            <w:tcW w:w="2835" w:type="dxa"/>
          </w:tcPr>
          <w:p w:rsidR="00191A23" w:rsidRPr="0022554A" w:rsidRDefault="00191A23" w:rsidP="0022554A">
            <w:pPr>
              <w:tabs>
                <w:tab w:val="left" w:pos="5400"/>
              </w:tabs>
              <w:rPr>
                <w:sz w:val="20"/>
              </w:rPr>
            </w:pPr>
            <w:r>
              <w:rPr>
                <w:sz w:val="20"/>
              </w:rPr>
              <w:t xml:space="preserve">Title: “Incidental Moderate Aortic Stenosis and 90-Day Mortality in Non-Cardiac Critical Illness: A Retrospective Cohort Study Using the MIMIC-IV Echocardiography Database.” The retrospective cohort design is also stated in the Abstract and Methods.</w:t>
            </w:r>
          </w:p>
        </w:tc>
      </w:tr>
      <w:tr w:rsidR="00191A23" w:rsidRPr="0022554A" w:rsidTr="00E341E9">
        <w:tc>
          <w:tcPr>
            <w:tcW w:w="1951" w:type="dxa"/>
            <w:vMerge/>
          </w:tcPr>
          <w:p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1559" w:type="dxa"/>
          </w:tcPr>
          <w:p w:rsidR="00191A23" w:rsidRPr="0022554A" w:rsidRDefault="00191A23" w:rsidP="0022554A">
            <w:pPr>
              <w:tabs>
                <w:tab w:val="left" w:pos="5400"/>
              </w:tabs>
              <w:rPr>
                <w:sz w:val="20"/>
              </w:rPr>
            </w:pPr>
            <w:r>
              <w:rPr>
                <w:sz w:val="20"/>
              </w:rPr>
              <w:t xml:space="preserve">1–2</w:t>
            </w:r>
          </w:p>
        </w:tc>
        <w:tc>
          <w:tcPr>
            <w:tcW w:w="2835" w:type="dxa"/>
          </w:tcPr>
          <w:p w:rsidR="00191A23" w:rsidRPr="0022554A" w:rsidRDefault="00191A23" w:rsidP="0022554A">
            <w:pPr>
              <w:tabs>
                <w:tab w:val="left" w:pos="5400"/>
              </w:tabs>
              <w:rPr>
                <w:sz w:val="20"/>
              </w:rPr>
            </w:pPr>
            <w:r>
              <w:rPr>
                <w:sz w:val="20"/>
              </w:rPr>
              <w:t xml:space="preserve">Abstract: a structured summary gives the objective, the MIMIC-IV/MIMIC-IV-ECHO cohort, the exposure (incidentally detected moderate aortic stenosis graded by peak velocity), the 90-day mortality outcome, the Cox, propensity-matching and concordance analyses, and the principal results.</w:t>
            </w: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13" w:name="bold7"/>
            <w:bookmarkStart w:id="14" w:name="italic8"/>
            <w:bookmarkEnd w:id="11"/>
            <w:bookmarkEnd w:id="12"/>
            <w:r>
              <w:rPr>
                <w:sz w:val="20"/>
              </w:rPr>
              <w:t>Introduction</w:t>
            </w:r>
          </w:p>
        </w:tc>
        <w:bookmarkEnd w:id="13"/>
        <w:bookmarkEnd w:id="14"/>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5" w:name="bold8"/>
            <w:bookmarkStart w:id="16" w:name="italic9"/>
            <w:r>
              <w:rPr>
                <w:bCs/>
                <w:sz w:val="20"/>
              </w:rPr>
              <w:t>Background/</w:t>
            </w:r>
            <w:bookmarkStart w:id="17" w:name="bold9"/>
            <w:bookmarkStart w:id="18" w:name="italic10"/>
            <w:bookmarkEnd w:id="15"/>
            <w:bookmarkEnd w:id="16"/>
            <w:r>
              <w:rPr>
                <w:bCs/>
                <w:sz w:val="20"/>
              </w:rPr>
              <w:t>rationale</w:t>
            </w:r>
            <w:bookmarkEnd w:id="17"/>
            <w:bookmarkEnd w:id="18"/>
          </w:p>
        </w:tc>
        <w:tc>
          <w:tcPr>
            <w:tcW w:w="616" w:type="dxa"/>
          </w:tcPr>
          <w:p w:rsidR="00191A23" w:rsidRPr="0022554A" w:rsidRDefault="00191A23" w:rsidP="0022554A">
            <w:pPr>
              <w:tabs>
                <w:tab w:val="left" w:pos="5400"/>
              </w:tabs>
              <w:jc w:val="center"/>
              <w:rPr>
                <w:sz w:val="20"/>
              </w:rPr>
            </w:pPr>
            <w:r>
              <w:rPr>
                <w:sz w:val="20"/>
              </w:rPr>
              <w:t>2</w:t>
            </w:r>
          </w:p>
        </w:tc>
        <w:tc>
          <w:tcPr>
            <w:tcW w:w="8031" w:type="dxa"/>
          </w:tcPr>
          <w:p w:rsidR="00191A23" w:rsidRPr="0022554A" w:rsidRDefault="00191A23" w:rsidP="0022554A">
            <w:pPr>
              <w:tabs>
                <w:tab w:val="left" w:pos="5400"/>
              </w:tabs>
              <w:rPr>
                <w:sz w:val="20"/>
              </w:rPr>
            </w:pPr>
            <w:r>
              <w:rPr>
                <w:sz w:val="20"/>
              </w:rPr>
              <w:t>Explain the scientific background and rationale for the investigation being reported</w:t>
            </w:r>
          </w:p>
        </w:tc>
        <w:tc>
          <w:tcPr>
            <w:tcW w:w="1559" w:type="dxa"/>
          </w:tcPr>
          <w:p w:rsidR="00191A23" w:rsidRPr="0022554A" w:rsidRDefault="00191A23" w:rsidP="0022554A">
            <w:pPr>
              <w:tabs>
                <w:tab w:val="left" w:pos="5400"/>
              </w:tabs>
              <w:rPr>
                <w:sz w:val="20"/>
              </w:rPr>
            </w:pPr>
            <w:r>
              <w:rPr>
                <w:sz w:val="20"/>
              </w:rPr>
              <w:t xml:space="preserve">2–3</w:t>
            </w:r>
          </w:p>
        </w:tc>
        <w:tc>
          <w:tcPr>
            <w:tcW w:w="2835" w:type="dxa"/>
          </w:tcPr>
          <w:p w:rsidR="00191A23" w:rsidRPr="0022554A" w:rsidRDefault="00191A23" w:rsidP="0022554A">
            <w:pPr>
              <w:tabs>
                <w:tab w:val="left" w:pos="5400"/>
              </w:tabs>
              <w:rPr>
                <w:sz w:val="20"/>
              </w:rPr>
            </w:pPr>
            <w:r>
              <w:rPr>
                <w:sz w:val="20"/>
              </w:rPr>
              <w:t xml:space="preserve">Background: the prevalence and prognostic importance of aortic stenosis and the evidence linking moderate disease to reduced survival are explained, together with the gaps that its significance when detected incidentally in non-cardiac ICU patients is unknown and that velocity-based grading is flow-dependent.</w:t>
            </w:r>
          </w:p>
        </w:tc>
      </w:tr>
      <w:tr w:rsidR="00191A23" w:rsidRPr="0022554A" w:rsidTr="00E341E9">
        <w:tc>
          <w:tcPr>
            <w:tcW w:w="1951" w:type="dxa"/>
          </w:tcPr>
          <w:p w:rsidR="00191A23" w:rsidRPr="0022554A" w:rsidRDefault="00191A23" w:rsidP="0022554A">
            <w:pPr>
              <w:tabs>
                <w:tab w:val="left" w:pos="5400"/>
              </w:tabs>
              <w:rPr>
                <w:bCs/>
                <w:sz w:val="20"/>
              </w:rPr>
            </w:pPr>
            <w:bookmarkStart w:id="19" w:name="bold10" w:colFirst="0" w:colLast="0"/>
            <w:bookmarkStart w:id="20" w:name="italic11" w:colFirst="0" w:colLast="0"/>
            <w:r>
              <w:rPr>
                <w:bCs/>
                <w:sz w:val="20"/>
              </w:rPr>
              <w:t>Objectives</w:t>
            </w:r>
          </w:p>
        </w:tc>
        <w:tc>
          <w:tcPr>
            <w:tcW w:w="616" w:type="dxa"/>
          </w:tcPr>
          <w:p w:rsidR="00191A23" w:rsidRPr="0022554A" w:rsidRDefault="00191A23" w:rsidP="0022554A">
            <w:pPr>
              <w:tabs>
                <w:tab w:val="left" w:pos="5400"/>
              </w:tabs>
              <w:jc w:val="center"/>
              <w:rPr>
                <w:sz w:val="20"/>
              </w:rPr>
            </w:pPr>
            <w:r>
              <w:rPr>
                <w:sz w:val="20"/>
              </w:rPr>
              <w:t>3</w:t>
            </w:r>
          </w:p>
        </w:tc>
        <w:tc>
          <w:tcPr>
            <w:tcW w:w="8031" w:type="dxa"/>
          </w:tcPr>
          <w:p w:rsidR="00191A23" w:rsidRPr="0022554A" w:rsidRDefault="00191A23" w:rsidP="0022554A">
            <w:pPr>
              <w:tabs>
                <w:tab w:val="left" w:pos="5400"/>
              </w:tabs>
              <w:rPr>
                <w:sz w:val="20"/>
              </w:rPr>
            </w:pPr>
            <w:r>
              <w:rPr>
                <w:sz w:val="20"/>
              </w:rPr>
              <w:t>State specific objectives, including any prespecified hypotheses</w:t>
            </w:r>
          </w:p>
        </w:tc>
        <w:tc>
          <w:tcPr>
            <w:tcW w:w="1559" w:type="dxa"/>
          </w:tcPr>
          <w:p w:rsidR="00191A23" w:rsidRPr="0022554A" w:rsidRDefault="00191A23" w:rsidP="0022554A">
            <w:pPr>
              <w:tabs>
                <w:tab w:val="left" w:pos="5400"/>
              </w:tabs>
              <w:rPr>
                <w:sz w:val="20"/>
              </w:rPr>
            </w:pPr>
            <w:r>
              <w:rPr>
                <w:sz w:val="20"/>
              </w:rPr>
              <w:t xml:space="preserve">3</w:t>
            </w:r>
          </w:p>
        </w:tc>
        <w:tc>
          <w:tcPr>
            <w:tcW w:w="2835" w:type="dxa"/>
          </w:tcPr>
          <w:p w:rsidR="00191A23" w:rsidRPr="0022554A" w:rsidRDefault="00191A23" w:rsidP="0022554A">
            <w:pPr>
              <w:tabs>
                <w:tab w:val="left" w:pos="5400"/>
              </w:tabs>
              <w:rPr>
                <w:sz w:val="20"/>
              </w:rPr>
            </w:pPr>
            <w:r>
              <w:rPr>
                <w:sz w:val="20"/>
              </w:rPr>
              <w:t xml:space="preserve">Background (final paragraph): the aim was to examine the association between incidentally detected moderate aortic stenosis and 90-day mortality in non-cardiac ICU adults, using a fixed echocardiogram-anchored window, multivariable and propensity-score adjustment, and a velocity–gradient concordance analysis.</w:t>
            </w: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21" w:name="bold11"/>
            <w:bookmarkStart w:id="22" w:name="italic12"/>
            <w:bookmarkEnd w:id="19"/>
            <w:bookmarkEnd w:id="20"/>
            <w:r>
              <w:rPr>
                <w:sz w:val="20"/>
              </w:rPr>
              <w:t>Methods</w:t>
            </w:r>
          </w:p>
        </w:tc>
        <w:bookmarkEnd w:id="21"/>
        <w:bookmarkEnd w:id="22"/>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3" w:name="bold12" w:colFirst="0" w:colLast="0"/>
            <w:bookmarkStart w:id="24" w:name="italic13" w:colFirst="0" w:colLast="0"/>
            <w:r>
              <w:rPr>
                <w:bCs/>
                <w:sz w:val="20"/>
              </w:rPr>
              <w:t>Study design</w:t>
            </w:r>
          </w:p>
        </w:tc>
        <w:tc>
          <w:tcPr>
            <w:tcW w:w="616" w:type="dxa"/>
          </w:tcPr>
          <w:p w:rsidR="00191A23" w:rsidRPr="0022554A" w:rsidRDefault="00191A23" w:rsidP="0022554A">
            <w:pPr>
              <w:tabs>
                <w:tab w:val="left" w:pos="5400"/>
              </w:tabs>
              <w:jc w:val="center"/>
              <w:rPr>
                <w:sz w:val="20"/>
              </w:rPr>
            </w:pPr>
            <w:r>
              <w:rPr>
                <w:sz w:val="20"/>
              </w:rPr>
              <w:t>4</w:t>
            </w:r>
          </w:p>
        </w:tc>
        <w:tc>
          <w:tcPr>
            <w:tcW w:w="8031" w:type="dxa"/>
          </w:tcPr>
          <w:p w:rsidR="00191A23" w:rsidRPr="0022554A" w:rsidRDefault="00191A23" w:rsidP="0022554A">
            <w:pPr>
              <w:tabs>
                <w:tab w:val="left" w:pos="5400"/>
              </w:tabs>
              <w:rPr>
                <w:sz w:val="20"/>
              </w:rPr>
            </w:pPr>
            <w:r>
              <w:rPr>
                <w:sz w:val="20"/>
              </w:rPr>
              <w:t>Present key elements of study design early in the paper</w:t>
            </w:r>
          </w:p>
        </w:tc>
        <w:tc>
          <w:tcPr>
            <w:tcW w:w="1559" w:type="dxa"/>
          </w:tcPr>
          <w:p w:rsidR="00191A23" w:rsidRPr="0022554A" w:rsidRDefault="00191A23" w:rsidP="0022554A">
            <w:pPr>
              <w:tabs>
                <w:tab w:val="left" w:pos="5400"/>
              </w:tabs>
              <w:rPr>
                <w:sz w:val="20"/>
              </w:rPr>
            </w:pPr>
            <w:r>
              <w:rPr>
                <w:sz w:val="20"/>
              </w:rPr>
              <w:t xml:space="preserve">4</w:t>
            </w:r>
          </w:p>
        </w:tc>
        <w:tc>
          <w:tcPr>
            <w:tcW w:w="2835" w:type="dxa"/>
          </w:tcPr>
          <w:p w:rsidR="00191A23" w:rsidRPr="0022554A" w:rsidRDefault="00191A23" w:rsidP="0022554A">
            <w:pPr>
              <w:tabs>
                <w:tab w:val="left" w:pos="5400"/>
              </w:tabs>
              <w:rPr>
                <w:sz w:val="20"/>
              </w:rPr>
            </w:pPr>
            <w:r>
              <w:rPr>
                <w:sz w:val="20"/>
              </w:rPr>
              <w:t xml:space="preserve">Methods (“Data sources and linkage”): a retrospective cohort study using MIMIC-IV v3.1 and MIMIC-IV-ECHO, with the exposure, outcome and analytic framework presented at the start of the Methods.</w:t>
            </w:r>
          </w:p>
        </w:tc>
      </w:tr>
      <w:tr w:rsidR="00191A23" w:rsidRPr="0022554A" w:rsidTr="00E341E9">
        <w:tc>
          <w:tcPr>
            <w:tcW w:w="1951" w:type="dxa"/>
          </w:tcPr>
          <w:p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Pr>
                <w:bCs/>
                <w:sz w:val="20"/>
              </w:rPr>
              <w:t>Setting</w:t>
            </w:r>
          </w:p>
        </w:tc>
        <w:tc>
          <w:tcPr>
            <w:tcW w:w="616" w:type="dxa"/>
          </w:tcPr>
          <w:p w:rsidR="00191A23" w:rsidRPr="0022554A" w:rsidRDefault="00191A23" w:rsidP="0022554A">
            <w:pPr>
              <w:tabs>
                <w:tab w:val="left" w:pos="5400"/>
              </w:tabs>
              <w:jc w:val="center"/>
              <w:rPr>
                <w:sz w:val="20"/>
              </w:rPr>
            </w:pPr>
            <w:r>
              <w:rPr>
                <w:sz w:val="20"/>
              </w:rPr>
              <w:t>5</w:t>
            </w:r>
          </w:p>
        </w:tc>
        <w:tc>
          <w:tcPr>
            <w:tcW w:w="8031" w:type="dxa"/>
          </w:tcPr>
          <w:p w:rsidR="00191A23" w:rsidRPr="0022554A" w:rsidRDefault="00191A23" w:rsidP="0022554A">
            <w:pPr>
              <w:tabs>
                <w:tab w:val="left" w:pos="5400"/>
              </w:tabs>
              <w:rPr>
                <w:sz w:val="20"/>
              </w:rPr>
            </w:pPr>
            <w:r>
              <w:rPr>
                <w:sz w:val="20"/>
              </w:rPr>
              <w:t>Describe the setting, locations, and relevant dates, including periods of recruitment, exposure, follow-up, and data collection</w:t>
            </w:r>
          </w:p>
        </w:tc>
        <w:tc>
          <w:tcPr>
            <w:tcW w:w="1559" w:type="dxa"/>
          </w:tcPr>
          <w:p w:rsidR="00191A23" w:rsidRPr="0022554A" w:rsidRDefault="00191A23" w:rsidP="0022554A">
            <w:pPr>
              <w:tabs>
                <w:tab w:val="left" w:pos="5400"/>
              </w:tabs>
              <w:rPr>
                <w:sz w:val="20"/>
              </w:rPr>
            </w:pPr>
            <w:r>
              <w:rPr>
                <w:sz w:val="20"/>
              </w:rPr>
              <w:t xml:space="preserve">4</w:t>
            </w:r>
          </w:p>
        </w:tc>
        <w:tc>
          <w:tcPr>
            <w:tcW w:w="2835" w:type="dxa"/>
          </w:tcPr>
          <w:p w:rsidR="00191A23" w:rsidRPr="0022554A" w:rsidRDefault="00191A23" w:rsidP="0022554A">
            <w:pPr>
              <w:tabs>
                <w:tab w:val="left" w:pos="5400"/>
              </w:tabs>
              <w:rPr>
                <w:sz w:val="20"/>
              </w:rPr>
            </w:pPr>
            <w:r>
              <w:rPr>
                <w:sz w:val="20"/>
              </w:rPr>
              <w:t xml:space="preserve">Methods (“Data sources and linkage”): a single-centre US database (MIMIC-IV v3.1 and MIMIC-IV-ECHO v1.0, Beth Israel Deaconess Medical Center, Boston) with echocardiograms recorded 2008–2022; cross-version linkage and de-identification are described.</w:t>
            </w:r>
          </w:p>
        </w:tc>
      </w:tr>
      <w:bookmarkEnd w:id="25"/>
      <w:bookmarkEnd w:id="26"/>
      <w:tr w:rsidR="00191A23" w:rsidRPr="0022554A" w:rsidTr="00E341E9">
        <w:tc>
          <w:tcPr>
            <w:tcW w:w="1951" w:type="dxa"/>
            <w:vMerge w:val="restart"/>
          </w:tcPr>
          <w:p w:rsidR="00191A23" w:rsidRPr="0022554A" w:rsidRDefault="00191A23" w:rsidP="0022554A">
            <w:pPr>
              <w:tabs>
                <w:tab w:val="left" w:pos="5400"/>
              </w:tabs>
              <w:rPr>
                <w:bCs/>
                <w:sz w:val="20"/>
              </w:rPr>
            </w:pPr>
            <w:r>
              <w:rPr>
                <w:bCs/>
                <w:sz w:val="20"/>
              </w:rPr>
              <w:t>Participants</w:t>
            </w:r>
          </w:p>
        </w:tc>
        <w:tc>
          <w:tcPr>
            <w:tcW w:w="616" w:type="dxa"/>
            <w:vMerge w:val="restart"/>
          </w:tcPr>
          <w:p w:rsidR="00191A23" w:rsidRPr="0022554A" w:rsidRDefault="00191A23" w:rsidP="0022554A">
            <w:pPr>
              <w:tabs>
                <w:tab w:val="left" w:pos="5400"/>
              </w:tabs>
              <w:jc w:val="center"/>
              <w:rPr>
                <w:sz w:val="20"/>
              </w:rPr>
            </w:pPr>
            <w:r>
              <w:rPr>
                <w:sz w:val="20"/>
              </w:rPr>
              <w:t>6</w:t>
            </w:r>
          </w:p>
        </w:tc>
        <w:tc>
          <w:tcPr>
            <w:tcW w:w="8031" w:type="dxa"/>
          </w:tcPr>
          <w:p w:rsidR="00191A23" w:rsidRPr="0022554A" w:rsidRDefault="00191A23" w:rsidP="0022554A">
            <w:pPr>
              <w:tabs>
                <w:tab w:val="left" w:pos="5400"/>
              </w:tabs>
              <w:rPr>
                <w:sz w:val="20"/>
              </w:rPr>
            </w:pPr>
            <w:r>
              <w:rPr>
                <w:sz w:val="20"/>
              </w:rPr>
              <w:t>(</w:t>
            </w:r>
            <w:r>
              <w:rPr>
                <w:i/>
                <w:sz w:val="20"/>
              </w:rPr>
              <w:t>a</w:t>
            </w:r>
            <w:r>
              <w:rPr>
                <w:sz w:val="20"/>
              </w:rPr>
              <w:t xml:space="preserve">) </w:t>
            </w:r>
            <w:r>
              <w:rPr>
                <w:i/>
                <w:sz w:val="20"/>
              </w:rPr>
              <w:t>Cohort study</w:t>
            </w:r>
            <w:r>
              <w:rPr>
                <w:sz w:val="20"/>
              </w:rPr>
              <w:t>—Give the eligibility criteria, and the sources and methods of selection of participants. Describe methods of follow-up</w:t>
            </w:r>
          </w:p>
          <w:p w:rsidR="00191A23" w:rsidRPr="0022554A" w:rsidRDefault="00191A23" w:rsidP="0022554A">
            <w:pPr>
              <w:tabs>
                <w:tab w:val="left" w:pos="5400"/>
              </w:tabs>
              <w:rPr>
                <w:sz w:val="20"/>
              </w:rPr>
            </w:pPr>
            <w:r>
              <w:rPr>
                <w:i/>
                <w:sz w:val="20"/>
              </w:rPr>
              <w:t>Case-control study</w:t>
            </w:r>
            <w:r>
              <w:rPr>
                <w:sz w:val="20"/>
              </w:rPr>
              <w:t>—Give the eligibility criteria, and the sources and methods of case ascertainment and control selection. Give the rationale for the choice of cases and controls</w:t>
            </w:r>
          </w:p>
          <w:p w:rsidR="00191A23" w:rsidRPr="0022554A" w:rsidRDefault="00191A23" w:rsidP="0022554A">
            <w:pPr>
              <w:tabs>
                <w:tab w:val="left" w:pos="5400"/>
              </w:tabs>
              <w:rPr>
                <w:sz w:val="20"/>
              </w:rPr>
            </w:pPr>
            <w:r>
              <w:rPr>
                <w:i/>
                <w:sz w:val="20"/>
              </w:rPr>
              <w:t>Cross-sectional study</w:t>
            </w:r>
            <w:r>
              <w:rPr>
                <w:sz w:val="20"/>
              </w:rPr>
              <w:t>—Give the eligibility criteria, and the sources and methods of selection of participants</w:t>
            </w:r>
          </w:p>
        </w:tc>
        <w:tc>
          <w:tcPr>
            <w:tcW w:w="1559" w:type="dxa"/>
          </w:tcPr>
          <w:p w:rsidR="00191A23" w:rsidRPr="0022554A" w:rsidRDefault="00191A23" w:rsidP="0022554A">
            <w:pPr>
              <w:tabs>
                <w:tab w:val="left" w:pos="5400"/>
              </w:tabs>
              <w:rPr>
                <w:sz w:val="20"/>
              </w:rPr>
            </w:pPr>
            <w:r>
              <w:rPr>
                <w:sz w:val="20"/>
              </w:rPr>
              <w:t xml:space="preserve">4–5</w:t>
            </w:r>
          </w:p>
        </w:tc>
        <w:tc>
          <w:tcPr>
            <w:tcW w:w="2835" w:type="dxa"/>
          </w:tcPr>
          <w:p w:rsidR="00191A23" w:rsidRPr="0022554A" w:rsidRDefault="00191A23" w:rsidP="0022554A">
            <w:pPr>
              <w:tabs>
                <w:tab w:val="left" w:pos="5400"/>
              </w:tabs>
              <w:rPr>
                <w:sz w:val="20"/>
              </w:rPr>
            </w:pPr>
            <w:r>
              <w:rPr>
                <w:sz w:val="20"/>
              </w:rPr>
              <w:t xml:space="preserve">Methods (“Study population”): the first ICU admission of each adult (≥18 years) with an interpretable baseline transthoracic echocardiogram recording a peak aortic jet velocity (24 h before to 48 h after admission), restricted to non-cardiac primary diagnoses; exclusions (prior valve replacement, no follow-up, incomplete covariates) are specified and follow-up began at the echocardiogram.</w:t>
            </w:r>
          </w:p>
        </w:tc>
      </w:tr>
      <w:tr w:rsidR="00191A23" w:rsidRPr="0022554A" w:rsidTr="00E341E9">
        <w:tc>
          <w:tcPr>
            <w:tcW w:w="1951" w:type="dxa"/>
            <w:vMerge/>
          </w:tcPr>
          <w:p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Pr>
                <w:sz w:val="20"/>
              </w:rPr>
              <w:t>(</w:t>
            </w:r>
            <w:r>
              <w:rPr>
                <w:i/>
                <w:sz w:val="20"/>
              </w:rPr>
              <w:t>b</w:t>
            </w:r>
            <w:r>
              <w:rPr>
                <w:sz w:val="20"/>
              </w:rPr>
              <w:t>)</w:t>
            </w:r>
            <w:r>
              <w:rPr>
                <w:b/>
                <w:bCs/>
                <w:sz w:val="20"/>
              </w:rPr>
              <w:t xml:space="preserve"> </w:t>
            </w:r>
            <w:r>
              <w:rPr>
                <w:bCs/>
                <w:i/>
                <w:sz w:val="20"/>
              </w:rPr>
              <w:t>Cohort study</w:t>
            </w:r>
            <w:r>
              <w:rPr>
                <w:sz w:val="20"/>
              </w:rPr>
              <w:t>—For matched studies, give matching criteria and number of exposed and unexposed</w:t>
            </w:r>
          </w:p>
          <w:p w:rsidR="00191A23" w:rsidRPr="0022554A" w:rsidRDefault="00191A23" w:rsidP="0022554A">
            <w:pPr>
              <w:tabs>
                <w:tab w:val="left" w:pos="5400"/>
              </w:tabs>
              <w:rPr>
                <w:i/>
                <w:sz w:val="20"/>
              </w:rPr>
            </w:pPr>
            <w:r>
              <w:rPr>
                <w:bCs/>
                <w:i/>
                <w:sz w:val="20"/>
              </w:rPr>
              <w:t>Case-control study</w:t>
            </w:r>
            <w:r>
              <w:rPr>
                <w:sz w:val="20"/>
              </w:rPr>
              <w:t>—For matched studies, give matching criteria and the number of controls per case</w:t>
            </w:r>
          </w:p>
        </w:tc>
        <w:tc>
          <w:tcPr>
            <w:tcW w:w="1559" w:type="dxa"/>
          </w:tcPr>
          <w:p w:rsidR="00191A23" w:rsidRPr="0022554A" w:rsidRDefault="00191A23" w:rsidP="0022554A">
            <w:pPr>
              <w:tabs>
                <w:tab w:val="left" w:pos="5400"/>
              </w:tabs>
              <w:rPr>
                <w:sz w:val="20"/>
              </w:rPr>
            </w:pPr>
            <w:r>
              <w:rPr>
                <w:sz w:val="20"/>
              </w:rPr>
              <w:t xml:space="preserve">7, 16</w:t>
            </w:r>
          </w:p>
        </w:tc>
        <w:tc>
          <w:tcPr>
            <w:tcW w:w="2835" w:type="dxa"/>
          </w:tcPr>
          <w:p w:rsidR="00191A23" w:rsidRPr="0022554A" w:rsidRDefault="00191A23" w:rsidP="0022554A">
            <w:pPr>
              <w:tabs>
                <w:tab w:val="left" w:pos="5400"/>
              </w:tabs>
              <w:rPr>
                <w:sz w:val="20"/>
              </w:rPr>
            </w:pPr>
            <w:r>
              <w:rPr>
                <w:sz w:val="20"/>
              </w:rPr>
              <w:t xml:space="preserve">The primary design is not matched. As a sensitivity analysis, 1:4 nearest-neighbour propensity-score matching (0.2-SD caliper) paired 411 moderate-stenosis to 1,644 no-stenosis patients (2,055 total) (Methods “Statistical analysis”; Results “Propensity-score matching”; Additional file 1: Table S2).</w:t>
            </w:r>
          </w:p>
        </w:tc>
      </w:tr>
      <w:tr w:rsidR="00191A23" w:rsidRPr="0022554A" w:rsidTr="00E341E9">
        <w:tc>
          <w:tcPr>
            <w:tcW w:w="1951" w:type="dxa"/>
          </w:tcPr>
          <w:p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Pr>
                <w:bCs/>
                <w:sz w:val="20"/>
              </w:rPr>
              <w:t>Variables</w:t>
            </w:r>
          </w:p>
        </w:tc>
        <w:tc>
          <w:tcPr>
            <w:tcW w:w="616" w:type="dxa"/>
          </w:tcPr>
          <w:p w:rsidR="00191A23" w:rsidRPr="0022554A" w:rsidRDefault="00191A23" w:rsidP="0022554A">
            <w:pPr>
              <w:tabs>
                <w:tab w:val="left" w:pos="5400"/>
              </w:tabs>
              <w:jc w:val="center"/>
              <w:rPr>
                <w:sz w:val="20"/>
              </w:rPr>
            </w:pPr>
            <w:r>
              <w:rPr>
                <w:sz w:val="20"/>
              </w:rPr>
              <w:t>7</w:t>
            </w:r>
          </w:p>
        </w:tc>
        <w:tc>
          <w:tcPr>
            <w:tcW w:w="8031" w:type="dxa"/>
          </w:tcPr>
          <w:p w:rsidR="00191A23" w:rsidRPr="0022554A" w:rsidRDefault="00191A23" w:rsidP="0022554A">
            <w:pPr>
              <w:tabs>
                <w:tab w:val="left" w:pos="5400"/>
              </w:tabs>
              <w:rPr>
                <w:sz w:val="20"/>
              </w:rPr>
            </w:pPr>
            <w:r>
              <w:rPr>
                <w:sz w:val="20"/>
              </w:rPr>
              <w:t>Clearly define all outcomes, exposures, predictors, potential confounders, and effect modifiers. Give diagnostic criteria, if applicable</w:t>
            </w:r>
          </w:p>
        </w:tc>
        <w:tc>
          <w:tcPr>
            <w:tcW w:w="1559" w:type="dxa"/>
          </w:tcPr>
          <w:p w:rsidR="00191A23" w:rsidRPr="0022554A" w:rsidRDefault="00191A23" w:rsidP="0022554A">
            <w:pPr>
              <w:tabs>
                <w:tab w:val="left" w:pos="5400"/>
              </w:tabs>
              <w:rPr>
                <w:sz w:val="20"/>
              </w:rPr>
            </w:pPr>
            <w:r>
              <w:rPr>
                <w:sz w:val="20"/>
              </w:rPr>
              <w:t xml:space="preserve">5–6</w:t>
            </w:r>
          </w:p>
        </w:tc>
        <w:tc>
          <w:tcPr>
            <w:tcW w:w="2835" w:type="dxa"/>
          </w:tcPr>
          <w:p w:rsidR="00191A23" w:rsidRPr="0022554A" w:rsidRDefault="00191A23" w:rsidP="0022554A">
            <w:pPr>
              <w:tabs>
                <w:tab w:val="left" w:pos="5400"/>
              </w:tabs>
              <w:rPr>
                <w:sz w:val="20"/>
              </w:rPr>
            </w:pPr>
            <w:r>
              <w:rPr>
                <w:sz w:val="20"/>
              </w:rPr>
              <w:t xml:space="preserve">Methods (“Exposure”, “Covariates”, “Outcomes”): the exposure (velocity-based aortic-stenosis grade), the primary outcome (90-day mortality) and secondary outcomes, and the pre-specified covariates and ejection-fraction subgroup are each defined, with the velocity grading thresholds (&lt;2.0/2.0–2.9/3.0–3.9/≥4.0 m/s).</w:t>
            </w:r>
          </w:p>
        </w:tc>
      </w:tr>
      <w:tr w:rsidR="00191A23" w:rsidRPr="0022554A" w:rsidTr="00E341E9">
        <w:trPr>
          <w:trHeight w:val="294"/>
        </w:trPr>
        <w:tc>
          <w:tcPr>
            <w:tcW w:w="1951" w:type="dxa"/>
          </w:tcPr>
          <w:p w:rsidR="00191A23" w:rsidRPr="0022554A" w:rsidRDefault="00191A23" w:rsidP="0022554A">
            <w:pPr>
              <w:tabs>
                <w:tab w:val="left" w:pos="5400"/>
              </w:tabs>
              <w:rPr>
                <w:bCs/>
                <w:sz w:val="20"/>
              </w:rPr>
            </w:pPr>
            <w:bookmarkStart w:id="31" w:name="bold17"/>
            <w:bookmarkStart w:id="32" w:name="italic18"/>
            <w:bookmarkEnd w:id="29"/>
            <w:bookmarkEnd w:id="30"/>
            <w:r>
              <w:rPr>
                <w:bCs/>
                <w:sz w:val="20"/>
              </w:rPr>
              <w:t>Data sources/</w:t>
            </w:r>
            <w:bookmarkStart w:id="33" w:name="bold18"/>
            <w:bookmarkStart w:id="34" w:name="italic19"/>
            <w:bookmarkEnd w:id="31"/>
            <w:bookmarkEnd w:id="32"/>
            <w:r>
              <w:rPr>
                <w:bCs/>
                <w:sz w:val="20"/>
              </w:rPr>
              <w:t xml:space="preserve"> measurement</w:t>
            </w:r>
            <w:bookmarkEnd w:id="33"/>
            <w:bookmarkEnd w:id="34"/>
          </w:p>
        </w:tc>
        <w:tc>
          <w:tcPr>
            <w:tcW w:w="616" w:type="dxa"/>
          </w:tcPr>
          <w:p w:rsidR="00191A23" w:rsidRPr="0022554A" w:rsidRDefault="00191A23" w:rsidP="0022554A">
            <w:pPr>
              <w:tabs>
                <w:tab w:val="left" w:pos="5400"/>
              </w:tabs>
              <w:jc w:val="center"/>
              <w:rPr>
                <w:sz w:val="20"/>
              </w:rPr>
            </w:pPr>
            <w:r>
              <w:rPr>
                <w:sz w:val="20"/>
              </w:rPr>
              <w:t>8</w:t>
            </w:r>
            <w:bookmarkStart w:id="35" w:name="bold19"/>
            <w:r>
              <w:rPr>
                <w:bCs/>
                <w:sz w:val="20"/>
              </w:rPr>
              <w:t>*</w:t>
            </w:r>
            <w:bookmarkEnd w:id="35"/>
          </w:p>
        </w:tc>
        <w:tc>
          <w:tcPr>
            <w:tcW w:w="8031" w:type="dxa"/>
          </w:tcPr>
          <w:p w:rsidR="00191A23" w:rsidRPr="0022554A" w:rsidRDefault="00191A23" w:rsidP="0022554A">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1559" w:type="dxa"/>
          </w:tcPr>
          <w:p w:rsidR="00191A23" w:rsidRPr="0022554A" w:rsidRDefault="00191A23" w:rsidP="0022554A">
            <w:pPr>
              <w:tabs>
                <w:tab w:val="left" w:pos="5400"/>
              </w:tabs>
              <w:rPr>
                <w:i/>
                <w:sz w:val="20"/>
              </w:rPr>
            </w:pPr>
            <w:r>
              <w:rPr>
                <w:sz w:val="20"/>
              </w:rPr>
              <w:t xml:space="preserve">5–6</w:t>
            </w:r>
          </w:p>
        </w:tc>
        <w:tc>
          <w:tcPr>
            <w:tcW w:w="2835" w:type="dxa"/>
          </w:tcPr>
          <w:p w:rsidR="00191A23" w:rsidRPr="0022554A" w:rsidRDefault="00191A23" w:rsidP="0022554A">
            <w:pPr>
              <w:tabs>
                <w:tab w:val="left" w:pos="5400"/>
              </w:tabs>
              <w:rPr>
                <w:i/>
                <w:sz w:val="20"/>
              </w:rPr>
            </w:pPr>
            <w:r>
              <w:rPr>
                <w:sz w:val="20"/>
              </w:rPr>
              <w:t xml:space="preserve">Methods (“Exposure”, “Covariates”) and Supplementary Methods: sources and assessment methods for every variable are described (MIMIC-IV-ECHO peak velocity, mean gradient and ejection fraction; SOFA, Charlson, comorbidities, vasopressor/ventilation and flow-state proxies; definitions in Additional file 1: Table S5). A single data source was used.</w:t>
            </w:r>
          </w:p>
        </w:tc>
      </w:tr>
      <w:tr w:rsidR="00191A23" w:rsidRPr="0022554A" w:rsidTr="00E341E9">
        <w:tc>
          <w:tcPr>
            <w:tcW w:w="1951" w:type="dxa"/>
          </w:tcPr>
          <w:p w:rsidR="00191A23" w:rsidRPr="0022554A" w:rsidRDefault="00191A23" w:rsidP="0022554A">
            <w:pPr>
              <w:tabs>
                <w:tab w:val="left" w:pos="5400"/>
              </w:tabs>
              <w:rPr>
                <w:bCs/>
                <w:color w:val="000000"/>
                <w:sz w:val="20"/>
              </w:rPr>
            </w:pPr>
            <w:bookmarkStart w:id="36" w:name="bold20" w:colFirst="0" w:colLast="0"/>
            <w:bookmarkStart w:id="37" w:name="italic20" w:colFirst="0" w:colLast="0"/>
            <w:r>
              <w:rPr>
                <w:bCs/>
                <w:color w:val="000000"/>
                <w:sz w:val="20"/>
              </w:rPr>
              <w:t>Bias</w:t>
            </w:r>
          </w:p>
        </w:tc>
        <w:tc>
          <w:tcPr>
            <w:tcW w:w="616" w:type="dxa"/>
          </w:tcPr>
          <w:p w:rsidR="00191A23" w:rsidRPr="0022554A" w:rsidRDefault="00191A23" w:rsidP="0022554A">
            <w:pPr>
              <w:tabs>
                <w:tab w:val="left" w:pos="5400"/>
              </w:tabs>
              <w:jc w:val="center"/>
              <w:rPr>
                <w:sz w:val="20"/>
              </w:rPr>
            </w:pPr>
            <w:r>
              <w:rPr>
                <w:sz w:val="20"/>
              </w:rPr>
              <w:t>9</w:t>
            </w:r>
          </w:p>
        </w:tc>
        <w:tc>
          <w:tcPr>
            <w:tcW w:w="8031" w:type="dxa"/>
          </w:tcPr>
          <w:p w:rsidR="00191A23" w:rsidRPr="0022554A" w:rsidRDefault="00191A23" w:rsidP="0022554A">
            <w:pPr>
              <w:tabs>
                <w:tab w:val="left" w:pos="5400"/>
              </w:tabs>
              <w:rPr>
                <w:color w:val="000000"/>
                <w:sz w:val="20"/>
              </w:rPr>
            </w:pPr>
            <w:r>
              <w:rPr>
                <w:color w:val="000000"/>
                <w:sz w:val="20"/>
              </w:rPr>
              <w:t>Describe any efforts to address potential sources of bias</w:t>
            </w:r>
          </w:p>
        </w:tc>
        <w:tc>
          <w:tcPr>
            <w:tcW w:w="1559" w:type="dxa"/>
          </w:tcPr>
          <w:p w:rsidR="00191A23" w:rsidRPr="0022554A" w:rsidRDefault="00191A23" w:rsidP="0022554A">
            <w:pPr>
              <w:tabs>
                <w:tab w:val="left" w:pos="5400"/>
              </w:tabs>
              <w:rPr>
                <w:color w:val="000000"/>
                <w:sz w:val="20"/>
              </w:rPr>
            </w:pPr>
            <w:r>
              <w:rPr>
                <w:sz w:val="20"/>
              </w:rPr>
              <w:t xml:space="preserve">4–7</w:t>
            </w:r>
          </w:p>
        </w:tc>
        <w:tc>
          <w:tcPr>
            <w:tcW w:w="2835" w:type="dxa"/>
          </w:tcPr>
          <w:p w:rsidR="00191A23" w:rsidRPr="0022554A" w:rsidRDefault="00191A23" w:rsidP="0022554A">
            <w:pPr>
              <w:tabs>
                <w:tab w:val="left" w:pos="5400"/>
              </w:tabs>
              <w:rPr>
                <w:color w:val="000000"/>
                <w:sz w:val="20"/>
              </w:rPr>
            </w:pPr>
            <w:r>
              <w:rPr>
                <w:sz w:val="20"/>
              </w:rPr>
              <w:t xml:space="preserve">Methods: confounding was addressed by multivariable adjustment, propensity-score matching, parsimonious/heart-failure/ejection-fraction models and an E-value; immortal-time and survivor bias by anchoring follow-up at the echocardiogram over a fixed 90-day window; flow-dependent misclassification by velocity–gradient concordance grading and flow-state proxies; and informative censoring at discharge by a Fine–Gray model.</w:t>
            </w:r>
          </w:p>
        </w:tc>
      </w:tr>
      <w:tr w:rsidR="00191A23" w:rsidRPr="0022554A" w:rsidTr="00E341E9">
        <w:tc>
          <w:tcPr>
            <w:tcW w:w="1951" w:type="dxa"/>
          </w:tcPr>
          <w:p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Pr>
                <w:bCs/>
                <w:sz w:val="20"/>
              </w:rPr>
              <w:t>Study size</w:t>
            </w:r>
          </w:p>
        </w:tc>
        <w:tc>
          <w:tcPr>
            <w:tcW w:w="616" w:type="dxa"/>
          </w:tcPr>
          <w:p w:rsidR="00191A23" w:rsidRPr="0022554A" w:rsidRDefault="00191A23" w:rsidP="0022554A">
            <w:pPr>
              <w:tabs>
                <w:tab w:val="left" w:pos="5400"/>
              </w:tabs>
              <w:jc w:val="center"/>
              <w:rPr>
                <w:sz w:val="20"/>
              </w:rPr>
            </w:pPr>
            <w:r>
              <w:rPr>
                <w:sz w:val="20"/>
              </w:rPr>
              <w:t>10</w:t>
            </w:r>
          </w:p>
        </w:tc>
        <w:tc>
          <w:tcPr>
            <w:tcW w:w="8031" w:type="dxa"/>
          </w:tcPr>
          <w:p w:rsidR="00191A23" w:rsidRPr="0022554A" w:rsidRDefault="00191A23" w:rsidP="0022554A">
            <w:pPr>
              <w:tabs>
                <w:tab w:val="left" w:pos="5400"/>
              </w:tabs>
              <w:rPr>
                <w:sz w:val="20"/>
              </w:rPr>
            </w:pPr>
            <w:r>
              <w:rPr>
                <w:sz w:val="20"/>
              </w:rPr>
              <w:t>Explain how the study size was arrived at</w:t>
            </w:r>
          </w:p>
        </w:tc>
        <w:tc>
          <w:tcPr>
            <w:tcW w:w="1559" w:type="dxa"/>
          </w:tcPr>
          <w:p w:rsidR="00191A23" w:rsidRPr="0022554A" w:rsidRDefault="00191A23" w:rsidP="0022554A">
            <w:pPr>
              <w:tabs>
                <w:tab w:val="left" w:pos="5400"/>
              </w:tabs>
              <w:rPr>
                <w:sz w:val="20"/>
              </w:rPr>
            </w:pPr>
            <w:r>
              <w:rPr>
                <w:sz w:val="20"/>
              </w:rPr>
              <w:t xml:space="preserve">8</w:t>
            </w:r>
          </w:p>
        </w:tc>
        <w:tc>
          <w:tcPr>
            <w:tcW w:w="2835" w:type="dxa"/>
          </w:tcPr>
          <w:p w:rsidR="00191A23" w:rsidRPr="0022554A" w:rsidRDefault="00191A23" w:rsidP="0022554A">
            <w:pPr>
              <w:tabs>
                <w:tab w:val="left" w:pos="5400"/>
              </w:tabs>
              <w:rPr>
                <w:sz w:val="20"/>
              </w:rPr>
            </w:pPr>
            <w:r>
              <w:rPr>
                <w:sz w:val="20"/>
              </w:rPr>
              <w:t xml:space="preserve">Results (“Cohort and baseline characteristics”) and Fig. 1: cohort size was determined by the number of eligible first ICU admissions meeting all criteria—primary non-cardiac cohort n = 12,878. No formal sample-size calculation was performed.</w:t>
            </w:r>
          </w:p>
        </w:tc>
      </w:tr>
    </w:tbl>
    <w:p w:rsidR="00191A23" w:rsidRDefault="00191A23">
      <w:bookmarkStart w:id="40" w:name="bold22"/>
      <w:bookmarkStart w:id="41" w:name="italic22"/>
      <w:bookmarkEnd w:id="38"/>
      <w:bookmarkEnd w:id="39"/>
      <w:r>
        <w:rPr>
          <w:sz w:val="16"/>
          <w:szCs w:val="16"/>
        </w:rPr>
        <w:t>Continued on next page</w:t>
      </w:r>
      <w:r>
        <w:t xml:space="preserve"> </w:t>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rsidTr="00517788">
        <w:tc>
          <w:tcPr>
            <w:tcW w:w="1521" w:type="dxa"/>
          </w:tcPr>
          <w:p w:rsidR="00191A23" w:rsidRPr="0022554A" w:rsidRDefault="00191A23" w:rsidP="00191A23">
            <w:pPr>
              <w:tabs>
                <w:tab w:val="left" w:pos="5400"/>
              </w:tabs>
              <w:rPr>
                <w:bCs/>
                <w:sz w:val="20"/>
              </w:rPr>
            </w:pPr>
            <w:r>
              <w:rPr>
                <w:bCs/>
                <w:sz w:val="20"/>
              </w:rPr>
              <w:lastRenderedPageBreak/>
              <w:t>Quantitative</w:t>
            </w:r>
            <w:bookmarkStart w:id="42" w:name="bold23"/>
            <w:bookmarkStart w:id="43" w:name="italic23"/>
            <w:bookmarkEnd w:id="40"/>
            <w:bookmarkEnd w:id="41"/>
            <w:r>
              <w:rPr>
                <w:bCs/>
                <w:sz w:val="20"/>
              </w:rPr>
              <w:t xml:space="preserve"> variables</w:t>
            </w:r>
            <w:bookmarkEnd w:id="42"/>
            <w:bookmarkEnd w:id="43"/>
          </w:p>
        </w:tc>
        <w:tc>
          <w:tcPr>
            <w:tcW w:w="749" w:type="dxa"/>
          </w:tcPr>
          <w:p w:rsidR="00191A23" w:rsidRPr="0022554A" w:rsidRDefault="00191A23" w:rsidP="00191A23">
            <w:pPr>
              <w:tabs>
                <w:tab w:val="left" w:pos="5400"/>
              </w:tabs>
              <w:jc w:val="center"/>
              <w:rPr>
                <w:sz w:val="20"/>
              </w:rPr>
            </w:pPr>
            <w:r>
              <w:rPr>
                <w:sz w:val="20"/>
              </w:rPr>
              <w:t>11</w:t>
            </w:r>
          </w:p>
        </w:tc>
        <w:tc>
          <w:tcPr>
            <w:tcW w:w="8328" w:type="dxa"/>
          </w:tcPr>
          <w:p w:rsidR="00191A23" w:rsidRPr="0022554A" w:rsidRDefault="00191A23" w:rsidP="00191A23">
            <w:pPr>
              <w:tabs>
                <w:tab w:val="left" w:pos="5400"/>
              </w:tabs>
              <w:rPr>
                <w:sz w:val="20"/>
              </w:rPr>
            </w:pPr>
            <w:r>
              <w:rPr>
                <w:sz w:val="20"/>
              </w:rPr>
              <w:t>Explain how quantitative variables were handled in the analyses. If applicable, describe which groupings were chosen and why</w:t>
            </w:r>
          </w:p>
        </w:tc>
        <w:tc>
          <w:tcPr>
            <w:tcW w:w="1276" w:type="dxa"/>
          </w:tcPr>
          <w:p w:rsidR="00191A23" w:rsidRPr="0022554A" w:rsidRDefault="00191A23" w:rsidP="00191A23">
            <w:pPr>
              <w:tabs>
                <w:tab w:val="left" w:pos="5400"/>
              </w:tabs>
              <w:rPr>
                <w:sz w:val="20"/>
              </w:rPr>
            </w:pPr>
            <w:r>
              <w:rPr>
                <w:sz w:val="20"/>
              </w:rPr>
              <w:t xml:space="preserve">6, 15</w:t>
            </w:r>
          </w:p>
        </w:tc>
        <w:tc>
          <w:tcPr>
            <w:tcW w:w="3118" w:type="dxa"/>
          </w:tcPr>
          <w:p w:rsidR="00191A23" w:rsidRPr="0022554A" w:rsidRDefault="00191A23" w:rsidP="00191A23">
            <w:pPr>
              <w:tabs>
                <w:tab w:val="left" w:pos="5400"/>
              </w:tabs>
              <w:rPr>
                <w:sz w:val="20"/>
              </w:rPr>
            </w:pPr>
            <w:r>
              <w:rPr>
                <w:sz w:val="20"/>
              </w:rPr>
              <w:t xml:space="preserve">Methods (“Statistical analysis”): continuous variables are summarised as median [IQR]; peak velocity was modelled continuously with restricted cubic splines (knots at the 5th, 35th, 65th and 95th percentiles); aortic stenosis was categorised by velocity and ejection fraction dichotomised (preserved ≥50% / reduced &lt;50%) for subgroups.</w:t>
            </w:r>
          </w:p>
        </w:tc>
      </w:tr>
      <w:tr w:rsidR="00191A23" w:rsidRPr="0022554A" w:rsidTr="00517788">
        <w:tc>
          <w:tcPr>
            <w:tcW w:w="1521" w:type="dxa"/>
            <w:vMerge w:val="restart"/>
          </w:tcPr>
          <w:p w:rsidR="00191A23" w:rsidRPr="0022554A" w:rsidRDefault="00191A23" w:rsidP="00191A23">
            <w:pPr>
              <w:tabs>
                <w:tab w:val="left" w:pos="5400"/>
              </w:tabs>
              <w:rPr>
                <w:sz w:val="20"/>
              </w:rPr>
            </w:pPr>
            <w:bookmarkStart w:id="44" w:name="italic24"/>
            <w:r>
              <w:rPr>
                <w:sz w:val="20"/>
              </w:rPr>
              <w:t>Statistical</w:t>
            </w:r>
            <w:bookmarkStart w:id="45" w:name="italic25"/>
            <w:bookmarkEnd w:id="44"/>
            <w:r>
              <w:rPr>
                <w:sz w:val="20"/>
              </w:rPr>
              <w:t xml:space="preserve"> methods</w:t>
            </w:r>
            <w:bookmarkEnd w:id="45"/>
          </w:p>
        </w:tc>
        <w:tc>
          <w:tcPr>
            <w:tcW w:w="749" w:type="dxa"/>
            <w:vMerge w:val="restart"/>
          </w:tcPr>
          <w:p w:rsidR="00191A23" w:rsidRPr="0022554A" w:rsidRDefault="00191A23" w:rsidP="00191A23">
            <w:pPr>
              <w:tabs>
                <w:tab w:val="left" w:pos="5400"/>
              </w:tabs>
              <w:jc w:val="center"/>
              <w:rPr>
                <w:sz w:val="20"/>
              </w:rPr>
            </w:pPr>
            <w:r>
              <w:rPr>
                <w:sz w:val="20"/>
              </w:rPr>
              <w:t>12</w:t>
            </w:r>
          </w:p>
        </w:tc>
        <w:tc>
          <w:tcPr>
            <w:tcW w:w="8328" w:type="dxa"/>
          </w:tcPr>
          <w:p w:rsidR="00191A23" w:rsidRPr="0022554A" w:rsidRDefault="00191A23" w:rsidP="00191A23">
            <w:pPr>
              <w:tabs>
                <w:tab w:val="left" w:pos="5400"/>
              </w:tabs>
              <w:rPr>
                <w:sz w:val="20"/>
              </w:rPr>
            </w:pPr>
            <w:r>
              <w:rPr>
                <w:sz w:val="20"/>
              </w:rPr>
              <w:t>(</w:t>
            </w:r>
            <w:r>
              <w:rPr>
                <w:i/>
                <w:sz w:val="20"/>
              </w:rPr>
              <w:t>a</w:t>
            </w:r>
            <w:r>
              <w:rPr>
                <w:sz w:val="20"/>
              </w:rPr>
              <w:t>) Describe all statistical methods, including those used to control for confounding</w:t>
            </w:r>
          </w:p>
        </w:tc>
        <w:tc>
          <w:tcPr>
            <w:tcW w:w="1276" w:type="dxa"/>
          </w:tcPr>
          <w:p w:rsidR="00191A23" w:rsidRPr="0022554A" w:rsidRDefault="00191A23" w:rsidP="00191A23">
            <w:pPr>
              <w:tabs>
                <w:tab w:val="left" w:pos="5400"/>
              </w:tabs>
              <w:rPr>
                <w:sz w:val="20"/>
              </w:rPr>
            </w:pPr>
            <w:r>
              <w:rPr>
                <w:sz w:val="20"/>
              </w:rPr>
              <w:t xml:space="preserve">6–7</w:t>
            </w:r>
          </w:p>
        </w:tc>
        <w:tc>
          <w:tcPr>
            <w:tcW w:w="3118" w:type="dxa"/>
          </w:tcPr>
          <w:p w:rsidR="00191A23" w:rsidRPr="0022554A" w:rsidRDefault="00191A23" w:rsidP="00191A23">
            <w:pPr>
              <w:tabs>
                <w:tab w:val="left" w:pos="5400"/>
              </w:tabs>
              <w:rPr>
                <w:sz w:val="20"/>
              </w:rPr>
            </w:pPr>
            <w:r>
              <w:rPr>
                <w:sz w:val="20"/>
              </w:rPr>
              <w:t xml:space="preserve">Methods (“Statistical analysis”): a multivariable Cox proportional-hazards model for 90-day mortality adjusted for the pre-specified covariate set; the proportional-hazards assumption was checked with scaled Schoenfeld residuals and discrimination with Harrell’s C; descriptive comparisons used Kruskal–Wallis and chi-square tests.</w:t>
            </w:r>
          </w:p>
        </w:tc>
      </w:tr>
      <w:tr w:rsidR="00191A23" w:rsidRPr="0022554A" w:rsidTr="00517788">
        <w:tc>
          <w:tcPr>
            <w:tcW w:w="1521" w:type="dxa"/>
            <w:vMerge/>
          </w:tcPr>
          <w:p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w:t>
            </w:r>
            <w:r>
              <w:rPr>
                <w:i/>
                <w:sz w:val="20"/>
              </w:rPr>
              <w:t>b</w:t>
            </w:r>
            <w:r>
              <w:rPr>
                <w:sz w:val="20"/>
              </w:rPr>
              <w:t>) Describe any methods used to examine subgroups and interactions</w:t>
            </w:r>
          </w:p>
        </w:tc>
        <w:tc>
          <w:tcPr>
            <w:tcW w:w="1276" w:type="dxa"/>
          </w:tcPr>
          <w:p w:rsidR="00191A23" w:rsidRPr="0022554A" w:rsidRDefault="00191A23" w:rsidP="00191A23">
            <w:pPr>
              <w:tabs>
                <w:tab w:val="left" w:pos="5400"/>
              </w:tabs>
              <w:rPr>
                <w:sz w:val="20"/>
              </w:rPr>
            </w:pPr>
            <w:r>
              <w:rPr>
                <w:sz w:val="20"/>
              </w:rPr>
              <w:t xml:space="preserve">7</w:t>
            </w:r>
          </w:p>
        </w:tc>
        <w:tc>
          <w:tcPr>
            <w:tcW w:w="3118" w:type="dxa"/>
          </w:tcPr>
          <w:p w:rsidR="00191A23" w:rsidRPr="0022554A" w:rsidRDefault="00191A23" w:rsidP="00191A23">
            <w:pPr>
              <w:tabs>
                <w:tab w:val="left" w:pos="5400"/>
              </w:tabs>
              <w:rPr>
                <w:sz w:val="20"/>
              </w:rPr>
            </w:pPr>
            <w:r>
              <w:rPr>
                <w:sz w:val="20"/>
              </w:rPr>
              <w:t xml:space="preserve">Methods (“Statistical analysis”): pre-specified subgroups by ejection fraction (preserved vs reduced) via stratified models, with the between-stratum difference tested by a multiplicative stenosis-grade-by-ejection-fraction interaction (likelihood ratio).</w:t>
            </w:r>
          </w:p>
        </w:tc>
      </w:tr>
      <w:tr w:rsidR="00191A23" w:rsidRPr="0022554A" w:rsidTr="00517788">
        <w:tc>
          <w:tcPr>
            <w:tcW w:w="1521" w:type="dxa"/>
            <w:vMerge/>
          </w:tcPr>
          <w:p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w:t>
            </w:r>
            <w:r>
              <w:rPr>
                <w:i/>
                <w:sz w:val="20"/>
              </w:rPr>
              <w:t>c</w:t>
            </w:r>
            <w:r>
              <w:rPr>
                <w:sz w:val="20"/>
              </w:rPr>
              <w:t>) Explain how missing data were addressed</w:t>
            </w:r>
          </w:p>
        </w:tc>
        <w:tc>
          <w:tcPr>
            <w:tcW w:w="1276" w:type="dxa"/>
          </w:tcPr>
          <w:p w:rsidR="00191A23" w:rsidRPr="0022554A" w:rsidRDefault="00191A23" w:rsidP="00191A23">
            <w:pPr>
              <w:tabs>
                <w:tab w:val="left" w:pos="5400"/>
              </w:tabs>
              <w:rPr>
                <w:sz w:val="20"/>
              </w:rPr>
            </w:pPr>
            <w:r>
              <w:rPr>
                <w:sz w:val="20"/>
              </w:rPr>
              <w:t xml:space="preserve">7</w:t>
            </w:r>
          </w:p>
        </w:tc>
        <w:tc>
          <w:tcPr>
            <w:tcW w:w="3118" w:type="dxa"/>
          </w:tcPr>
          <w:p w:rsidR="00191A23" w:rsidRPr="0022554A" w:rsidRDefault="00191A23" w:rsidP="00191A23">
            <w:pPr>
              <w:tabs>
                <w:tab w:val="left" w:pos="5400"/>
              </w:tabs>
              <w:rPr>
                <w:sz w:val="20"/>
              </w:rPr>
            </w:pPr>
            <w:r>
              <w:rPr>
                <w:sz w:val="20"/>
              </w:rPr>
              <w:t xml:space="preserve">Methods (“Statistical analysis”): missing covariate data affected fewer than 3% of eligible patients and were handled by complete-case analysis.</w:t>
            </w:r>
          </w:p>
        </w:tc>
      </w:tr>
      <w:tr w:rsidR="00191A23" w:rsidRPr="0022554A" w:rsidTr="00517788">
        <w:tc>
          <w:tcPr>
            <w:tcW w:w="1521" w:type="dxa"/>
            <w:vMerge/>
          </w:tcPr>
          <w:p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w:t>
            </w:r>
            <w:r>
              <w:rPr>
                <w:i/>
                <w:sz w:val="20"/>
              </w:rPr>
              <w:t>d</w:t>
            </w:r>
            <w:r>
              <w:rPr>
                <w:sz w:val="20"/>
              </w:rPr>
              <w:t xml:space="preserve">) </w:t>
            </w:r>
            <w:r>
              <w:rPr>
                <w:bCs/>
                <w:i/>
                <w:sz w:val="20"/>
              </w:rPr>
              <w:t>Cohort study</w:t>
            </w:r>
            <w:r>
              <w:rPr>
                <w:sz w:val="20"/>
              </w:rPr>
              <w:t>—If applicable, explain how loss to follow-up was addressed</w:t>
            </w:r>
          </w:p>
          <w:p w:rsidR="00191A23" w:rsidRPr="0022554A" w:rsidRDefault="00191A23" w:rsidP="00191A23">
            <w:pPr>
              <w:tabs>
                <w:tab w:val="left" w:pos="5400"/>
              </w:tabs>
              <w:rPr>
                <w:sz w:val="20"/>
              </w:rPr>
            </w:pPr>
            <w:r>
              <w:rPr>
                <w:bCs/>
                <w:i/>
                <w:sz w:val="20"/>
              </w:rPr>
              <w:t>Case-control study</w:t>
            </w:r>
            <w:r>
              <w:rPr>
                <w:sz w:val="20"/>
              </w:rPr>
              <w:t>—If applicable, explain how matching of cases and controls was addressed</w:t>
            </w:r>
          </w:p>
          <w:p w:rsidR="00191A23" w:rsidRPr="0022554A" w:rsidRDefault="00191A23" w:rsidP="00191A23">
            <w:pPr>
              <w:tabs>
                <w:tab w:val="left" w:pos="5400"/>
              </w:tabs>
              <w:rPr>
                <w:sz w:val="20"/>
              </w:rPr>
            </w:pPr>
            <w:r>
              <w:rPr>
                <w:bCs/>
                <w:i/>
                <w:sz w:val="20"/>
              </w:rPr>
              <w:t>Cross-sectional study</w:t>
            </w:r>
            <w:r>
              <w:rPr>
                <w:sz w:val="20"/>
              </w:rPr>
              <w:t>—If applicable, describe analytical methods taking account of sampling strategy</w:t>
            </w:r>
          </w:p>
        </w:tc>
        <w:tc>
          <w:tcPr>
            <w:tcW w:w="1276" w:type="dxa"/>
          </w:tcPr>
          <w:p w:rsidR="00191A23" w:rsidRPr="0022554A" w:rsidRDefault="00191A23" w:rsidP="00191A23">
            <w:pPr>
              <w:tabs>
                <w:tab w:val="left" w:pos="5400"/>
              </w:tabs>
              <w:rPr>
                <w:sz w:val="20"/>
              </w:rPr>
            </w:pPr>
            <w:r>
              <w:rPr>
                <w:sz w:val="20"/>
              </w:rPr>
              <w:t xml:space="preserve">6</w:t>
            </w:r>
          </w:p>
        </w:tc>
        <w:tc>
          <w:tcPr>
            <w:tcW w:w="3118" w:type="dxa"/>
          </w:tcPr>
          <w:p w:rsidR="00191A23" w:rsidRPr="0022554A" w:rsidRDefault="00191A23" w:rsidP="00191A23">
            <w:pPr>
              <w:tabs>
                <w:tab w:val="left" w:pos="5400"/>
              </w:tabs>
              <w:rPr>
                <w:sz w:val="20"/>
              </w:rPr>
            </w:pPr>
            <w:r>
              <w:rPr>
                <w:sz w:val="20"/>
              </w:rPr>
              <w:t xml:space="preserve">Methods (“Outcomes”): the primary outcome was assessed over a fixed 90-day window anchored at the echocardiogram, not requiring a minimum length of stay, thereby avoiding immortal-time and survivor biases; vital status came from linked death records.</w:t>
            </w:r>
          </w:p>
        </w:tc>
      </w:tr>
      <w:tr w:rsidR="00191A23" w:rsidRPr="0022554A" w:rsidTr="00517788">
        <w:tc>
          <w:tcPr>
            <w:tcW w:w="1521" w:type="dxa"/>
            <w:vMerge/>
          </w:tcPr>
          <w:p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w:t>
            </w:r>
            <w:r>
              <w:rPr>
                <w:i/>
                <w:sz w:val="20"/>
                <w:u w:val="single"/>
              </w:rPr>
              <w:t>e</w:t>
            </w:r>
            <w:r>
              <w:rPr>
                <w:sz w:val="20"/>
              </w:rPr>
              <w:t>) Describe any sensitivity analyses</w:t>
            </w:r>
          </w:p>
        </w:tc>
        <w:tc>
          <w:tcPr>
            <w:tcW w:w="1276" w:type="dxa"/>
          </w:tcPr>
          <w:p w:rsidR="00191A23" w:rsidRPr="0022554A" w:rsidRDefault="00191A23" w:rsidP="00191A23">
            <w:pPr>
              <w:tabs>
                <w:tab w:val="left" w:pos="5400"/>
              </w:tabs>
              <w:rPr>
                <w:sz w:val="20"/>
              </w:rPr>
            </w:pPr>
            <w:r>
              <w:rPr>
                <w:sz w:val="20"/>
              </w:rPr>
              <w:t xml:space="preserve">7</w:t>
            </w:r>
          </w:p>
        </w:tc>
        <w:tc>
          <w:tcPr>
            <w:tcW w:w="3118" w:type="dxa"/>
          </w:tcPr>
          <w:p w:rsidR="00191A23" w:rsidRPr="0022554A" w:rsidRDefault="00191A23" w:rsidP="00191A23">
            <w:pPr>
              <w:tabs>
                <w:tab w:val="left" w:pos="5400"/>
              </w:tabs>
              <w:rPr>
                <w:sz w:val="20"/>
              </w:rPr>
            </w:pPr>
            <w:r>
              <w:rPr>
                <w:sz w:val="20"/>
              </w:rPr>
              <w:t xml:space="preserve">Methods (“Statistical analysis”): pre-specified sensitivity analyses—concordant velocity–gradient re-grading, a low-flow subset, echocardiograms within 24 h, removal of the vasopressor/ventilation terms, extension to the full cohort, and parsimonious, heart-failure and ejection-fraction-adjusted models—plus E-value and Fine–Gray competing-risk analyses.</w:t>
            </w:r>
          </w:p>
        </w:tc>
      </w:tr>
      <w:bookmarkEnd w:id="52"/>
      <w:bookmarkEnd w:id="53"/>
      <w:tr w:rsidR="00191A23" w:rsidRPr="0022554A" w:rsidTr="00191A23">
        <w:tc>
          <w:tcPr>
            <w:tcW w:w="14992" w:type="dxa"/>
            <w:gridSpan w:val="5"/>
          </w:tcPr>
          <w:p w:rsidR="00191A23" w:rsidRPr="0022554A" w:rsidRDefault="00191A23" w:rsidP="00191A23">
            <w:pPr>
              <w:pStyle w:val="TableSubHead"/>
              <w:tabs>
                <w:tab w:val="left" w:pos="5400"/>
              </w:tabs>
              <w:rPr>
                <w:sz w:val="20"/>
              </w:rPr>
            </w:pPr>
            <w:r>
              <w:rPr>
                <w:sz w:val="20"/>
              </w:rPr>
              <w:t>Results</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54" w:name="bold29"/>
            <w:bookmarkStart w:id="55" w:name="italic31"/>
            <w:r>
              <w:rPr>
                <w:bCs/>
                <w:sz w:val="20"/>
              </w:rPr>
              <w:t>Participants</w:t>
            </w:r>
            <w:bookmarkEnd w:id="54"/>
            <w:bookmarkEnd w:id="55"/>
          </w:p>
        </w:tc>
        <w:tc>
          <w:tcPr>
            <w:tcW w:w="0" w:type="auto"/>
            <w:vMerge w:val="restart"/>
          </w:tcPr>
          <w:p w:rsidR="00191A23" w:rsidRPr="0022554A" w:rsidRDefault="00191A23" w:rsidP="00191A23">
            <w:pPr>
              <w:tabs>
                <w:tab w:val="left" w:pos="5400"/>
              </w:tabs>
              <w:jc w:val="center"/>
              <w:rPr>
                <w:sz w:val="20"/>
              </w:rPr>
            </w:pPr>
            <w:r>
              <w:rPr>
                <w:sz w:val="20"/>
              </w:rPr>
              <w:t>13</w:t>
            </w:r>
            <w:bookmarkStart w:id="56" w:name="bold30"/>
            <w:r>
              <w:rPr>
                <w:bCs/>
                <w:sz w:val="20"/>
              </w:rPr>
              <w:t>*</w:t>
            </w:r>
            <w:bookmarkEnd w:id="56"/>
          </w:p>
        </w:tc>
        <w:tc>
          <w:tcPr>
            <w:tcW w:w="8328" w:type="dxa"/>
          </w:tcPr>
          <w:p w:rsidR="00191A23" w:rsidRPr="0022554A" w:rsidRDefault="00191A23" w:rsidP="00191A23">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1276" w:type="dxa"/>
          </w:tcPr>
          <w:p w:rsidR="00191A23" w:rsidRDefault="00191A23" w:rsidP="00191A23">
            <w:pPr>
              <w:tabs>
                <w:tab w:val="left" w:pos="5400"/>
              </w:tabs>
              <w:rPr>
                <w:sz w:val="20"/>
              </w:rPr>
            </w:pPr>
            <w:r>
              <w:rPr>
                <w:sz w:val="20"/>
              </w:rPr>
              <w:t xml:space="preserve">8</w:t>
            </w:r>
          </w:p>
        </w:tc>
        <w:tc>
          <w:tcPr>
            <w:tcW w:w="3118" w:type="dxa"/>
          </w:tcPr>
          <w:p w:rsidR="00191A23" w:rsidRDefault="00191A23" w:rsidP="00191A23">
            <w:pPr>
              <w:tabs>
                <w:tab w:val="left" w:pos="5400"/>
              </w:tabs>
              <w:rPr>
                <w:sz w:val="20"/>
              </w:rPr>
            </w:pPr>
            <w:r>
              <w:rPr>
                <w:sz w:val="20"/>
              </w:rPr>
              <w:t xml:space="preserve">Results (“Cohort and baseline characteristics”) and Fig. 1: numbers are reported at each stage—85,242 first ICU admissions; 18,288 after excluding no interpretable peak velocity (65,851) and prior valve replacement (1,103); 17,679 after excluding no follow-up (202) and incomplete covariates (407); and 12,878 after excluding cardiac admissions (4,801).</w:t>
            </w:r>
          </w:p>
        </w:tc>
      </w:tr>
      <w:tr w:rsidR="00191A23" w:rsidRPr="0022554A" w:rsidTr="00517788">
        <w:tc>
          <w:tcPr>
            <w:tcW w:w="0" w:type="auto"/>
            <w:vMerge/>
          </w:tcPr>
          <w:p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(b) Give reasons for non-participation at each stage</w:t>
            </w:r>
          </w:p>
        </w:tc>
        <w:tc>
          <w:tcPr>
            <w:tcW w:w="1276" w:type="dxa"/>
          </w:tcPr>
          <w:p w:rsidR="00191A23" w:rsidRDefault="00191A23" w:rsidP="00191A23">
            <w:pPr>
              <w:tabs>
                <w:tab w:val="left" w:pos="5400"/>
              </w:tabs>
              <w:rPr>
                <w:sz w:val="20"/>
              </w:rPr>
            </w:pPr>
            <w:r>
              <w:rPr>
                <w:sz w:val="20"/>
              </w:rPr>
              <w:t xml:space="preserve">8</w:t>
            </w:r>
          </w:p>
        </w:tc>
        <w:tc>
          <w:tcPr>
            <w:tcW w:w="3118" w:type="dxa"/>
          </w:tcPr>
          <w:p w:rsidR="00191A23" w:rsidRDefault="00191A23" w:rsidP="00191A23">
            <w:pPr>
              <w:tabs>
                <w:tab w:val="left" w:pos="5400"/>
              </w:tabs>
              <w:rPr>
                <w:sz w:val="20"/>
              </w:rPr>
            </w:pPr>
            <w:r>
              <w:rPr>
                <w:sz w:val="20"/>
              </w:rPr>
              <w:t xml:space="preserve">Results (“Cohort and baseline characteristics”) and Fig. 1: the exclusion counts are given—no interpretable baseline aortic peak velocity (n=65,851), previous aortic valve replacement (n=1,103), no follow-up beyond the index echocardiogram (n=202), incomplete covariate data (n=407), and cardiac primary diagnosis (n=4,801).</w:t>
            </w:r>
          </w:p>
        </w:tc>
      </w:tr>
      <w:tr w:rsidR="00191A23" w:rsidRPr="0022554A" w:rsidTr="00517788">
        <w:tc>
          <w:tcPr>
            <w:tcW w:w="0" w:type="auto"/>
            <w:vMerge/>
          </w:tcPr>
          <w:p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bookmarkStart w:id="61" w:name="OLE_LINK4"/>
            <w:r>
              <w:rPr>
                <w:sz w:val="20"/>
              </w:rPr>
              <w:t>(c) Consider use of a flow diagram</w:t>
            </w:r>
            <w:bookmarkEnd w:id="61"/>
          </w:p>
        </w:tc>
        <w:tc>
          <w:tcPr>
            <w:tcW w:w="1276" w:type="dxa"/>
          </w:tcPr>
          <w:p w:rsidR="00191A23" w:rsidRDefault="00191A23" w:rsidP="00191A23">
            <w:pPr>
              <w:tabs>
                <w:tab w:val="left" w:pos="5400"/>
              </w:tabs>
              <w:rPr>
                <w:sz w:val="20"/>
              </w:rPr>
            </w:pPr>
            <w:r>
              <w:rPr>
                <w:sz w:val="20"/>
              </w:rPr>
              <w:t xml:space="preserve">9</w:t>
            </w:r>
          </w:p>
        </w:tc>
        <w:tc>
          <w:tcPr>
            <w:tcW w:w="3118" w:type="dxa"/>
          </w:tcPr>
          <w:p w:rsidR="00191A23" w:rsidRDefault="00191A23" w:rsidP="00191A23">
            <w:pPr>
              <w:tabs>
                <w:tab w:val="left" w:pos="5400"/>
              </w:tabs>
              <w:rPr>
                <w:sz w:val="20"/>
              </w:rPr>
            </w:pPr>
            <w:r>
              <w:rPr>
                <w:sz w:val="20"/>
              </w:rPr>
              <w:t xml:space="preserve">A cohort-selection flow diagram is provided as Fig. 1.</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62" w:name="bold33"/>
            <w:bookmarkStart w:id="63" w:name="italic34"/>
            <w:bookmarkEnd w:id="59"/>
            <w:bookmarkEnd w:id="60"/>
            <w:r>
              <w:rPr>
                <w:bCs/>
                <w:sz w:val="20"/>
              </w:rPr>
              <w:t xml:space="preserve">Descriptive </w:t>
            </w:r>
            <w:bookmarkStart w:id="64" w:name="bold34"/>
            <w:bookmarkStart w:id="65" w:name="italic35"/>
            <w:bookmarkEnd w:id="62"/>
            <w:bookmarkEnd w:id="63"/>
            <w:r>
              <w:rPr>
                <w:bCs/>
                <w:sz w:val="20"/>
              </w:rPr>
              <w:t>data</w:t>
            </w:r>
            <w:bookmarkEnd w:id="64"/>
            <w:bookmarkEnd w:id="65"/>
          </w:p>
        </w:tc>
        <w:tc>
          <w:tcPr>
            <w:tcW w:w="0" w:type="auto"/>
            <w:vMerge w:val="restart"/>
          </w:tcPr>
          <w:p w:rsidR="00191A23" w:rsidRPr="0022554A" w:rsidRDefault="00191A23" w:rsidP="00191A23">
            <w:pPr>
              <w:tabs>
                <w:tab w:val="left" w:pos="5400"/>
              </w:tabs>
              <w:jc w:val="center"/>
              <w:rPr>
                <w:sz w:val="20"/>
              </w:rPr>
            </w:pPr>
            <w:r>
              <w:rPr>
                <w:sz w:val="20"/>
              </w:rPr>
              <w:t>14</w:t>
            </w:r>
            <w:bookmarkStart w:id="66" w:name="bold35"/>
            <w:r>
              <w:rPr>
                <w:bCs/>
                <w:sz w:val="20"/>
              </w:rPr>
              <w:t>*</w:t>
            </w:r>
            <w:bookmarkEnd w:id="66"/>
          </w:p>
        </w:tc>
        <w:tc>
          <w:tcPr>
            <w:tcW w:w="8328" w:type="dxa"/>
          </w:tcPr>
          <w:p w:rsidR="00191A23" w:rsidRPr="0022554A" w:rsidRDefault="00191A23" w:rsidP="00191A23">
            <w:pPr>
              <w:tabs>
                <w:tab w:val="left" w:pos="5400"/>
              </w:tabs>
              <w:rPr>
                <w:sz w:val="20"/>
              </w:rPr>
            </w:pPr>
            <w:r>
              <w:rPr>
                <w:sz w:val="20"/>
              </w:rPr>
              <w:t>(a) Give characteristics of study participants (eg demographic, clinical, social) and information on exposures and potential confounders</w:t>
            </w:r>
          </w:p>
        </w:tc>
        <w:tc>
          <w:tcPr>
            <w:tcW w:w="1276" w:type="dxa"/>
          </w:tcPr>
          <w:p w:rsidR="00191A23" w:rsidRDefault="00191A23" w:rsidP="00191A23">
            <w:pPr>
              <w:tabs>
                <w:tab w:val="left" w:pos="5400"/>
              </w:tabs>
              <w:rPr>
                <w:sz w:val="20"/>
              </w:rPr>
            </w:pPr>
            <w:r>
              <w:rPr>
                <w:sz w:val="20"/>
              </w:rPr>
              <w:t xml:space="preserve">10</w:t>
            </w:r>
          </w:p>
        </w:tc>
        <w:tc>
          <w:tcPr>
            <w:tcW w:w="3118" w:type="dxa"/>
          </w:tcPr>
          <w:p w:rsidR="00191A23" w:rsidRDefault="00191A23" w:rsidP="00191A23">
            <w:pPr>
              <w:tabs>
                <w:tab w:val="left" w:pos="5400"/>
              </w:tabs>
              <w:rPr>
                <w:sz w:val="20"/>
              </w:rPr>
            </w:pPr>
            <w:r>
              <w:rPr>
                <w:sz w:val="20"/>
              </w:rPr>
              <w:t xml:space="preserve">Results (“Cohort and baseline characteristics”) and Table 1: demographic, acute-illness-severity, comorbidity, flow-state and echocardiographic characteristics are reported by aortic-stenosis grade, with P values.</w:t>
            </w:r>
          </w:p>
        </w:tc>
      </w:tr>
      <w:tr w:rsidR="00191A23" w:rsidRPr="0022554A" w:rsidTr="00517788">
        <w:tc>
          <w:tcPr>
            <w:tcW w:w="0" w:type="auto"/>
            <w:vMerge/>
          </w:tcPr>
          <w:p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(b) Indicate number of participants with missing data for each variable of interest</w:t>
            </w:r>
          </w:p>
        </w:tc>
        <w:tc>
          <w:tcPr>
            <w:tcW w:w="1276" w:type="dxa"/>
          </w:tcPr>
          <w:p w:rsidR="00191A23" w:rsidRDefault="00191A23" w:rsidP="00191A23">
            <w:pPr>
              <w:tabs>
                <w:tab w:val="left" w:pos="5400"/>
              </w:tabs>
              <w:rPr>
                <w:sz w:val="20"/>
              </w:rPr>
            </w:pPr>
            <w:r>
              <w:rPr>
                <w:sz w:val="20"/>
              </w:rPr>
              <w:t xml:space="preserve">7, 10</w:t>
            </w:r>
          </w:p>
        </w:tc>
        <w:tc>
          <w:tcPr>
            <w:tcW w:w="3118" w:type="dxa"/>
          </w:tcPr>
          <w:p w:rsidR="00191A23" w:rsidRDefault="00191A23" w:rsidP="00191A23">
            <w:pPr>
              <w:tabs>
                <w:tab w:val="left" w:pos="5400"/>
              </w:tabs>
              <w:rPr>
                <w:sz w:val="20"/>
              </w:rPr>
            </w:pPr>
            <w:r>
              <w:rPr>
                <w:sz w:val="20"/>
              </w:rPr>
              <w:t xml:space="preserve">Methods (“Statistical analysis”) and Table 1: complete-case analysis (covariate data missing in &lt;3% of eligible patients, who were excluded); a mean gradient was recorded in 2,003 patients (15.6%) and ejection fraction in 10,324 (80.2%), as noted in the Table 1 footnotes.</w:t>
            </w:r>
          </w:p>
        </w:tc>
      </w:tr>
      <w:tr w:rsidR="00191A23" w:rsidRPr="0022554A" w:rsidTr="00517788">
        <w:tc>
          <w:tcPr>
            <w:tcW w:w="0" w:type="auto"/>
            <w:vMerge/>
          </w:tcPr>
          <w:p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(c) </w:t>
            </w:r>
            <w:r>
              <w:rPr>
                <w:i/>
                <w:sz w:val="20"/>
              </w:rPr>
              <w:t>Cohort study</w:t>
            </w:r>
            <w:r>
              <w:rPr>
                <w:sz w:val="20"/>
              </w:rPr>
              <w:t>—Summarise follow-up time (eg, average and total amount)</w:t>
            </w:r>
          </w:p>
        </w:tc>
        <w:tc>
          <w:tcPr>
            <w:tcW w:w="1276" w:type="dxa"/>
          </w:tcPr>
          <w:p w:rsidR="00191A23" w:rsidRDefault="00191A23" w:rsidP="00191A23">
            <w:pPr>
              <w:tabs>
                <w:tab w:val="left" w:pos="5400"/>
              </w:tabs>
              <w:rPr>
                <w:sz w:val="20"/>
              </w:rPr>
            </w:pPr>
            <w:r>
              <w:rPr>
                <w:sz w:val="20"/>
              </w:rPr>
              <w:t xml:space="preserve">6</w:t>
            </w:r>
          </w:p>
        </w:tc>
        <w:tc>
          <w:tcPr>
            <w:tcW w:w="3118" w:type="dxa"/>
          </w:tcPr>
          <w:p w:rsidR="00191A23" w:rsidRDefault="00191A23" w:rsidP="00191A23">
            <w:pPr>
              <w:tabs>
                <w:tab w:val="left" w:pos="5400"/>
              </w:tabs>
              <w:rPr>
                <w:sz w:val="20"/>
              </w:rPr>
            </w:pPr>
            <w:r>
              <w:rPr>
                <w:sz w:val="20"/>
              </w:rPr>
              <w:t xml:space="preserve">Methods (“Outcomes”): follow-up was measured from the baseline echocardiogram over a fixed 90-day window, with 28-day and in-hospital secondary outcomes.</w:t>
            </w:r>
          </w:p>
        </w:tc>
      </w:tr>
      <w:tr w:rsidR="00191A23" w:rsidRPr="0022554A" w:rsidTr="00517788">
        <w:trPr>
          <w:trHeight w:val="295"/>
        </w:trPr>
        <w:tc>
          <w:tcPr>
            <w:tcW w:w="0" w:type="auto"/>
            <w:vMerge w:val="restart"/>
          </w:tcPr>
          <w:p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Pr>
                <w:bCs/>
                <w:sz w:val="20"/>
              </w:rPr>
              <w:t>Outcome data</w:t>
            </w:r>
          </w:p>
        </w:tc>
        <w:tc>
          <w:tcPr>
            <w:tcW w:w="0" w:type="auto"/>
            <w:vMerge w:val="restart"/>
          </w:tcPr>
          <w:p w:rsidR="00191A23" w:rsidRPr="0022554A" w:rsidRDefault="00191A23" w:rsidP="00191A23">
            <w:pPr>
              <w:tabs>
                <w:tab w:val="left" w:pos="5400"/>
              </w:tabs>
              <w:jc w:val="center"/>
              <w:rPr>
                <w:sz w:val="20"/>
              </w:rPr>
            </w:pPr>
            <w:r>
              <w:rPr>
                <w:sz w:val="20"/>
              </w:rPr>
              <w:t>15</w:t>
            </w:r>
            <w:bookmarkStart w:id="73" w:name="bold39"/>
            <w:r>
              <w:rPr>
                <w:bCs/>
                <w:sz w:val="20"/>
              </w:rPr>
              <w:t>*</w:t>
            </w:r>
            <w:bookmarkEnd w:id="73"/>
          </w:p>
        </w:tc>
        <w:tc>
          <w:tcPr>
            <w:tcW w:w="8328" w:type="dxa"/>
          </w:tcPr>
          <w:p w:rsidR="00191A23" w:rsidRPr="0022554A" w:rsidRDefault="00191A23" w:rsidP="00191A23">
            <w:pPr>
              <w:tabs>
                <w:tab w:val="left" w:pos="5400"/>
              </w:tabs>
              <w:rPr>
                <w:sz w:val="20"/>
              </w:rPr>
            </w:pPr>
            <w:r>
              <w:rPr>
                <w:i/>
                <w:sz w:val="20"/>
              </w:rPr>
              <w:t>Cohort study</w:t>
            </w:r>
            <w:r>
              <w:rPr>
                <w:sz w:val="20"/>
              </w:rPr>
              <w:t>—Report numbers of outcome events or summary measures over time</w:t>
            </w:r>
          </w:p>
        </w:tc>
        <w:tc>
          <w:tcPr>
            <w:tcW w:w="1276" w:type="dxa"/>
          </w:tcPr>
          <w:p w:rsidR="00191A23" w:rsidRPr="0022554A" w:rsidRDefault="00191A23" w:rsidP="00191A23">
            <w:pPr>
              <w:tabs>
                <w:tab w:val="left" w:pos="5400"/>
              </w:tabs>
              <w:rPr>
                <w:i/>
                <w:sz w:val="20"/>
              </w:rPr>
            </w:pPr>
            <w:r>
              <w:rPr>
                <w:sz w:val="20"/>
              </w:rPr>
              <w:t xml:space="preserve">8, 13</w:t>
            </w:r>
          </w:p>
        </w:tc>
        <w:tc>
          <w:tcPr>
            <w:tcW w:w="3118" w:type="dxa"/>
          </w:tcPr>
          <w:p w:rsidR="00191A23" w:rsidRPr="0022554A" w:rsidRDefault="00191A23" w:rsidP="00191A23">
            <w:pPr>
              <w:tabs>
                <w:tab w:val="left" w:pos="5400"/>
              </w:tabs>
              <w:rPr>
                <w:i/>
                <w:sz w:val="20"/>
              </w:rPr>
            </w:pPr>
            <w:r>
              <w:rPr>
                <w:sz w:val="20"/>
              </w:rPr>
              <w:t xml:space="preserve">Results (“Cohort and baseline characteristics”) and Tables 1–2: 3,605 deaths within 90 days (2,099 [58.2%] in hospital, 1,506 [41.8%] after discharge); crude grade-specific 90-day mortality 26.1/34.4/40.4/46.5%, with Kaplan–Meier curves (Fig. 2).</w:t>
            </w: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Case-control study—</w:t>
            </w:r>
            <w:r>
              <w:rPr>
                <w:sz w:val="20"/>
              </w:rPr>
              <w:t>Report numbers in each exposure category, or summary measures of exposure</w:t>
            </w:r>
          </w:p>
        </w:tc>
        <w:tc>
          <w:tcPr>
            <w:tcW w:w="1276" w:type="dxa"/>
          </w:tcPr>
          <w:p w:rsidR="00191A23" w:rsidRPr="0022554A" w:rsidRDefault="00191A23" w:rsidP="00191A23">
            <w:pPr>
              <w:tabs>
                <w:tab w:val="left" w:pos="5400"/>
              </w:tabs>
              <w:rPr>
                <w:i/>
                <w:sz w:val="20"/>
              </w:rPr>
            </w:pP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Cross-sectional study—</w:t>
            </w:r>
            <w:r>
              <w:rPr>
                <w:sz w:val="20"/>
              </w:rPr>
              <w:t>Report numbers of outcome events or summary measures</w:t>
            </w:r>
          </w:p>
        </w:tc>
        <w:tc>
          <w:tcPr>
            <w:tcW w:w="1276" w:type="dxa"/>
          </w:tcPr>
          <w:p w:rsidR="00191A23" w:rsidRDefault="00191A23" w:rsidP="00191A23">
            <w:pPr>
              <w:tabs>
                <w:tab w:val="left" w:pos="5400"/>
              </w:tabs>
              <w:rPr>
                <w:i/>
                <w:sz w:val="20"/>
              </w:rPr>
            </w:pPr>
          </w:p>
        </w:tc>
        <w:tc>
          <w:tcPr>
            <w:tcW w:w="3118" w:type="dxa"/>
          </w:tcPr>
          <w:p w:rsidR="00191A23" w:rsidRDefault="00191A23" w:rsidP="00191A23">
            <w:pPr>
              <w:tabs>
                <w:tab w:val="left" w:pos="5400"/>
              </w:tabs>
              <w:rPr>
                <w:i/>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Pr>
                <w:bCs/>
                <w:sz w:val="20"/>
              </w:rPr>
              <w:t>Main results</w:t>
            </w:r>
          </w:p>
        </w:tc>
        <w:tc>
          <w:tcPr>
            <w:tcW w:w="0" w:type="auto"/>
            <w:vMerge w:val="restart"/>
          </w:tcPr>
          <w:p w:rsidR="00191A23" w:rsidRPr="0022554A" w:rsidRDefault="00191A23" w:rsidP="00191A23">
            <w:pPr>
              <w:tabs>
                <w:tab w:val="left" w:pos="5400"/>
              </w:tabs>
              <w:jc w:val="center"/>
              <w:rPr>
                <w:sz w:val="20"/>
              </w:rPr>
            </w:pPr>
            <w:r>
              <w:rPr>
                <w:sz w:val="20"/>
              </w:rPr>
              <w:t>16</w:t>
            </w:r>
          </w:p>
        </w:tc>
        <w:tc>
          <w:tcPr>
            <w:tcW w:w="8328" w:type="dxa"/>
          </w:tcPr>
          <w:p w:rsidR="00191A23" w:rsidRPr="006149D3" w:rsidRDefault="00191A23" w:rsidP="00191A23">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1276" w:type="dxa"/>
          </w:tcPr>
          <w:p w:rsidR="00191A23" w:rsidRPr="0022554A" w:rsidRDefault="00191A23" w:rsidP="00191A23">
            <w:pPr>
              <w:tabs>
                <w:tab w:val="left" w:pos="5400"/>
              </w:tabs>
              <w:rPr>
                <w:sz w:val="20"/>
              </w:rPr>
            </w:pPr>
            <w:r>
              <w:rPr>
                <w:sz w:val="20"/>
              </w:rPr>
              <w:t xml:space="preserve">12, 14</w:t>
            </w:r>
          </w:p>
        </w:tc>
        <w:tc>
          <w:tcPr>
            <w:tcW w:w="3118" w:type="dxa"/>
          </w:tcPr>
          <w:p w:rsidR="00191A23" w:rsidRPr="0022554A" w:rsidRDefault="00191A23" w:rsidP="00191A23">
            <w:pPr>
              <w:tabs>
                <w:tab w:val="left" w:pos="5400"/>
              </w:tabs>
              <w:rPr>
                <w:sz w:val="20"/>
              </w:rPr>
            </w:pPr>
            <w:r>
              <w:rPr>
                <w:sz w:val="20"/>
              </w:rPr>
              <w:t xml:space="preserve">Results (“Primary analysis”) and Table 2: crude grade-specific mortality (Table 1) and covariate-adjusted hazard ratios with 95% CIs are reported (90-day adjusted HR 1.17 sclerosis, 1.33 moderate, 1.61 severe); the adjustment set is given in the Methods and the Table 2 footnote.</w:t>
            </w:r>
          </w:p>
        </w:tc>
      </w:tr>
      <w:tr w:rsidR="00191A23" w:rsidRPr="0022554A" w:rsidTr="00517788">
        <w:tc>
          <w:tcPr>
            <w:tcW w:w="0" w:type="auto"/>
            <w:vMerge/>
          </w:tcPr>
          <w:p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Pr>
                <w:sz w:val="20"/>
              </w:rPr>
              <w:t>(</w:t>
            </w:r>
            <w:r>
              <w:rPr>
                <w:i/>
                <w:sz w:val="20"/>
              </w:rPr>
              <w:t>b</w:t>
            </w:r>
            <w:r>
              <w:rPr>
                <w:sz w:val="20"/>
              </w:rPr>
              <w:t>) Report category boundaries when continuous variables were categorized</w:t>
            </w:r>
          </w:p>
        </w:tc>
        <w:tc>
          <w:tcPr>
            <w:tcW w:w="1276" w:type="dxa"/>
          </w:tcPr>
          <w:p w:rsidR="00191A23" w:rsidRPr="0022554A" w:rsidRDefault="00191A23" w:rsidP="00191A23">
            <w:pPr>
              <w:tabs>
                <w:tab w:val="left" w:pos="5400"/>
              </w:tabs>
              <w:rPr>
                <w:sz w:val="20"/>
              </w:rPr>
            </w:pPr>
            <w:r>
              <w:rPr>
                <w:sz w:val="20"/>
              </w:rPr>
              <w:t xml:space="preserve">5, 7</w:t>
            </w:r>
          </w:p>
        </w:tc>
        <w:tc>
          <w:tcPr>
            <w:tcW w:w="3118" w:type="dxa"/>
          </w:tcPr>
          <w:p w:rsidR="00191A23" w:rsidRPr="0022554A" w:rsidRDefault="00191A23" w:rsidP="00191A23">
            <w:pPr>
              <w:tabs>
                <w:tab w:val="left" w:pos="5400"/>
              </w:tabs>
              <w:rPr>
                <w:sz w:val="20"/>
              </w:rPr>
            </w:pPr>
            <w:r>
              <w:rPr>
                <w:sz w:val="20"/>
              </w:rPr>
              <w:t xml:space="preserve">Methods (“Exposure”, “Statistical analysis”): category boundaries are reported for aortic-stenosis grade by peak velocity (&lt;2.0, 2.0–2.9, 3.0–3.9, ≥4.0 m/s) and for ejection-fraction subgroups (preserved ≥50%, reduced &lt;50%).</w:t>
            </w:r>
          </w:p>
        </w:tc>
      </w:tr>
      <w:tr w:rsidR="00191A23" w:rsidRPr="0022554A" w:rsidTr="00517788">
        <w:tc>
          <w:tcPr>
            <w:tcW w:w="0" w:type="auto"/>
            <w:vMerge/>
          </w:tcPr>
          <w:p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1276" w:type="dxa"/>
          </w:tcPr>
          <w:p w:rsidR="00191A23" w:rsidRPr="0022554A" w:rsidRDefault="00191A23" w:rsidP="00191A23">
            <w:pPr>
              <w:tabs>
                <w:tab w:val="left" w:pos="5400"/>
              </w:tabs>
              <w:rPr>
                <w:sz w:val="20"/>
              </w:rPr>
            </w:pPr>
            <w:r>
              <w:rPr>
                <w:sz w:val="20"/>
              </w:rPr>
              <w:t xml:space="preserve">8, 16</w:t>
            </w:r>
          </w:p>
        </w:tc>
        <w:tc>
          <w:tcPr>
            <w:tcW w:w="3118" w:type="dxa"/>
          </w:tcPr>
          <w:p w:rsidR="00191A23" w:rsidRPr="0022554A" w:rsidRDefault="00191A23" w:rsidP="00191A23">
            <w:pPr>
              <w:tabs>
                <w:tab w:val="left" w:pos="5400"/>
              </w:tabs>
              <w:rPr>
                <w:sz w:val="20"/>
              </w:rPr>
            </w:pPr>
            <w:r>
              <w:rPr>
                <w:sz w:val="20"/>
              </w:rPr>
              <w:t xml:space="preserve">Results (“Cohort and baseline characteristics”) and Table 1: effects are also expressed as absolute crude 90-day mortality by grade (26.1%, 34.4%, 40.4%, 46.5%), complemented by the restricted-cubic-spline dose–response across the velocity range (Fig. 3).</w:t>
            </w:r>
          </w:p>
        </w:tc>
      </w:tr>
    </w:tbl>
    <w:p w:rsidR="00191A23" w:rsidRDefault="00191A23">
      <w:bookmarkStart w:id="80" w:name="italic43"/>
      <w:bookmarkStart w:id="81" w:name="bold44"/>
      <w:bookmarkEnd w:id="78"/>
      <w:bookmarkEnd w:id="79"/>
      <w:r>
        <w:rPr>
          <w:sz w:val="16"/>
          <w:szCs w:val="16"/>
        </w:rPr>
        <w:t>Continued on next page</w:t>
      </w:r>
      <w:r>
        <w:t xml:space="preserve"> </w:t>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rsidTr="00517788">
        <w:tc>
          <w:tcPr>
            <w:tcW w:w="0" w:type="auto"/>
          </w:tcPr>
          <w:p w:rsidR="00191A23" w:rsidRPr="0022554A" w:rsidRDefault="00191A23" w:rsidP="00191A23">
            <w:pPr>
              <w:tabs>
                <w:tab w:val="left" w:pos="5400"/>
              </w:tabs>
              <w:rPr>
                <w:bCs/>
                <w:sz w:val="20"/>
              </w:rPr>
            </w:pPr>
            <w:r>
              <w:rPr>
                <w:bCs/>
                <w:sz w:val="20"/>
              </w:rPr>
              <w:lastRenderedPageBreak/>
              <w:t>Other analyses</w:t>
            </w:r>
            <w:bookmarkEnd w:id="80"/>
            <w:bookmarkEnd w:id="81"/>
          </w:p>
        </w:tc>
        <w:tc>
          <w:tcPr>
            <w:tcW w:w="0" w:type="auto"/>
          </w:tcPr>
          <w:p w:rsidR="00191A23" w:rsidRPr="0022554A" w:rsidRDefault="00191A23" w:rsidP="00191A23">
            <w:pPr>
              <w:tabs>
                <w:tab w:val="left" w:pos="5400"/>
              </w:tabs>
              <w:jc w:val="center"/>
              <w:rPr>
                <w:sz w:val="20"/>
              </w:rPr>
            </w:pPr>
            <w:r>
              <w:rPr>
                <w:sz w:val="20"/>
              </w:rPr>
              <w:t>17</w:t>
            </w:r>
          </w:p>
        </w:tc>
        <w:tc>
          <w:tcPr>
            <w:tcW w:w="8687" w:type="dxa"/>
          </w:tcPr>
          <w:p w:rsidR="00191A23" w:rsidRPr="0022554A" w:rsidRDefault="00191A23" w:rsidP="00191A23">
            <w:pPr>
              <w:tabs>
                <w:tab w:val="left" w:pos="5400"/>
              </w:tabs>
              <w:rPr>
                <w:sz w:val="20"/>
              </w:rPr>
            </w:pPr>
            <w:r>
              <w:rPr>
                <w:sz w:val="20"/>
              </w:rPr>
              <w:t>Report other analyses done—eg analyses of subgroups and interactions, and sensitivity analyses</w:t>
            </w:r>
          </w:p>
        </w:tc>
        <w:tc>
          <w:tcPr>
            <w:tcW w:w="1265" w:type="dxa"/>
          </w:tcPr>
          <w:p w:rsidR="00191A23" w:rsidRPr="0022554A" w:rsidRDefault="00191A23" w:rsidP="00191A23">
            <w:pPr>
              <w:tabs>
                <w:tab w:val="left" w:pos="5400"/>
              </w:tabs>
              <w:rPr>
                <w:sz w:val="20"/>
              </w:rPr>
            </w:pPr>
            <w:r>
              <w:rPr>
                <w:sz w:val="20"/>
              </w:rPr>
              <w:t xml:space="preserve">15–18</w:t>
            </w:r>
          </w:p>
        </w:tc>
        <w:tc>
          <w:tcPr>
            <w:tcW w:w="3129" w:type="dxa"/>
          </w:tcPr>
          <w:p w:rsidR="00191A23" w:rsidRPr="0022554A" w:rsidRDefault="00191A23" w:rsidP="00191A23">
            <w:pPr>
              <w:tabs>
                <w:tab w:val="left" w:pos="5400"/>
              </w:tabs>
              <w:rPr>
                <w:sz w:val="20"/>
              </w:rPr>
            </w:pPr>
            <w:r>
              <w:rPr>
                <w:sz w:val="20"/>
              </w:rPr>
              <w:t xml:space="preserve">Results (“Dose–response” through “Sensitivity and subgroup analyses”), Table 2, Figs 3–4 and Additional file 1: Tables S1–S4: the dose–response spline, alternative outcomes and estimators, propensity-score matching, velocity–gradient concordance, ejection-fraction subgroups and the full set of sensitivity analyses (including Fine–Gray) are reported.</w:t>
            </w:r>
          </w:p>
        </w:tc>
      </w:tr>
      <w:tr w:rsidR="00976EE1" w:rsidRPr="0022554A" w:rsidTr="00191A23">
        <w:tc>
          <w:tcPr>
            <w:tcW w:w="14992" w:type="dxa"/>
            <w:gridSpan w:val="5"/>
          </w:tcPr>
          <w:p w:rsidR="00976EE1" w:rsidRPr="0022554A" w:rsidRDefault="00976EE1" w:rsidP="00191A23">
            <w:pPr>
              <w:pStyle w:val="TableSubHead"/>
              <w:tabs>
                <w:tab w:val="left" w:pos="5400"/>
              </w:tabs>
              <w:rPr>
                <w:sz w:val="20"/>
              </w:rPr>
            </w:pPr>
            <w:bookmarkStart w:id="82" w:name="italic44"/>
            <w:bookmarkStart w:id="83" w:name="bold45"/>
            <w:r>
              <w:rPr>
                <w:sz w:val="20"/>
              </w:rPr>
              <w:t>Discussion</w:t>
            </w:r>
            <w:bookmarkEnd w:id="82"/>
            <w:bookmarkEnd w:id="83"/>
          </w:p>
        </w:tc>
      </w:tr>
      <w:tr w:rsidR="00191A23" w:rsidRPr="0022554A" w:rsidTr="00517788">
        <w:tc>
          <w:tcPr>
            <w:tcW w:w="0" w:type="auto"/>
          </w:tcPr>
          <w:p w:rsidR="00191A23" w:rsidRPr="0022554A" w:rsidRDefault="00191A23" w:rsidP="00191A23">
            <w:pPr>
              <w:tabs>
                <w:tab w:val="left" w:pos="5400"/>
              </w:tabs>
              <w:rPr>
                <w:bCs/>
                <w:sz w:val="20"/>
              </w:rPr>
            </w:pPr>
            <w:bookmarkStart w:id="84" w:name="italic45" w:colFirst="0" w:colLast="0"/>
            <w:bookmarkStart w:id="85" w:name="bold46" w:colFirst="0" w:colLast="0"/>
            <w:r>
              <w:rPr>
                <w:bCs/>
                <w:sz w:val="20"/>
              </w:rPr>
              <w:t>Key results</w:t>
            </w:r>
          </w:p>
        </w:tc>
        <w:tc>
          <w:tcPr>
            <w:tcW w:w="0" w:type="auto"/>
          </w:tcPr>
          <w:p w:rsidR="00191A23" w:rsidRPr="0022554A" w:rsidRDefault="00191A23" w:rsidP="00191A23">
            <w:pPr>
              <w:tabs>
                <w:tab w:val="left" w:pos="5400"/>
              </w:tabs>
              <w:jc w:val="center"/>
              <w:rPr>
                <w:sz w:val="20"/>
              </w:rPr>
            </w:pPr>
            <w:r>
              <w:rPr>
                <w:sz w:val="20"/>
              </w:rPr>
              <w:t>18</w:t>
            </w:r>
          </w:p>
        </w:tc>
        <w:tc>
          <w:tcPr>
            <w:tcW w:w="8687" w:type="dxa"/>
          </w:tcPr>
          <w:p w:rsidR="00191A23" w:rsidRPr="0022554A" w:rsidRDefault="00191A23" w:rsidP="00191A23">
            <w:pPr>
              <w:tabs>
                <w:tab w:val="left" w:pos="5400"/>
              </w:tabs>
              <w:rPr>
                <w:sz w:val="20"/>
              </w:rPr>
            </w:pPr>
            <w:r>
              <w:rPr>
                <w:sz w:val="20"/>
              </w:rPr>
              <w:t>Summarise key results with reference to study objectives</w:t>
            </w:r>
          </w:p>
        </w:tc>
        <w:tc>
          <w:tcPr>
            <w:tcW w:w="1265" w:type="dxa"/>
          </w:tcPr>
          <w:p w:rsidR="00191A23" w:rsidRPr="0022554A" w:rsidRDefault="00191A23" w:rsidP="00191A23">
            <w:pPr>
              <w:tabs>
                <w:tab w:val="left" w:pos="5400"/>
              </w:tabs>
              <w:rPr>
                <w:sz w:val="20"/>
              </w:rPr>
            </w:pPr>
            <w:r>
              <w:rPr>
                <w:sz w:val="20"/>
              </w:rPr>
              <w:t xml:space="preserve">19, 24</w:t>
            </w:r>
          </w:p>
        </w:tc>
        <w:tc>
          <w:tcPr>
            <w:tcW w:w="3129" w:type="dxa"/>
          </w:tcPr>
          <w:p w:rsidR="00191A23" w:rsidRPr="0022554A" w:rsidRDefault="00191A23" w:rsidP="00191A23">
            <w:pPr>
              <w:tabs>
                <w:tab w:val="left" w:pos="5400"/>
              </w:tabs>
              <w:rPr>
                <w:sz w:val="20"/>
              </w:rPr>
            </w:pPr>
            <w:r>
              <w:rPr>
                <w:sz w:val="20"/>
              </w:rPr>
              <w:t xml:space="preserve">Discussion (opening) and Conclusions: the key results are summarised—incidentally detected aortic stenosis showed a graded association with 90-day mortality (moderate adjusted HR 1.33; 1.20–1.22 in conservative models), concentrated in the first two weeks and largely confined to reduced ejection fraction.</w:t>
            </w:r>
          </w:p>
        </w:tc>
      </w:tr>
      <w:tr w:rsidR="00191A23" w:rsidRPr="0022554A" w:rsidTr="00517788">
        <w:tc>
          <w:tcPr>
            <w:tcW w:w="0" w:type="auto"/>
          </w:tcPr>
          <w:p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Pr>
                <w:bCs/>
                <w:sz w:val="20"/>
              </w:rPr>
              <w:t>Limitations</w:t>
            </w:r>
          </w:p>
        </w:tc>
        <w:tc>
          <w:tcPr>
            <w:tcW w:w="0" w:type="auto"/>
          </w:tcPr>
          <w:p w:rsidR="00191A23" w:rsidRPr="0022554A" w:rsidRDefault="00191A23" w:rsidP="00191A23">
            <w:pPr>
              <w:tabs>
                <w:tab w:val="left" w:pos="5400"/>
              </w:tabs>
              <w:jc w:val="center"/>
              <w:rPr>
                <w:sz w:val="20"/>
              </w:rPr>
            </w:pPr>
            <w:r>
              <w:rPr>
                <w:sz w:val="20"/>
              </w:rPr>
              <w:t>19</w:t>
            </w:r>
          </w:p>
        </w:tc>
        <w:tc>
          <w:tcPr>
            <w:tcW w:w="8687" w:type="dxa"/>
          </w:tcPr>
          <w:p w:rsidR="00191A23" w:rsidRPr="0022554A" w:rsidRDefault="00191A23" w:rsidP="00191A23">
            <w:pPr>
              <w:tabs>
                <w:tab w:val="left" w:pos="5400"/>
              </w:tabs>
              <w:rPr>
                <w:sz w:val="20"/>
              </w:rPr>
            </w:pPr>
            <w:r>
              <w:rPr>
                <w:sz w:val="20"/>
              </w:rPr>
              <w:t>Discuss limitations of the study, taking into account sources of potential bias or imprecision. Discuss both direction and magnitude of any potential bias</w:t>
            </w:r>
          </w:p>
        </w:tc>
        <w:tc>
          <w:tcPr>
            <w:tcW w:w="1265" w:type="dxa"/>
          </w:tcPr>
          <w:p w:rsidR="00191A23" w:rsidRPr="0022554A" w:rsidRDefault="00191A23" w:rsidP="00191A23">
            <w:pPr>
              <w:tabs>
                <w:tab w:val="left" w:pos="5400"/>
              </w:tabs>
              <w:rPr>
                <w:sz w:val="20"/>
              </w:rPr>
            </w:pPr>
            <w:r>
              <w:rPr>
                <w:sz w:val="20"/>
              </w:rPr>
              <w:t xml:space="preserve">22–23</w:t>
            </w:r>
          </w:p>
        </w:tc>
        <w:tc>
          <w:tcPr>
            <w:tcW w:w="3129" w:type="dxa"/>
          </w:tcPr>
          <w:p w:rsidR="00191A23" w:rsidRPr="0022554A" w:rsidRDefault="00191A23" w:rsidP="00191A23">
            <w:pPr>
              <w:tabs>
                <w:tab w:val="left" w:pos="5400"/>
              </w:tabs>
              <w:rPr>
                <w:sz w:val="20"/>
              </w:rPr>
            </w:pPr>
            <w:r>
              <w:rPr>
                <w:sz w:val="20"/>
              </w:rPr>
              <w:t xml:space="preserve">Discussion (limitations): single-centre data without external validation, velocity-only grading and flow-dependent misclassification, selection of patients with an early interpretable echocardiogram, “non-cardiac” denoting the reason for admission, residual and unmeasured confounding (E-value 1.73), reliance on linked death records, informative censoring of the in-hospital outcome, and the modest, heterogeneous association—with the likely direction of each discussed.</w:t>
            </w:r>
          </w:p>
        </w:tc>
      </w:tr>
      <w:tr w:rsidR="00191A23" w:rsidRPr="0022554A" w:rsidTr="00517788">
        <w:tc>
          <w:tcPr>
            <w:tcW w:w="0" w:type="auto"/>
          </w:tcPr>
          <w:p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Pr>
                <w:bCs/>
                <w:sz w:val="20"/>
              </w:rPr>
              <w:t>Interpretation</w:t>
            </w:r>
          </w:p>
        </w:tc>
        <w:tc>
          <w:tcPr>
            <w:tcW w:w="0" w:type="auto"/>
          </w:tcPr>
          <w:p w:rsidR="00191A23" w:rsidRPr="0022554A" w:rsidRDefault="00191A23" w:rsidP="00191A23">
            <w:pPr>
              <w:tabs>
                <w:tab w:val="left" w:pos="5400"/>
              </w:tabs>
              <w:jc w:val="center"/>
              <w:rPr>
                <w:sz w:val="20"/>
              </w:rPr>
            </w:pPr>
            <w:r>
              <w:rPr>
                <w:sz w:val="20"/>
              </w:rPr>
              <w:t>20</w:t>
            </w:r>
          </w:p>
        </w:tc>
        <w:tc>
          <w:tcPr>
            <w:tcW w:w="8687" w:type="dxa"/>
          </w:tcPr>
          <w:p w:rsidR="00191A23" w:rsidRPr="0022554A" w:rsidRDefault="00191A23" w:rsidP="00191A23">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1265" w:type="dxa"/>
          </w:tcPr>
          <w:p w:rsidR="00191A23" w:rsidRPr="0022554A" w:rsidRDefault="00191A23" w:rsidP="00191A23">
            <w:pPr>
              <w:tabs>
                <w:tab w:val="left" w:pos="5400"/>
              </w:tabs>
              <w:rPr>
                <w:sz w:val="20"/>
              </w:rPr>
            </w:pPr>
            <w:r>
              <w:rPr>
                <w:sz w:val="20"/>
              </w:rPr>
              <w:t xml:space="preserve">19–23</w:t>
            </w:r>
          </w:p>
        </w:tc>
        <w:tc>
          <w:tcPr>
            <w:tcW w:w="3129" w:type="dxa"/>
          </w:tcPr>
          <w:p w:rsidR="00191A23" w:rsidRPr="0022554A" w:rsidRDefault="00191A23" w:rsidP="00191A23">
            <w:pPr>
              <w:tabs>
                <w:tab w:val="left" w:pos="5400"/>
              </w:tabs>
              <w:rPr>
                <w:sz w:val="20"/>
              </w:rPr>
            </w:pPr>
            <w:r>
              <w:rPr>
                <w:sz w:val="20"/>
              </w:rPr>
              <w:t xml:space="preserve">Discussion: a cautious interpretation is offered—the graded association extends ambulatory-cohort evidence to the critically ill, but absolute risk is dominated by the acute illness, and the early concentration and reduced-ejection-fraction predominance are exploratory and hypothesis-generating—set against prior cohorts and the uncertain role of valve intervention.</w:t>
            </w:r>
          </w:p>
        </w:tc>
      </w:tr>
      <w:tr w:rsidR="00191A23" w:rsidRPr="0022554A" w:rsidTr="00517788">
        <w:tc>
          <w:tcPr>
            <w:tcW w:w="0" w:type="auto"/>
          </w:tcPr>
          <w:p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Pr>
                <w:bCs/>
                <w:sz w:val="20"/>
              </w:rPr>
              <w:t>Generalisability</w:t>
            </w:r>
          </w:p>
        </w:tc>
        <w:tc>
          <w:tcPr>
            <w:tcW w:w="0" w:type="auto"/>
          </w:tcPr>
          <w:p w:rsidR="00191A23" w:rsidRPr="0022554A" w:rsidRDefault="00191A23" w:rsidP="00191A23">
            <w:pPr>
              <w:tabs>
                <w:tab w:val="left" w:pos="5400"/>
              </w:tabs>
              <w:jc w:val="center"/>
              <w:rPr>
                <w:sz w:val="20"/>
              </w:rPr>
            </w:pPr>
            <w:r>
              <w:rPr>
                <w:sz w:val="20"/>
              </w:rPr>
              <w:t>21</w:t>
            </w:r>
          </w:p>
        </w:tc>
        <w:tc>
          <w:tcPr>
            <w:tcW w:w="8687" w:type="dxa"/>
          </w:tcPr>
          <w:p w:rsidR="00191A23" w:rsidRPr="0022554A" w:rsidRDefault="00191A23" w:rsidP="00191A23">
            <w:pPr>
              <w:tabs>
                <w:tab w:val="left" w:pos="5400"/>
              </w:tabs>
              <w:rPr>
                <w:sz w:val="20"/>
              </w:rPr>
            </w:pPr>
            <w:r>
              <w:rPr>
                <w:sz w:val="20"/>
              </w:rPr>
              <w:t>Discuss the generalisability (external validity) of the study results</w:t>
            </w:r>
          </w:p>
        </w:tc>
        <w:tc>
          <w:tcPr>
            <w:tcW w:w="1265" w:type="dxa"/>
          </w:tcPr>
          <w:p w:rsidR="00191A23" w:rsidRPr="0022554A" w:rsidRDefault="00191A23" w:rsidP="00191A23">
            <w:pPr>
              <w:tabs>
                <w:tab w:val="left" w:pos="5400"/>
              </w:tabs>
              <w:rPr>
                <w:sz w:val="20"/>
              </w:rPr>
            </w:pPr>
            <w:r>
              <w:rPr>
                <w:sz w:val="20"/>
              </w:rPr>
              <w:t xml:space="preserve">22–24</w:t>
            </w:r>
          </w:p>
        </w:tc>
        <w:tc>
          <w:tcPr>
            <w:tcW w:w="3129" w:type="dxa"/>
          </w:tcPr>
          <w:p w:rsidR="00191A23" w:rsidRPr="0022554A" w:rsidRDefault="00191A23" w:rsidP="00191A23">
            <w:pPr>
              <w:tabs>
                <w:tab w:val="left" w:pos="5400"/>
              </w:tabs>
              <w:rPr>
                <w:sz w:val="20"/>
              </w:rPr>
            </w:pPr>
            <w:r>
              <w:rPr>
                <w:sz w:val="20"/>
              </w:rPr>
              <w:t xml:space="preserve">Discussion and Conclusions: external validity is treated as uncertain given the single-centre source and the selection of patients with an early interpretable echocardiogram; the findings apply to non-cardiac ICU patients with such a study, and external validation is called for.</w:t>
            </w:r>
          </w:p>
        </w:tc>
      </w:tr>
      <w:tr w:rsidR="00191A23" w:rsidRPr="0022554A" w:rsidTr="00517788">
        <w:tc>
          <w:tcPr>
            <w:tcW w:w="1911" w:type="dxa"/>
            <w:gridSpan w:val="2"/>
          </w:tcPr>
          <w:p w:rsidR="00191A23" w:rsidRPr="0022554A" w:rsidRDefault="00191A23" w:rsidP="00191A23">
            <w:pPr>
              <w:pStyle w:val="TableSubHead"/>
              <w:tabs>
                <w:tab w:val="left" w:pos="5400"/>
              </w:tabs>
              <w:rPr>
                <w:sz w:val="20"/>
              </w:rPr>
            </w:pPr>
            <w:bookmarkStart w:id="92" w:name="italic49"/>
            <w:bookmarkStart w:id="93" w:name="bold50"/>
            <w:bookmarkEnd w:id="90"/>
            <w:bookmarkEnd w:id="91"/>
            <w:r>
              <w:rPr>
                <w:sz w:val="20"/>
              </w:rPr>
              <w:t>Other information</w:t>
            </w:r>
          </w:p>
        </w:tc>
        <w:bookmarkEnd w:id="92"/>
        <w:bookmarkEnd w:id="93"/>
        <w:tc>
          <w:tcPr>
            <w:tcW w:w="13081" w:type="dxa"/>
            <w:gridSpan w:val="3"/>
          </w:tcPr>
          <w:p w:rsidR="00191A23" w:rsidRPr="0022554A" w:rsidRDefault="00191A23" w:rsidP="00191A23">
            <w:pPr>
              <w:pStyle w:val="TableSubHead"/>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4" w:name="italic50" w:colFirst="0" w:colLast="0"/>
            <w:bookmarkStart w:id="95" w:name="bold51" w:colFirst="0" w:colLast="0"/>
            <w:r>
              <w:rPr>
                <w:bCs/>
                <w:sz w:val="20"/>
              </w:rPr>
              <w:t>Funding</w:t>
            </w:r>
          </w:p>
        </w:tc>
        <w:tc>
          <w:tcPr>
            <w:tcW w:w="0" w:type="auto"/>
          </w:tcPr>
          <w:p w:rsidR="00191A23" w:rsidRPr="0022554A" w:rsidRDefault="00191A23" w:rsidP="00191A23">
            <w:pPr>
              <w:tabs>
                <w:tab w:val="left" w:pos="5400"/>
              </w:tabs>
              <w:jc w:val="center"/>
              <w:rPr>
                <w:sz w:val="20"/>
              </w:rPr>
            </w:pPr>
            <w:r>
              <w:rPr>
                <w:sz w:val="20"/>
              </w:rPr>
              <w:t>22</w:t>
            </w:r>
          </w:p>
        </w:tc>
        <w:tc>
          <w:tcPr>
            <w:tcW w:w="8687" w:type="dxa"/>
          </w:tcPr>
          <w:p w:rsidR="00191A23" w:rsidRPr="0022554A" w:rsidRDefault="00191A23" w:rsidP="00191A23">
            <w:pPr>
              <w:tabs>
                <w:tab w:val="left" w:pos="5400"/>
              </w:tabs>
              <w:rPr>
                <w:sz w:val="20"/>
              </w:rPr>
            </w:pPr>
            <w:r>
              <w:rPr>
                <w:sz w:val="20"/>
              </w:rPr>
              <w:t>Give the source of funding and the role of the funders for the present study and, if applicable, for the original study on which the present article is based</w:t>
            </w:r>
          </w:p>
        </w:tc>
        <w:tc>
          <w:tcPr>
            <w:tcW w:w="1265" w:type="dxa"/>
          </w:tcPr>
          <w:p w:rsidR="00191A23" w:rsidRPr="0022554A" w:rsidRDefault="00191A23" w:rsidP="00191A23">
            <w:pPr>
              <w:tabs>
                <w:tab w:val="left" w:pos="5400"/>
              </w:tabs>
              <w:rPr>
                <w:sz w:val="20"/>
              </w:rPr>
            </w:pPr>
            <w:r>
              <w:rPr>
                <w:sz w:val="20"/>
              </w:rPr>
              <w:t xml:space="preserve">24</w:t>
            </w:r>
          </w:p>
        </w:tc>
        <w:tc>
          <w:tcPr>
            <w:tcW w:w="3129" w:type="dxa"/>
          </w:tcPr>
          <w:p w:rsidR="00191A23" w:rsidRPr="0022554A" w:rsidRDefault="00191A23" w:rsidP="00191A23">
            <w:pPr>
              <w:tabs>
                <w:tab w:val="left" w:pos="5400"/>
              </w:tabs>
              <w:rPr>
                <w:sz w:val="20"/>
              </w:rPr>
            </w:pPr>
            <w:r>
              <w:rPr>
                <w:sz w:val="20"/>
              </w:rPr>
              <w:t xml:space="preserve">Declarations (“Funding”): this research received no specific grant from any funding agency. The ethics/IRB waiver, PhysioNet credentialing, and code and data availability are also stated.</w:t>
            </w:r>
          </w:p>
        </w:tc>
      </w:tr>
      <w:bookmarkEnd w:id="94"/>
      <w:bookmarkEnd w:id="95"/>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w:t>
      </w:r>
      <w:bookmarkStart w:id="96" w:name="_GoBack"/>
      <w:bookmarkEnd w:id="96"/>
      <w:r>
        <w:rPr>
          <w:sz w:val="20"/>
        </w:rPr>
        <w:t>s.org/, and Epidemiology at http://www.epidem.com/). Information on the STROBE Initiative is available at www.</w:t>
      </w:r>
      <w:smartTag w:uri="urn:schemas-microsoft-com:office:smarttags" w:element="PersonName">
        <w:r>
          <w:rPr>
            <w:sz w:val="20"/>
          </w:rPr>
          <w:t>strobe</w:t>
        </w:r>
      </w:smartTag>
      <w:r>
        <w:rPr>
          <w:sz w:val="20"/>
        </w:rPr>
        <w:t>-statement.org.</w:t>
      </w:r>
    </w:p>
    <w:sectPr w:rsidR="00A42352" w:rsidRPr="002602FB" w:rsidSect="00191A23">
      <w:footerReference w:type="even" r:id="rId8"/>
      <w:footerReference w:type="default" r:id="rId9"/>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BEA" w:rsidRDefault="00407BEA">
      <w:r>
        <w:separator/>
      </w:r>
    </w:p>
  </w:endnote>
  <w:endnote w:type="continuationSeparator" w:id="0">
    <w:p w:rsidR="00407BEA" w:rsidRDefault="0040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3C96" w:rsidRDefault="00A13C96"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rsidR="00A13C96" w:rsidRDefault="00A13C96"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BEA" w:rsidRDefault="00407BEA">
      <w:r>
        <w:separator/>
      </w:r>
    </w:p>
  </w:footnote>
  <w:footnote w:type="continuationSeparator" w:id="0">
    <w:p w:rsidR="00407BEA" w:rsidRDefault="00407B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Relationships xmlns="http://schemas.openxmlformats.org/package/2006/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3</Pages>
  <Words>829</Words>
  <Characters>4731</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Cevallos Myriam</cp:lastModifiedBy>
  <cp:revision>2</cp:revision>
  <cp:lastPrinted>2014-09-01T08:36:00Z</cp:lastPrinted>
  <dcterms:created xsi:type="dcterms:W3CDTF">2014-09-01T14:20:00Z</dcterms:created>
  <dcterms:modified xsi:type="dcterms:W3CDTF">2014-09-01T14:20:00Z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