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81CB6E">
      <w:pPr>
        <w:spacing w:after="120"/>
        <w:jc w:val="center"/>
      </w:pPr>
      <w:r>
        <w:rPr>
          <w:rFonts w:ascii="Times New Roman" w:hAnsi="Times New Roman" w:eastAsia="Times New Roman" w:cs="Times New Roman"/>
          <w:b/>
          <w:bCs/>
          <w:i w:val="0"/>
          <w:iCs w:val="0"/>
          <w:sz w:val="30"/>
          <w:szCs w:val="30"/>
        </w:rPr>
        <w:t>Supplementary Material</w:t>
      </w:r>
    </w:p>
    <w:p w14:paraId="36F96FCB">
      <w:pPr>
        <w:spacing w:after="240"/>
        <w:jc w:val="center"/>
      </w:pPr>
      <w:r>
        <w:rPr>
          <w:rFonts w:ascii="Times New Roman" w:hAnsi="Times New Roman" w:eastAsia="Times New Roman" w:cs="Times New Roman"/>
          <w:b/>
          <w:bCs/>
          <w:i/>
          <w:iCs/>
          <w:sz w:val="24"/>
          <w:szCs w:val="24"/>
        </w:rPr>
        <w:t>Incidental Moderate Aortic Stenosis and 90-Day Mortality in Non-Cardiac Critical Illness: A Retrospective Cohort Study Using the MIMIC-IV Echocardiography Database</w:t>
      </w:r>
    </w:p>
    <w:p w14:paraId="7557FFE0">
      <w:pPr>
        <w:spacing w:after="200" w:line="360" w:lineRule="auto"/>
        <w:jc w:val="both"/>
      </w:pPr>
      <w:r>
        <w:rPr>
          <w:rFonts w:ascii="Times New Roman" w:hAnsi="Times New Roman" w:eastAsia="Times New Roman" w:cs="Times New Roman"/>
          <w:b/>
          <w:bCs/>
          <w:sz w:val="24"/>
          <w:szCs w:val="24"/>
        </w:rPr>
        <w:t xml:space="preserve">Contents. </w:t>
      </w:r>
      <w:r>
        <w:rPr>
          <w:rFonts w:ascii="Times New Roman" w:hAnsi="Times New Roman" w:eastAsia="Times New Roman" w:cs="Times New Roman"/>
          <w:sz w:val="24"/>
          <w:szCs w:val="24"/>
        </w:rPr>
        <w:t>Supplementary Methods (data sources and version linkage; definition of the non-cardiac primary cohort; grading of aortic stenosis; covariate and outcome definitions; sensitivity, subgroup, and time-stratified analyses; software). Table S1, full multivariable Cox model. Table S2, covariate balance before and after propensity-score matching. Table S3, velocity–gradient cross-classification. Table S4, concordant grading, sensitivity, subgroup, and time-stratified hazard ratios. Table S5, data sources and definitions of study variables.</w:t>
      </w:r>
    </w:p>
    <w:p w14:paraId="7557FFF1">
      <w:pPr>
        <w:spacing w:before="280" w:after="120"/>
      </w:pPr>
      <w:r>
        <w:rPr>
          <w:rFonts w:ascii="Times New Roman" w:hAnsi="Times New Roman" w:eastAsia="Times New Roman" w:cs="Times New Roman"/>
          <w:b/>
          <w:bCs/>
          <w:i w:val="0"/>
          <w:iCs w:val="0"/>
          <w:sz w:val="26"/>
          <w:szCs w:val="26"/>
        </w:rPr>
        <w:t>Supplementary Methods</w:t>
      </w:r>
    </w:p>
    <w:p w14:paraId="5AED94B0">
      <w:pPr>
        <w:spacing w:before="200" w:after="40"/>
      </w:pPr>
      <w:r>
        <w:rPr>
          <w:rFonts w:ascii="Times New Roman" w:hAnsi="Times New Roman" w:eastAsia="Times New Roman" w:cs="Times New Roman"/>
          <w:b/>
          <w:bCs/>
          <w:i/>
          <w:iCs/>
          <w:sz w:val="24"/>
          <w:szCs w:val="24"/>
        </w:rPr>
        <w:t>Data sources and version linkage</w:t>
      </w:r>
    </w:p>
    <w:p w14:paraId="2DC8CC75">
      <w:pPr>
        <w:spacing w:after="0" w:line="480" w:lineRule="auto"/>
        <w:ind w:firstLine="360"/>
        <w:jc w:val="both"/>
      </w:pPr>
      <w:r>
        <w:rPr>
          <w:rFonts w:ascii="Times New Roman" w:hAnsi="Times New Roman" w:eastAsia="Times New Roman" w:cs="Times New Roman"/>
          <w:b w:val="0"/>
          <w:bCs w:val="0"/>
          <w:i w:val="0"/>
          <w:iCs w:val="0"/>
          <w:sz w:val="24"/>
          <w:szCs w:val="24"/>
        </w:rPr>
        <w:t>Clinical data were drawn from MIMIC-IV version 3.1 [9] and structured echocardiographic measurements from the MIMIC-IV-ECHO module version 1.0 [10], which provides measurements from echocardiograms performed between 2008 and 2022 in patients matched to the MIMIC-IV Clinical Database. Because the de-identified patient identifiers and the per-patient date-shift offsets are held constant, echocardiographic studies were linked to hospitalizations and ICU stays at the patient and admission level.</w:t>
      </w:r>
    </w:p>
    <w:p w14:paraId="79A4B44C">
      <w:pPr>
        <w:spacing w:before="200" w:after="40"/>
      </w:pPr>
      <w:r>
        <w:rPr>
          <w:rFonts w:ascii="Times New Roman" w:hAnsi="Times New Roman" w:eastAsia="Times New Roman" w:cs="Times New Roman"/>
          <w:b/>
          <w:bCs/>
          <w:i/>
          <w:iCs/>
          <w:sz w:val="24"/>
          <w:szCs w:val="24"/>
        </w:rPr>
        <w:t>Definition of the non-cardiac primary cohort</w:t>
      </w:r>
    </w:p>
    <w:p w14:paraId="06795C4F">
      <w:pPr>
        <w:spacing w:after="0" w:line="480" w:lineRule="auto"/>
        <w:ind w:firstLine="360"/>
        <w:jc w:val="both"/>
      </w:pPr>
      <w:r>
        <w:rPr>
          <w:rFonts w:ascii="Times New Roman" w:hAnsi="Times New Roman" w:eastAsia="Times New Roman" w:cs="Times New Roman"/>
          <w:b w:val="0"/>
          <w:bCs w:val="0"/>
          <w:i w:val="0"/>
          <w:iCs w:val="0"/>
          <w:sz w:val="24"/>
          <w:szCs w:val="24"/>
        </w:rPr>
        <w:t>To isolate incidentally detected aortic stenosis, the primary cohort comprised patients whose primary hospital diagnosis was non-cardiac. A cardiac primary diagnosis was defined from the principal discharge diagnosis code as a heart-specific condition—ischaemic heart disease, heart failure, cardiac arrhythmia, valvular and rheumatic heart disease, pericardial and myocardial disease, or cardiac arrest. Cerebrovascular and other vascular diagnoses were treated as non-cardiac, because aortic stenosis identified in such admissions is likewise incidental to the reason for admission. The full cohort of all critically ill adults, including those with a cardiac primary diagnosis, was analysed as a sensitivity analysis (Table S4).</w:t>
      </w:r>
    </w:p>
    <w:p w14:paraId="73D5CA91">
      <w:pPr>
        <w:spacing w:before="200" w:after="40"/>
      </w:pPr>
      <w:r>
        <w:rPr>
          <w:rFonts w:ascii="Times New Roman" w:hAnsi="Times New Roman" w:eastAsia="Times New Roman" w:cs="Times New Roman"/>
          <w:b/>
          <w:bCs/>
          <w:i/>
          <w:iCs/>
          <w:sz w:val="24"/>
          <w:szCs w:val="24"/>
        </w:rPr>
        <w:t>Grading of aortic stenosis</w:t>
      </w:r>
    </w:p>
    <w:p w14:paraId="3A71189D">
      <w:pPr>
        <w:spacing w:after="0" w:line="480" w:lineRule="auto"/>
        <w:ind w:firstLine="360"/>
        <w:jc w:val="both"/>
      </w:pPr>
      <w:r>
        <w:rPr>
          <w:rFonts w:ascii="Times New Roman" w:hAnsi="Times New Roman" w:eastAsia="Times New Roman" w:cs="Times New Roman"/>
          <w:b w:val="0"/>
          <w:bCs w:val="0"/>
          <w:i w:val="0"/>
          <w:iCs w:val="0"/>
          <w:sz w:val="24"/>
          <w:szCs w:val="24"/>
        </w:rPr>
        <w:t>Severity was graded from the peak aortic jet velocity according to the American Society of Echocardiography and the European Association of Cardiovascular Imaging. Because the aortic valve area, the left-ventricular outflow-tract velocity–time integral, and the dimensionless index are not available in the database, flow-independent grading could not be performed; the peak velocity is flow-dependent and may be increased by high-output states or reduced by a low stroke volume. To address this, the mean transvalvular gradient—recorded in a subset of studies—was used to grade severity concurrently in the concordance analysis, and proxies of flow state were included as covariates.</w:t>
      </w:r>
    </w:p>
    <w:p w14:paraId="320FB02E">
      <w:pPr>
        <w:spacing w:before="200" w:after="40"/>
      </w:pPr>
      <w:r>
        <w:rPr>
          <w:rFonts w:ascii="Times New Roman" w:hAnsi="Times New Roman" w:eastAsia="Times New Roman" w:cs="Times New Roman"/>
          <w:b/>
          <w:bCs/>
          <w:i/>
          <w:iCs/>
          <w:sz w:val="24"/>
          <w:szCs w:val="24"/>
        </w:rPr>
        <w:t>Covariate and outcome definitions</w:t>
      </w:r>
    </w:p>
    <w:p w14:paraId="7C37A93E">
      <w:pPr>
        <w:spacing w:after="0" w:line="480" w:lineRule="auto"/>
        <w:ind w:firstLine="360"/>
        <w:jc w:val="both"/>
      </w:pPr>
      <w:r>
        <w:rPr>
          <w:rFonts w:ascii="Times New Roman" w:hAnsi="Times New Roman" w:eastAsia="Times New Roman" w:cs="Times New Roman"/>
          <w:b w:val="0"/>
          <w:bCs w:val="0"/>
          <w:i w:val="0"/>
          <w:iCs w:val="0"/>
          <w:sz w:val="24"/>
          <w:szCs w:val="24"/>
        </w:rPr>
        <w:t>Covariates and outcomes are defined in Table S5. Continuous flow-state proxies (first-day minimum haemoglobin, mean heart rate, and maximum temperature) were included to mitigate flow-dependent misclassification of stenosis severity. The primary outcome was all-cause mortality within 90 days of the baseline echocardiogram, analysed over a fixed follow-up window; secondary outcomes were in-hospital mortality censored at discharge and 28-day mortality. For the in-hospital outcome we additionally fitted a Fine–Gray subdistribution-hazard model with the same covariates, treating live hospital discharge as a competing event, to address informative censoring at discharge.</w:t>
      </w:r>
    </w:p>
    <w:p w14:paraId="51F17C85">
      <w:pPr>
        <w:spacing w:before="200" w:after="40"/>
      </w:pPr>
      <w:r>
        <w:rPr>
          <w:rFonts w:ascii="Times New Roman" w:hAnsi="Times New Roman" w:eastAsia="Times New Roman" w:cs="Times New Roman"/>
          <w:b/>
          <w:bCs/>
          <w:i/>
          <w:iCs/>
          <w:sz w:val="24"/>
          <w:szCs w:val="24"/>
        </w:rPr>
        <w:t>Sensitivity, subgroup, and time-stratified analyses</w:t>
      </w:r>
    </w:p>
    <w:p w14:paraId="23B357B3">
      <w:pPr>
        <w:spacing w:after="0" w:line="480" w:lineRule="auto"/>
        <w:ind w:firstLine="360"/>
        <w:jc w:val="both"/>
      </w:pPr>
      <w:r>
        <w:rPr>
          <w:rFonts w:ascii="Times New Roman" w:hAnsi="Times New Roman" w:eastAsia="Times New Roman" w:cs="Times New Roman"/>
          <w:b w:val="0"/>
          <w:bCs w:val="0"/>
          <w:i w:val="0"/>
          <w:iCs w:val="0"/>
          <w:sz w:val="24"/>
          <w:szCs w:val="24"/>
        </w:rPr>
        <w:t>The concordance analysis re-graded moderate and severe stenosis using concurrent peak-velocity and mean-gradient criteria, both within the gradient-available stratum and against the full no-stenosis reference. The low-flow subset excluded patients with a heart rate above 100 beats per minute, a temperature above 38 °C, or a haemoglobin below 9 g/dL. Additional analyses restricted the cohort to echocardiograms performed within 24 hours of ICU admission, refitted the primary model without the vasopressor and mechanical-ventilation terms, and extended the analysis to the full cohort including cardiac admissions. To assess over-adjustment and residual confounding, we also fitted a parsimonious model (age, sex, SOFA score, and Charlson index), a model adding heart failure, and a model adding heart failure and the left-ventricular ejection fraction. Two subgroups were pre-specified, restricted to patients with a recorded ejection fraction: preserved (≥50%) and reduced (&lt;50%) left-ventricular ejection fraction; the difference between strata was assessed with a multiplicative stenosis-grade-by-ejection-fraction interaction term evaluated by a likelihood-ratio test. All subgroup and sensitivity analyses were exploratory and unadjusted for multiple comparisons. Although the Schoenfeld test of the proportional-hazards assumption for aortic stenosis grade was not significant (P = 0.32), a post-hoc time-stratified analysis estimated hazard ratios separately for days 0–14 and days 15–90 (the latter left-truncated at day 14) to characterize the time-course of risk by grade.</w:t>
      </w:r>
    </w:p>
    <w:p w14:paraId="76DF8D60">
      <w:pPr>
        <w:spacing w:before="200" w:after="40"/>
      </w:pPr>
      <w:r>
        <w:rPr>
          <w:rFonts w:ascii="Times New Roman" w:hAnsi="Times New Roman" w:eastAsia="Times New Roman" w:cs="Times New Roman"/>
          <w:b/>
          <w:bCs/>
          <w:i/>
          <w:iCs/>
          <w:sz w:val="24"/>
          <w:szCs w:val="24"/>
        </w:rPr>
        <w:t>Software</w:t>
      </w:r>
    </w:p>
    <w:p w14:paraId="5FF6913C">
      <w:pPr>
        <w:spacing w:after="0" w:line="480" w:lineRule="auto"/>
        <w:ind w:firstLine="360"/>
        <w:jc w:val="both"/>
      </w:pPr>
      <w:r>
        <w:rPr>
          <w:rFonts w:ascii="Times New Roman" w:hAnsi="Times New Roman" w:eastAsia="Times New Roman" w:cs="Times New Roman"/>
          <w:b w:val="0"/>
          <w:bCs w:val="0"/>
          <w:i w:val="0"/>
          <w:iCs w:val="0"/>
          <w:sz w:val="24"/>
          <w:szCs w:val="24"/>
        </w:rPr>
        <w:t>Analyses were performed in R version 4.5.2 (survival, rms, MatchIt, cmprsk, sandwich, lmtest, and EValue packages); the cohort-construction queries were executed in Google BigQuery. The E-value was computed for a common outcome. Propensity-score matching used 1:4 nearest-neighbour matching without replacement on the logit of the propensity score with a calliper of 0.2 standard deviations; the hazard ratio in the matched sample was estimated with a Cox model using cluster-robust standard errors.</w:t>
      </w:r>
    </w:p>
    <w:p w14:paraId="5F6E4B1D">
      <w:pPr>
        <w:sectPr>
          <w:pgSz w:w="12240" w:h="15840"/>
          <w:pgMar w:top="1440" w:right="1440" w:bottom="1440" w:left="1440" w:header="708" w:footer="708" w:gutter="0"/>
          <w:cols w:space="720" w:num="1"/>
          <w:docGrid w:linePitch="360" w:charSpace="0"/>
        </w:sectPr>
      </w:pPr>
    </w:p>
    <w:p w14:paraId="2771DF8C">
      <w:pPr>
        <w:spacing w:before="120" w:after="120"/>
      </w:pPr>
      <w:r>
        <w:rPr>
          <w:rFonts w:ascii="Times New Roman" w:hAnsi="Times New Roman" w:eastAsia="Times New Roman" w:cs="Times New Roman"/>
          <w:b/>
          <w:bCs/>
          <w:i w:val="0"/>
          <w:iCs w:val="0"/>
          <w:sz w:val="24"/>
          <w:szCs w:val="24"/>
        </w:rPr>
        <w:t xml:space="preserve">Table S1. </w:t>
      </w:r>
      <w:r>
        <w:rPr>
          <w:rFonts w:ascii="Times New Roman" w:hAnsi="Times New Roman" w:eastAsia="Times New Roman" w:cs="Times New Roman"/>
          <w:b w:val="0"/>
          <w:bCs w:val="0"/>
          <w:i w:val="0"/>
          <w:iCs w:val="0"/>
          <w:sz w:val="24"/>
          <w:szCs w:val="24"/>
        </w:rPr>
        <w:t>Full multivariable Cox proportional-hazards model for 90-day all-cause mortality in the primary (non-cardiac) cohort (n = 12,878).</w:t>
      </w:r>
    </w:p>
    <w:tbl>
      <w:tblPr>
        <w:tblStyle w:val="11"/>
        <w:tblW w:w="12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800"/>
        <w:gridCol w:w="4560"/>
        <w:gridCol w:w="3600"/>
      </w:tblGrid>
      <w:tr w14:paraId="0037F3E3">
        <w:trPr>
          <w:tblHeader/>
        </w:trPr>
        <w:tc>
          <w:tcPr>
            <w:tcW w:w="4800" w:type="dxa"/>
            <w:tcBorders>
              <w:top w:val="single" w:color="000000" w:sz="8" w:space="0"/>
              <w:left w:val="nil"/>
              <w:bottom w:val="single" w:color="000000" w:sz="4" w:space="0"/>
              <w:right w:val="nil"/>
            </w:tcBorders>
            <w:tcMar>
              <w:top w:w="30" w:type="dxa"/>
              <w:left w:w="80" w:type="dxa"/>
              <w:bottom w:w="30" w:type="dxa"/>
              <w:right w:w="80" w:type="dxa"/>
            </w:tcMar>
            <w:vAlign w:val="center"/>
          </w:tcPr>
          <w:p w14:paraId="049D0694">
            <w:pPr>
              <w:spacing w:after="0" w:line="240" w:lineRule="auto"/>
              <w:jc w:val="left"/>
            </w:pPr>
            <w:r>
              <w:rPr>
                <w:rFonts w:ascii="Times New Roman" w:hAnsi="Times New Roman" w:eastAsia="Times New Roman" w:cs="Times New Roman"/>
                <w:b/>
                <w:bCs/>
                <w:i w:val="0"/>
                <w:iCs w:val="0"/>
                <w:sz w:val="20"/>
                <w:szCs w:val="20"/>
              </w:rPr>
              <w:t>Variable</w:t>
            </w:r>
          </w:p>
        </w:tc>
        <w:tc>
          <w:tcPr>
            <w:tcW w:w="4560" w:type="dxa"/>
            <w:tcBorders>
              <w:top w:val="single" w:color="000000" w:sz="8" w:space="0"/>
              <w:left w:val="nil"/>
              <w:bottom w:val="single" w:color="000000" w:sz="4" w:space="0"/>
              <w:right w:val="nil"/>
            </w:tcBorders>
            <w:tcMar>
              <w:top w:w="30" w:type="dxa"/>
              <w:left w:w="80" w:type="dxa"/>
              <w:bottom w:w="30" w:type="dxa"/>
              <w:right w:w="80" w:type="dxa"/>
            </w:tcMar>
            <w:vAlign w:val="center"/>
          </w:tcPr>
          <w:p w14:paraId="10765817">
            <w:pPr>
              <w:spacing w:after="0" w:line="240" w:lineRule="auto"/>
              <w:jc w:val="center"/>
            </w:pPr>
            <w:r>
              <w:rPr>
                <w:rFonts w:ascii="Times New Roman" w:hAnsi="Times New Roman" w:eastAsia="Times New Roman" w:cs="Times New Roman"/>
                <w:b/>
                <w:bCs/>
                <w:i w:val="0"/>
                <w:iCs w:val="0"/>
                <w:sz w:val="20"/>
                <w:szCs w:val="20"/>
              </w:rPr>
              <w:t>Hazard ratio (95% CI)</w:t>
            </w:r>
          </w:p>
        </w:tc>
        <w:tc>
          <w:tcPr>
            <w:tcW w:w="3600" w:type="dxa"/>
            <w:tcBorders>
              <w:top w:val="single" w:color="000000" w:sz="8" w:space="0"/>
              <w:left w:val="nil"/>
              <w:bottom w:val="single" w:color="000000" w:sz="4" w:space="0"/>
              <w:right w:val="nil"/>
            </w:tcBorders>
            <w:tcMar>
              <w:top w:w="30" w:type="dxa"/>
              <w:left w:w="80" w:type="dxa"/>
              <w:bottom w:w="30" w:type="dxa"/>
              <w:right w:w="80" w:type="dxa"/>
            </w:tcMar>
            <w:vAlign w:val="center"/>
          </w:tcPr>
          <w:p w14:paraId="3D046D2C">
            <w:pPr>
              <w:spacing w:after="0" w:line="240" w:lineRule="auto"/>
              <w:jc w:val="center"/>
            </w:pPr>
            <w:r>
              <w:rPr>
                <w:rFonts w:ascii="Times New Roman" w:hAnsi="Times New Roman" w:eastAsia="Times New Roman" w:cs="Times New Roman"/>
                <w:b/>
                <w:bCs/>
                <w:i w:val="0"/>
                <w:iCs w:val="0"/>
                <w:sz w:val="20"/>
                <w:szCs w:val="20"/>
              </w:rPr>
              <w:t>P value</w:t>
            </w:r>
          </w:p>
        </w:tc>
      </w:tr>
      <w:tr w14:paraId="5E390955">
        <w:tc>
          <w:tcPr>
            <w:tcW w:w="12960" w:type="dxa"/>
            <w:gridSpan w:val="3"/>
            <w:tcBorders>
              <w:top w:val="nil"/>
              <w:left w:val="nil"/>
              <w:bottom w:val="nil"/>
              <w:right w:val="nil"/>
            </w:tcBorders>
            <w:tcMar>
              <w:top w:w="30" w:type="dxa"/>
              <w:left w:w="80" w:type="dxa"/>
              <w:bottom w:w="30" w:type="dxa"/>
              <w:right w:w="80" w:type="dxa"/>
            </w:tcMar>
            <w:vAlign w:val="center"/>
          </w:tcPr>
          <w:p w14:paraId="61E57DE4">
            <w:pPr>
              <w:spacing w:after="0" w:line="240" w:lineRule="auto"/>
              <w:jc w:val="left"/>
            </w:pPr>
            <w:r>
              <w:rPr>
                <w:rFonts w:ascii="Times New Roman" w:hAnsi="Times New Roman" w:eastAsia="Times New Roman" w:cs="Times New Roman"/>
                <w:b/>
                <w:bCs/>
                <w:i/>
                <w:iCs/>
                <w:sz w:val="20"/>
                <w:szCs w:val="20"/>
              </w:rPr>
              <w:t>Aortic stenosis severity (reference: no stenosis)</w:t>
            </w:r>
          </w:p>
        </w:tc>
      </w:tr>
      <w:tr w14:paraId="6DA167A1">
        <w:tc>
          <w:tcPr>
            <w:tcW w:w="4800" w:type="dxa"/>
            <w:tcBorders>
              <w:top w:val="nil"/>
              <w:left w:val="nil"/>
              <w:bottom w:val="nil"/>
              <w:right w:val="nil"/>
            </w:tcBorders>
            <w:tcMar>
              <w:top w:w="30" w:type="dxa"/>
              <w:left w:w="80" w:type="dxa"/>
              <w:bottom w:w="30" w:type="dxa"/>
              <w:right w:w="80" w:type="dxa"/>
            </w:tcMar>
            <w:vAlign w:val="center"/>
          </w:tcPr>
          <w:p w14:paraId="5DD1AE7C">
            <w:pPr>
              <w:spacing w:after="0" w:line="240" w:lineRule="auto"/>
              <w:jc w:val="left"/>
            </w:pPr>
            <w:r>
              <w:rPr>
                <w:rFonts w:ascii="Times New Roman" w:hAnsi="Times New Roman" w:eastAsia="Times New Roman" w:cs="Times New Roman"/>
                <w:b w:val="0"/>
                <w:bCs w:val="0"/>
                <w:i w:val="0"/>
                <w:iCs w:val="0"/>
                <w:sz w:val="20"/>
                <w:szCs w:val="20"/>
              </w:rPr>
              <w:t>Aortic sclerosis</w:t>
            </w:r>
          </w:p>
        </w:tc>
        <w:tc>
          <w:tcPr>
            <w:tcW w:w="4560" w:type="dxa"/>
            <w:tcBorders>
              <w:top w:val="nil"/>
              <w:left w:val="nil"/>
              <w:bottom w:val="nil"/>
              <w:right w:val="nil"/>
            </w:tcBorders>
            <w:tcMar>
              <w:top w:w="30" w:type="dxa"/>
              <w:left w:w="80" w:type="dxa"/>
              <w:bottom w:w="30" w:type="dxa"/>
              <w:right w:w="80" w:type="dxa"/>
            </w:tcMar>
            <w:vAlign w:val="center"/>
          </w:tcPr>
          <w:p w14:paraId="75C25946">
            <w:pPr>
              <w:spacing w:after="0" w:line="240" w:lineRule="auto"/>
              <w:jc w:val="center"/>
            </w:pPr>
            <w:r>
              <w:rPr>
                <w:rFonts w:ascii="Times New Roman" w:hAnsi="Times New Roman" w:eastAsia="Times New Roman" w:cs="Times New Roman"/>
                <w:b w:val="0"/>
                <w:bCs w:val="0"/>
                <w:i w:val="0"/>
                <w:iCs w:val="0"/>
                <w:sz w:val="20"/>
                <w:szCs w:val="20"/>
              </w:rPr>
              <w:t>1.169 (1.070–1.277)</w:t>
            </w:r>
          </w:p>
        </w:tc>
        <w:tc>
          <w:tcPr>
            <w:tcW w:w="3600" w:type="dxa"/>
            <w:tcBorders>
              <w:top w:val="nil"/>
              <w:left w:val="nil"/>
              <w:bottom w:val="nil"/>
              <w:right w:val="nil"/>
            </w:tcBorders>
            <w:tcMar>
              <w:top w:w="30" w:type="dxa"/>
              <w:left w:w="80" w:type="dxa"/>
              <w:bottom w:w="30" w:type="dxa"/>
              <w:right w:w="80" w:type="dxa"/>
            </w:tcMar>
            <w:vAlign w:val="center"/>
          </w:tcPr>
          <w:p w14:paraId="540D63F9">
            <w:pPr>
              <w:spacing w:after="0" w:line="240" w:lineRule="auto"/>
              <w:jc w:val="center"/>
            </w:pPr>
            <w:r>
              <w:rPr>
                <w:rFonts w:ascii="Times New Roman" w:hAnsi="Times New Roman" w:eastAsia="Times New Roman" w:cs="Times New Roman"/>
                <w:b w:val="0"/>
                <w:bCs w:val="0"/>
                <w:i w:val="0"/>
                <w:iCs w:val="0"/>
                <w:sz w:val="20"/>
                <w:szCs w:val="20"/>
              </w:rPr>
              <w:t>&lt;0.001</w:t>
            </w:r>
          </w:p>
        </w:tc>
      </w:tr>
      <w:tr w14:paraId="262C5F84">
        <w:tc>
          <w:tcPr>
            <w:tcW w:w="4800" w:type="dxa"/>
            <w:tcBorders>
              <w:top w:val="nil"/>
              <w:left w:val="nil"/>
              <w:bottom w:val="nil"/>
              <w:right w:val="nil"/>
            </w:tcBorders>
            <w:tcMar>
              <w:top w:w="30" w:type="dxa"/>
              <w:left w:w="80" w:type="dxa"/>
              <w:bottom w:w="30" w:type="dxa"/>
              <w:right w:w="80" w:type="dxa"/>
            </w:tcMar>
            <w:vAlign w:val="center"/>
          </w:tcPr>
          <w:p w14:paraId="47C45BEC">
            <w:pPr>
              <w:spacing w:after="0" w:line="240" w:lineRule="auto"/>
              <w:jc w:val="left"/>
            </w:pPr>
            <w:r>
              <w:rPr>
                <w:rFonts w:ascii="Times New Roman" w:hAnsi="Times New Roman" w:eastAsia="Times New Roman" w:cs="Times New Roman"/>
                <w:b w:val="0"/>
                <w:bCs w:val="0"/>
                <w:i w:val="0"/>
                <w:iCs w:val="0"/>
                <w:sz w:val="20"/>
                <w:szCs w:val="20"/>
              </w:rPr>
              <w:t>Moderate stenosis</w:t>
            </w:r>
          </w:p>
        </w:tc>
        <w:tc>
          <w:tcPr>
            <w:tcW w:w="4560" w:type="dxa"/>
            <w:tcBorders>
              <w:top w:val="nil"/>
              <w:left w:val="nil"/>
              <w:bottom w:val="nil"/>
              <w:right w:val="nil"/>
            </w:tcBorders>
            <w:tcMar>
              <w:top w:w="30" w:type="dxa"/>
              <w:left w:w="80" w:type="dxa"/>
              <w:bottom w:w="30" w:type="dxa"/>
              <w:right w:w="80" w:type="dxa"/>
            </w:tcMar>
            <w:vAlign w:val="center"/>
          </w:tcPr>
          <w:p w14:paraId="01CE22C8">
            <w:pPr>
              <w:spacing w:after="0" w:line="240" w:lineRule="auto"/>
              <w:jc w:val="center"/>
            </w:pPr>
            <w:r>
              <w:rPr>
                <w:rFonts w:ascii="Times New Roman" w:hAnsi="Times New Roman" w:eastAsia="Times New Roman" w:cs="Times New Roman"/>
                <w:b w:val="0"/>
                <w:bCs w:val="0"/>
                <w:i w:val="0"/>
                <w:iCs w:val="0"/>
                <w:sz w:val="20"/>
                <w:szCs w:val="20"/>
              </w:rPr>
              <w:t>1.330 (1.135–1.558)</w:t>
            </w:r>
          </w:p>
        </w:tc>
        <w:tc>
          <w:tcPr>
            <w:tcW w:w="3600" w:type="dxa"/>
            <w:tcBorders>
              <w:top w:val="nil"/>
              <w:left w:val="nil"/>
              <w:bottom w:val="nil"/>
              <w:right w:val="nil"/>
            </w:tcBorders>
            <w:tcMar>
              <w:top w:w="30" w:type="dxa"/>
              <w:left w:w="80" w:type="dxa"/>
              <w:bottom w:w="30" w:type="dxa"/>
              <w:right w:w="80" w:type="dxa"/>
            </w:tcMar>
            <w:vAlign w:val="center"/>
          </w:tcPr>
          <w:p w14:paraId="0A1972AD">
            <w:pPr>
              <w:spacing w:after="0" w:line="240" w:lineRule="auto"/>
              <w:jc w:val="center"/>
            </w:pPr>
            <w:r>
              <w:rPr>
                <w:rFonts w:ascii="Times New Roman" w:hAnsi="Times New Roman" w:eastAsia="Times New Roman" w:cs="Times New Roman"/>
                <w:b w:val="0"/>
                <w:bCs w:val="0"/>
                <w:i w:val="0"/>
                <w:iCs w:val="0"/>
                <w:sz w:val="20"/>
                <w:szCs w:val="20"/>
              </w:rPr>
              <w:t>&lt;0.001</w:t>
            </w:r>
          </w:p>
        </w:tc>
      </w:tr>
      <w:tr w14:paraId="27F45C47">
        <w:tc>
          <w:tcPr>
            <w:tcW w:w="4800" w:type="dxa"/>
            <w:tcBorders>
              <w:top w:val="nil"/>
              <w:left w:val="nil"/>
              <w:bottom w:val="nil"/>
              <w:right w:val="nil"/>
            </w:tcBorders>
            <w:tcMar>
              <w:top w:w="30" w:type="dxa"/>
              <w:left w:w="80" w:type="dxa"/>
              <w:bottom w:w="30" w:type="dxa"/>
              <w:right w:w="80" w:type="dxa"/>
            </w:tcMar>
            <w:vAlign w:val="center"/>
          </w:tcPr>
          <w:p w14:paraId="5BAB8FE5">
            <w:pPr>
              <w:spacing w:after="0" w:line="240" w:lineRule="auto"/>
              <w:jc w:val="left"/>
            </w:pPr>
            <w:r>
              <w:rPr>
                <w:rFonts w:ascii="Times New Roman" w:hAnsi="Times New Roman" w:eastAsia="Times New Roman" w:cs="Times New Roman"/>
                <w:b w:val="0"/>
                <w:bCs w:val="0"/>
                <w:i w:val="0"/>
                <w:iCs w:val="0"/>
                <w:sz w:val="20"/>
                <w:szCs w:val="20"/>
              </w:rPr>
              <w:t>Severe stenosis</w:t>
            </w:r>
          </w:p>
        </w:tc>
        <w:tc>
          <w:tcPr>
            <w:tcW w:w="4560" w:type="dxa"/>
            <w:tcBorders>
              <w:top w:val="nil"/>
              <w:left w:val="nil"/>
              <w:bottom w:val="nil"/>
              <w:right w:val="nil"/>
            </w:tcBorders>
            <w:tcMar>
              <w:top w:w="30" w:type="dxa"/>
              <w:left w:w="80" w:type="dxa"/>
              <w:bottom w:w="30" w:type="dxa"/>
              <w:right w:w="80" w:type="dxa"/>
            </w:tcMar>
            <w:vAlign w:val="center"/>
          </w:tcPr>
          <w:p w14:paraId="49954060">
            <w:pPr>
              <w:spacing w:after="0" w:line="240" w:lineRule="auto"/>
              <w:jc w:val="center"/>
            </w:pPr>
            <w:r>
              <w:rPr>
                <w:rFonts w:ascii="Times New Roman" w:hAnsi="Times New Roman" w:eastAsia="Times New Roman" w:cs="Times New Roman"/>
                <w:b w:val="0"/>
                <w:bCs w:val="0"/>
                <w:i w:val="0"/>
                <w:iCs w:val="0"/>
                <w:sz w:val="20"/>
                <w:szCs w:val="20"/>
              </w:rPr>
              <w:t>1.606 (1.272–2.027)</w:t>
            </w:r>
          </w:p>
        </w:tc>
        <w:tc>
          <w:tcPr>
            <w:tcW w:w="3600" w:type="dxa"/>
            <w:tcBorders>
              <w:top w:val="nil"/>
              <w:left w:val="nil"/>
              <w:bottom w:val="nil"/>
              <w:right w:val="nil"/>
            </w:tcBorders>
            <w:tcMar>
              <w:top w:w="30" w:type="dxa"/>
              <w:left w:w="80" w:type="dxa"/>
              <w:bottom w:w="30" w:type="dxa"/>
              <w:right w:w="80" w:type="dxa"/>
            </w:tcMar>
            <w:vAlign w:val="center"/>
          </w:tcPr>
          <w:p w14:paraId="1E3F83A3">
            <w:pPr>
              <w:spacing w:after="0" w:line="240" w:lineRule="auto"/>
              <w:jc w:val="center"/>
            </w:pPr>
            <w:r>
              <w:rPr>
                <w:rFonts w:ascii="Times New Roman" w:hAnsi="Times New Roman" w:eastAsia="Times New Roman" w:cs="Times New Roman"/>
                <w:b w:val="0"/>
                <w:bCs w:val="0"/>
                <w:i w:val="0"/>
                <w:iCs w:val="0"/>
                <w:sz w:val="20"/>
                <w:szCs w:val="20"/>
              </w:rPr>
              <w:t>&lt;0.001</w:t>
            </w:r>
          </w:p>
        </w:tc>
      </w:tr>
      <w:tr w14:paraId="69487E42">
        <w:tc>
          <w:tcPr>
            <w:tcW w:w="12960" w:type="dxa"/>
            <w:gridSpan w:val="3"/>
            <w:tcBorders>
              <w:top w:val="nil"/>
              <w:left w:val="nil"/>
              <w:bottom w:val="nil"/>
              <w:right w:val="nil"/>
            </w:tcBorders>
            <w:tcMar>
              <w:top w:w="30" w:type="dxa"/>
              <w:left w:w="80" w:type="dxa"/>
              <w:bottom w:w="30" w:type="dxa"/>
              <w:right w:w="80" w:type="dxa"/>
            </w:tcMar>
            <w:vAlign w:val="center"/>
          </w:tcPr>
          <w:p w14:paraId="1E26B142">
            <w:pPr>
              <w:spacing w:after="0" w:line="240" w:lineRule="auto"/>
              <w:jc w:val="left"/>
            </w:pPr>
            <w:r>
              <w:rPr>
                <w:rFonts w:ascii="Times New Roman" w:hAnsi="Times New Roman" w:eastAsia="Times New Roman" w:cs="Times New Roman"/>
                <w:b/>
                <w:bCs/>
                <w:i/>
                <w:iCs/>
                <w:sz w:val="20"/>
                <w:szCs w:val="20"/>
              </w:rPr>
              <w:t>Covariates</w:t>
            </w:r>
          </w:p>
        </w:tc>
      </w:tr>
      <w:tr w14:paraId="03D73A7C">
        <w:tc>
          <w:tcPr>
            <w:tcW w:w="4800" w:type="dxa"/>
            <w:tcBorders>
              <w:top w:val="nil"/>
              <w:left w:val="nil"/>
              <w:bottom w:val="nil"/>
              <w:right w:val="nil"/>
            </w:tcBorders>
            <w:tcMar>
              <w:top w:w="30" w:type="dxa"/>
              <w:left w:w="80" w:type="dxa"/>
              <w:bottom w:w="30" w:type="dxa"/>
              <w:right w:w="80" w:type="dxa"/>
            </w:tcMar>
            <w:vAlign w:val="center"/>
          </w:tcPr>
          <w:p w14:paraId="48B18781">
            <w:pPr>
              <w:spacing w:after="0" w:line="240" w:lineRule="auto"/>
              <w:jc w:val="left"/>
            </w:pPr>
            <w:r>
              <w:rPr>
                <w:rFonts w:ascii="Times New Roman" w:hAnsi="Times New Roman" w:eastAsia="Times New Roman" w:cs="Times New Roman"/>
                <w:b w:val="0"/>
                <w:bCs w:val="0"/>
                <w:i w:val="0"/>
                <w:iCs w:val="0"/>
                <w:sz w:val="20"/>
                <w:szCs w:val="20"/>
              </w:rPr>
              <w:t>Age, per year</w:t>
            </w:r>
          </w:p>
        </w:tc>
        <w:tc>
          <w:tcPr>
            <w:tcW w:w="4560" w:type="dxa"/>
            <w:tcBorders>
              <w:top w:val="nil"/>
              <w:left w:val="nil"/>
              <w:bottom w:val="nil"/>
              <w:right w:val="nil"/>
            </w:tcBorders>
            <w:tcMar>
              <w:top w:w="30" w:type="dxa"/>
              <w:left w:w="80" w:type="dxa"/>
              <w:bottom w:w="30" w:type="dxa"/>
              <w:right w:w="80" w:type="dxa"/>
            </w:tcMar>
            <w:vAlign w:val="center"/>
          </w:tcPr>
          <w:p w14:paraId="34ED5EB4">
            <w:pPr>
              <w:spacing w:after="0" w:line="240" w:lineRule="auto"/>
              <w:jc w:val="center"/>
            </w:pPr>
            <w:r>
              <w:rPr>
                <w:rFonts w:ascii="Times New Roman" w:hAnsi="Times New Roman" w:eastAsia="Times New Roman" w:cs="Times New Roman"/>
                <w:b w:val="0"/>
                <w:bCs w:val="0"/>
                <w:i w:val="0"/>
                <w:iCs w:val="0"/>
                <w:sz w:val="20"/>
                <w:szCs w:val="20"/>
              </w:rPr>
              <w:t>1.015 (1.012–1.018)</w:t>
            </w:r>
          </w:p>
        </w:tc>
        <w:tc>
          <w:tcPr>
            <w:tcW w:w="3600" w:type="dxa"/>
            <w:tcBorders>
              <w:top w:val="nil"/>
              <w:left w:val="nil"/>
              <w:bottom w:val="nil"/>
              <w:right w:val="nil"/>
            </w:tcBorders>
            <w:tcMar>
              <w:top w:w="30" w:type="dxa"/>
              <w:left w:w="80" w:type="dxa"/>
              <w:bottom w:w="30" w:type="dxa"/>
              <w:right w:w="80" w:type="dxa"/>
            </w:tcMar>
            <w:vAlign w:val="center"/>
          </w:tcPr>
          <w:p w14:paraId="562383BE">
            <w:pPr>
              <w:spacing w:after="0" w:line="240" w:lineRule="auto"/>
              <w:jc w:val="center"/>
            </w:pPr>
            <w:r>
              <w:rPr>
                <w:rFonts w:ascii="Times New Roman" w:hAnsi="Times New Roman" w:eastAsia="Times New Roman" w:cs="Times New Roman"/>
                <w:b w:val="0"/>
                <w:bCs w:val="0"/>
                <w:i w:val="0"/>
                <w:iCs w:val="0"/>
                <w:sz w:val="20"/>
                <w:szCs w:val="20"/>
              </w:rPr>
              <w:t>&lt;0.001</w:t>
            </w:r>
          </w:p>
        </w:tc>
      </w:tr>
      <w:tr w14:paraId="7A485D47">
        <w:tc>
          <w:tcPr>
            <w:tcW w:w="4800" w:type="dxa"/>
            <w:tcBorders>
              <w:top w:val="nil"/>
              <w:left w:val="nil"/>
              <w:bottom w:val="nil"/>
              <w:right w:val="nil"/>
            </w:tcBorders>
            <w:tcMar>
              <w:top w:w="30" w:type="dxa"/>
              <w:left w:w="80" w:type="dxa"/>
              <w:bottom w:w="30" w:type="dxa"/>
              <w:right w:w="80" w:type="dxa"/>
            </w:tcMar>
            <w:vAlign w:val="center"/>
          </w:tcPr>
          <w:p w14:paraId="1E2249A5">
            <w:pPr>
              <w:spacing w:after="0" w:line="240" w:lineRule="auto"/>
              <w:jc w:val="left"/>
            </w:pPr>
            <w:r>
              <w:rPr>
                <w:rFonts w:ascii="Times New Roman" w:hAnsi="Times New Roman" w:eastAsia="Times New Roman" w:cs="Times New Roman"/>
                <w:b w:val="0"/>
                <w:bCs w:val="0"/>
                <w:i w:val="0"/>
                <w:iCs w:val="0"/>
                <w:sz w:val="20"/>
                <w:szCs w:val="20"/>
              </w:rPr>
              <w:t>Female sex</w:t>
            </w:r>
          </w:p>
        </w:tc>
        <w:tc>
          <w:tcPr>
            <w:tcW w:w="4560" w:type="dxa"/>
            <w:tcBorders>
              <w:top w:val="nil"/>
              <w:left w:val="nil"/>
              <w:bottom w:val="nil"/>
              <w:right w:val="nil"/>
            </w:tcBorders>
            <w:tcMar>
              <w:top w:w="30" w:type="dxa"/>
              <w:left w:w="80" w:type="dxa"/>
              <w:bottom w:w="30" w:type="dxa"/>
              <w:right w:w="80" w:type="dxa"/>
            </w:tcMar>
            <w:vAlign w:val="center"/>
          </w:tcPr>
          <w:p w14:paraId="1B487736">
            <w:pPr>
              <w:spacing w:after="0" w:line="240" w:lineRule="auto"/>
              <w:jc w:val="center"/>
            </w:pPr>
            <w:r>
              <w:rPr>
                <w:rFonts w:ascii="Times New Roman" w:hAnsi="Times New Roman" w:eastAsia="Times New Roman" w:cs="Times New Roman"/>
                <w:b w:val="0"/>
                <w:bCs w:val="0"/>
                <w:i w:val="0"/>
                <w:iCs w:val="0"/>
                <w:sz w:val="20"/>
                <w:szCs w:val="20"/>
              </w:rPr>
              <w:t>0.972 (0.909–1.040)</w:t>
            </w:r>
          </w:p>
        </w:tc>
        <w:tc>
          <w:tcPr>
            <w:tcW w:w="3600" w:type="dxa"/>
            <w:tcBorders>
              <w:top w:val="nil"/>
              <w:left w:val="nil"/>
              <w:bottom w:val="nil"/>
              <w:right w:val="nil"/>
            </w:tcBorders>
            <w:tcMar>
              <w:top w:w="30" w:type="dxa"/>
              <w:left w:w="80" w:type="dxa"/>
              <w:bottom w:w="30" w:type="dxa"/>
              <w:right w:w="80" w:type="dxa"/>
            </w:tcMar>
            <w:vAlign w:val="center"/>
          </w:tcPr>
          <w:p w14:paraId="0D9095F2">
            <w:pPr>
              <w:spacing w:after="0" w:line="240" w:lineRule="auto"/>
              <w:jc w:val="center"/>
            </w:pPr>
            <w:r>
              <w:rPr>
                <w:rFonts w:ascii="Times New Roman" w:hAnsi="Times New Roman" w:eastAsia="Times New Roman" w:cs="Times New Roman"/>
                <w:b w:val="0"/>
                <w:bCs w:val="0"/>
                <w:i w:val="0"/>
                <w:iCs w:val="0"/>
                <w:sz w:val="20"/>
                <w:szCs w:val="20"/>
              </w:rPr>
              <w:t>0.41</w:t>
            </w:r>
          </w:p>
        </w:tc>
      </w:tr>
      <w:tr w14:paraId="67DB9DCD">
        <w:tc>
          <w:tcPr>
            <w:tcW w:w="4800" w:type="dxa"/>
            <w:tcBorders>
              <w:top w:val="nil"/>
              <w:left w:val="nil"/>
              <w:bottom w:val="nil"/>
              <w:right w:val="nil"/>
            </w:tcBorders>
            <w:tcMar>
              <w:top w:w="30" w:type="dxa"/>
              <w:left w:w="80" w:type="dxa"/>
              <w:bottom w:w="30" w:type="dxa"/>
              <w:right w:w="80" w:type="dxa"/>
            </w:tcMar>
            <w:vAlign w:val="center"/>
          </w:tcPr>
          <w:p w14:paraId="03A8AF06">
            <w:pPr>
              <w:spacing w:after="0" w:line="240" w:lineRule="auto"/>
              <w:jc w:val="left"/>
            </w:pPr>
            <w:r>
              <w:rPr>
                <w:rFonts w:ascii="Times New Roman" w:hAnsi="Times New Roman" w:eastAsia="Times New Roman" w:cs="Times New Roman"/>
                <w:b w:val="0"/>
                <w:bCs w:val="0"/>
                <w:i w:val="0"/>
                <w:iCs w:val="0"/>
                <w:sz w:val="20"/>
                <w:szCs w:val="20"/>
              </w:rPr>
              <w:t>SOFA score, per point</w:t>
            </w:r>
          </w:p>
        </w:tc>
        <w:tc>
          <w:tcPr>
            <w:tcW w:w="4560" w:type="dxa"/>
            <w:tcBorders>
              <w:top w:val="nil"/>
              <w:left w:val="nil"/>
              <w:bottom w:val="nil"/>
              <w:right w:val="nil"/>
            </w:tcBorders>
            <w:tcMar>
              <w:top w:w="30" w:type="dxa"/>
              <w:left w:w="80" w:type="dxa"/>
              <w:bottom w:w="30" w:type="dxa"/>
              <w:right w:w="80" w:type="dxa"/>
            </w:tcMar>
            <w:vAlign w:val="center"/>
          </w:tcPr>
          <w:p w14:paraId="3632BC50">
            <w:pPr>
              <w:spacing w:after="0" w:line="240" w:lineRule="auto"/>
              <w:jc w:val="center"/>
            </w:pPr>
            <w:r>
              <w:rPr>
                <w:rFonts w:ascii="Times New Roman" w:hAnsi="Times New Roman" w:eastAsia="Times New Roman" w:cs="Times New Roman"/>
                <w:b w:val="0"/>
                <w:bCs w:val="0"/>
                <w:i w:val="0"/>
                <w:iCs w:val="0"/>
                <w:sz w:val="20"/>
                <w:szCs w:val="20"/>
              </w:rPr>
              <w:t>1.150 (1.137–1.163)</w:t>
            </w:r>
          </w:p>
        </w:tc>
        <w:tc>
          <w:tcPr>
            <w:tcW w:w="3600" w:type="dxa"/>
            <w:tcBorders>
              <w:top w:val="nil"/>
              <w:left w:val="nil"/>
              <w:bottom w:val="nil"/>
              <w:right w:val="nil"/>
            </w:tcBorders>
            <w:tcMar>
              <w:top w:w="30" w:type="dxa"/>
              <w:left w:w="80" w:type="dxa"/>
              <w:bottom w:w="30" w:type="dxa"/>
              <w:right w:w="80" w:type="dxa"/>
            </w:tcMar>
            <w:vAlign w:val="center"/>
          </w:tcPr>
          <w:p w14:paraId="60B4AACF">
            <w:pPr>
              <w:spacing w:after="0" w:line="240" w:lineRule="auto"/>
              <w:jc w:val="center"/>
            </w:pPr>
            <w:r>
              <w:rPr>
                <w:rFonts w:ascii="Times New Roman" w:hAnsi="Times New Roman" w:eastAsia="Times New Roman" w:cs="Times New Roman"/>
                <w:b w:val="0"/>
                <w:bCs w:val="0"/>
                <w:i w:val="0"/>
                <w:iCs w:val="0"/>
                <w:sz w:val="20"/>
                <w:szCs w:val="20"/>
              </w:rPr>
              <w:t>&lt;0.001</w:t>
            </w:r>
          </w:p>
        </w:tc>
      </w:tr>
      <w:tr w14:paraId="3232EDF6">
        <w:tc>
          <w:tcPr>
            <w:tcW w:w="4800" w:type="dxa"/>
            <w:tcBorders>
              <w:top w:val="nil"/>
              <w:left w:val="nil"/>
              <w:bottom w:val="nil"/>
              <w:right w:val="nil"/>
            </w:tcBorders>
            <w:tcMar>
              <w:top w:w="30" w:type="dxa"/>
              <w:left w:w="80" w:type="dxa"/>
              <w:bottom w:w="30" w:type="dxa"/>
              <w:right w:w="80" w:type="dxa"/>
            </w:tcMar>
            <w:vAlign w:val="center"/>
          </w:tcPr>
          <w:p w14:paraId="7C3F4D49">
            <w:pPr>
              <w:spacing w:after="0" w:line="240" w:lineRule="auto"/>
              <w:jc w:val="left"/>
            </w:pPr>
            <w:r>
              <w:rPr>
                <w:rFonts w:ascii="Times New Roman" w:hAnsi="Times New Roman" w:eastAsia="Times New Roman" w:cs="Times New Roman"/>
                <w:b w:val="0"/>
                <w:bCs w:val="0"/>
                <w:i w:val="0"/>
                <w:iCs w:val="0"/>
                <w:sz w:val="20"/>
                <w:szCs w:val="20"/>
              </w:rPr>
              <w:t>Charlson comorbidity index, per point</w:t>
            </w:r>
          </w:p>
        </w:tc>
        <w:tc>
          <w:tcPr>
            <w:tcW w:w="4560" w:type="dxa"/>
            <w:tcBorders>
              <w:top w:val="nil"/>
              <w:left w:val="nil"/>
              <w:bottom w:val="nil"/>
              <w:right w:val="nil"/>
            </w:tcBorders>
            <w:tcMar>
              <w:top w:w="30" w:type="dxa"/>
              <w:left w:w="80" w:type="dxa"/>
              <w:bottom w:w="30" w:type="dxa"/>
              <w:right w:w="80" w:type="dxa"/>
            </w:tcMar>
            <w:vAlign w:val="center"/>
          </w:tcPr>
          <w:p w14:paraId="630808AE">
            <w:pPr>
              <w:spacing w:after="0" w:line="240" w:lineRule="auto"/>
              <w:jc w:val="center"/>
            </w:pPr>
            <w:r>
              <w:rPr>
                <w:rFonts w:ascii="Times New Roman" w:hAnsi="Times New Roman" w:eastAsia="Times New Roman" w:cs="Times New Roman"/>
                <w:b w:val="0"/>
                <w:bCs w:val="0"/>
                <w:i w:val="0"/>
                <w:iCs w:val="0"/>
                <w:sz w:val="20"/>
                <w:szCs w:val="20"/>
              </w:rPr>
              <w:t>1.189 (1.173–1.205)</w:t>
            </w:r>
          </w:p>
        </w:tc>
        <w:tc>
          <w:tcPr>
            <w:tcW w:w="3600" w:type="dxa"/>
            <w:tcBorders>
              <w:top w:val="nil"/>
              <w:left w:val="nil"/>
              <w:bottom w:val="nil"/>
              <w:right w:val="nil"/>
            </w:tcBorders>
            <w:tcMar>
              <w:top w:w="30" w:type="dxa"/>
              <w:left w:w="80" w:type="dxa"/>
              <w:bottom w:w="30" w:type="dxa"/>
              <w:right w:w="80" w:type="dxa"/>
            </w:tcMar>
            <w:vAlign w:val="center"/>
          </w:tcPr>
          <w:p w14:paraId="0C671E76">
            <w:pPr>
              <w:spacing w:after="0" w:line="240" w:lineRule="auto"/>
              <w:jc w:val="center"/>
            </w:pPr>
            <w:r>
              <w:rPr>
                <w:rFonts w:ascii="Times New Roman" w:hAnsi="Times New Roman" w:eastAsia="Times New Roman" w:cs="Times New Roman"/>
                <w:b w:val="0"/>
                <w:bCs w:val="0"/>
                <w:i w:val="0"/>
                <w:iCs w:val="0"/>
                <w:sz w:val="20"/>
                <w:szCs w:val="20"/>
              </w:rPr>
              <w:t>&lt;0.001</w:t>
            </w:r>
          </w:p>
        </w:tc>
      </w:tr>
      <w:tr w14:paraId="398CDB12">
        <w:tc>
          <w:tcPr>
            <w:tcW w:w="4800" w:type="dxa"/>
            <w:tcBorders>
              <w:top w:val="nil"/>
              <w:left w:val="nil"/>
              <w:bottom w:val="nil"/>
              <w:right w:val="nil"/>
            </w:tcBorders>
            <w:tcMar>
              <w:top w:w="30" w:type="dxa"/>
              <w:left w:w="80" w:type="dxa"/>
              <w:bottom w:w="30" w:type="dxa"/>
              <w:right w:w="80" w:type="dxa"/>
            </w:tcMar>
            <w:vAlign w:val="center"/>
          </w:tcPr>
          <w:p w14:paraId="1DD5177E">
            <w:pPr>
              <w:spacing w:after="0" w:line="240" w:lineRule="auto"/>
              <w:jc w:val="left"/>
            </w:pPr>
            <w:r>
              <w:rPr>
                <w:rFonts w:ascii="Times New Roman" w:hAnsi="Times New Roman" w:eastAsia="Times New Roman" w:cs="Times New Roman"/>
                <w:b w:val="0"/>
                <w:bCs w:val="0"/>
                <w:i w:val="0"/>
                <w:iCs w:val="0"/>
                <w:sz w:val="20"/>
                <w:szCs w:val="20"/>
              </w:rPr>
              <w:t>Hypertension</w:t>
            </w:r>
          </w:p>
        </w:tc>
        <w:tc>
          <w:tcPr>
            <w:tcW w:w="4560" w:type="dxa"/>
            <w:tcBorders>
              <w:top w:val="nil"/>
              <w:left w:val="nil"/>
              <w:bottom w:val="nil"/>
              <w:right w:val="nil"/>
            </w:tcBorders>
            <w:tcMar>
              <w:top w:w="30" w:type="dxa"/>
              <w:left w:w="80" w:type="dxa"/>
              <w:bottom w:w="30" w:type="dxa"/>
              <w:right w:w="80" w:type="dxa"/>
            </w:tcMar>
            <w:vAlign w:val="center"/>
          </w:tcPr>
          <w:p w14:paraId="0FA486B6">
            <w:pPr>
              <w:spacing w:after="0" w:line="240" w:lineRule="auto"/>
              <w:jc w:val="center"/>
            </w:pPr>
            <w:r>
              <w:rPr>
                <w:rFonts w:ascii="Times New Roman" w:hAnsi="Times New Roman" w:eastAsia="Times New Roman" w:cs="Times New Roman"/>
                <w:b w:val="0"/>
                <w:bCs w:val="0"/>
                <w:i w:val="0"/>
                <w:iCs w:val="0"/>
                <w:sz w:val="20"/>
                <w:szCs w:val="20"/>
              </w:rPr>
              <w:t>0.846 (0.783–0.915)</w:t>
            </w:r>
          </w:p>
        </w:tc>
        <w:tc>
          <w:tcPr>
            <w:tcW w:w="3600" w:type="dxa"/>
            <w:tcBorders>
              <w:top w:val="nil"/>
              <w:left w:val="nil"/>
              <w:bottom w:val="nil"/>
              <w:right w:val="nil"/>
            </w:tcBorders>
            <w:tcMar>
              <w:top w:w="30" w:type="dxa"/>
              <w:left w:w="80" w:type="dxa"/>
              <w:bottom w:w="30" w:type="dxa"/>
              <w:right w:w="80" w:type="dxa"/>
            </w:tcMar>
            <w:vAlign w:val="center"/>
          </w:tcPr>
          <w:p w14:paraId="60E7196C">
            <w:pPr>
              <w:spacing w:after="0" w:line="240" w:lineRule="auto"/>
              <w:jc w:val="center"/>
            </w:pPr>
            <w:r>
              <w:rPr>
                <w:rFonts w:ascii="Times New Roman" w:hAnsi="Times New Roman" w:eastAsia="Times New Roman" w:cs="Times New Roman"/>
                <w:b w:val="0"/>
                <w:bCs w:val="0"/>
                <w:i w:val="0"/>
                <w:iCs w:val="0"/>
                <w:sz w:val="20"/>
                <w:szCs w:val="20"/>
              </w:rPr>
              <w:t>&lt;0.001</w:t>
            </w:r>
          </w:p>
        </w:tc>
      </w:tr>
      <w:tr w14:paraId="3BB5C6DB">
        <w:tc>
          <w:tcPr>
            <w:tcW w:w="4800" w:type="dxa"/>
            <w:tcBorders>
              <w:top w:val="nil"/>
              <w:left w:val="nil"/>
              <w:bottom w:val="nil"/>
              <w:right w:val="nil"/>
            </w:tcBorders>
            <w:tcMar>
              <w:top w:w="30" w:type="dxa"/>
              <w:left w:w="80" w:type="dxa"/>
              <w:bottom w:w="30" w:type="dxa"/>
              <w:right w:w="80" w:type="dxa"/>
            </w:tcMar>
            <w:vAlign w:val="center"/>
          </w:tcPr>
          <w:p w14:paraId="4AC2F1AA">
            <w:pPr>
              <w:spacing w:after="0" w:line="240" w:lineRule="auto"/>
              <w:jc w:val="left"/>
            </w:pPr>
            <w:r>
              <w:rPr>
                <w:rFonts w:ascii="Times New Roman" w:hAnsi="Times New Roman" w:eastAsia="Times New Roman" w:cs="Times New Roman"/>
                <w:b w:val="0"/>
                <w:bCs w:val="0"/>
                <w:i w:val="0"/>
                <w:iCs w:val="0"/>
                <w:sz w:val="20"/>
                <w:szCs w:val="20"/>
              </w:rPr>
              <w:t>Atrial fibrillation</w:t>
            </w:r>
          </w:p>
        </w:tc>
        <w:tc>
          <w:tcPr>
            <w:tcW w:w="4560" w:type="dxa"/>
            <w:tcBorders>
              <w:top w:val="nil"/>
              <w:left w:val="nil"/>
              <w:bottom w:val="nil"/>
              <w:right w:val="nil"/>
            </w:tcBorders>
            <w:tcMar>
              <w:top w:w="30" w:type="dxa"/>
              <w:left w:w="80" w:type="dxa"/>
              <w:bottom w:w="30" w:type="dxa"/>
              <w:right w:w="80" w:type="dxa"/>
            </w:tcMar>
            <w:vAlign w:val="center"/>
          </w:tcPr>
          <w:p w14:paraId="164A14CB">
            <w:pPr>
              <w:spacing w:after="0" w:line="240" w:lineRule="auto"/>
              <w:jc w:val="center"/>
            </w:pPr>
            <w:r>
              <w:rPr>
                <w:rFonts w:ascii="Times New Roman" w:hAnsi="Times New Roman" w:eastAsia="Times New Roman" w:cs="Times New Roman"/>
                <w:b w:val="0"/>
                <w:bCs w:val="0"/>
                <w:i w:val="0"/>
                <w:iCs w:val="0"/>
                <w:sz w:val="20"/>
                <w:szCs w:val="20"/>
              </w:rPr>
              <w:t>1.013 (0.944–1.088)</w:t>
            </w:r>
          </w:p>
        </w:tc>
        <w:tc>
          <w:tcPr>
            <w:tcW w:w="3600" w:type="dxa"/>
            <w:tcBorders>
              <w:top w:val="nil"/>
              <w:left w:val="nil"/>
              <w:bottom w:val="nil"/>
              <w:right w:val="nil"/>
            </w:tcBorders>
            <w:tcMar>
              <w:top w:w="30" w:type="dxa"/>
              <w:left w:w="80" w:type="dxa"/>
              <w:bottom w:w="30" w:type="dxa"/>
              <w:right w:w="80" w:type="dxa"/>
            </w:tcMar>
            <w:vAlign w:val="center"/>
          </w:tcPr>
          <w:p w14:paraId="3D71E665">
            <w:pPr>
              <w:spacing w:after="0" w:line="240" w:lineRule="auto"/>
              <w:jc w:val="center"/>
            </w:pPr>
            <w:r>
              <w:rPr>
                <w:rFonts w:ascii="Times New Roman" w:hAnsi="Times New Roman" w:eastAsia="Times New Roman" w:cs="Times New Roman"/>
                <w:b w:val="0"/>
                <w:bCs w:val="0"/>
                <w:i w:val="0"/>
                <w:iCs w:val="0"/>
                <w:sz w:val="20"/>
                <w:szCs w:val="20"/>
              </w:rPr>
              <w:t>0.72</w:t>
            </w:r>
          </w:p>
        </w:tc>
      </w:tr>
      <w:tr w14:paraId="6662ED4E">
        <w:tc>
          <w:tcPr>
            <w:tcW w:w="4800" w:type="dxa"/>
            <w:tcBorders>
              <w:top w:val="nil"/>
              <w:left w:val="nil"/>
              <w:bottom w:val="nil"/>
              <w:right w:val="nil"/>
            </w:tcBorders>
            <w:tcMar>
              <w:top w:w="30" w:type="dxa"/>
              <w:left w:w="80" w:type="dxa"/>
              <w:bottom w:w="30" w:type="dxa"/>
              <w:right w:w="80" w:type="dxa"/>
            </w:tcMar>
            <w:vAlign w:val="center"/>
          </w:tcPr>
          <w:p w14:paraId="7D320273">
            <w:pPr>
              <w:spacing w:after="0" w:line="240" w:lineRule="auto"/>
              <w:jc w:val="left"/>
            </w:pPr>
            <w:r>
              <w:rPr>
                <w:rFonts w:ascii="Times New Roman" w:hAnsi="Times New Roman" w:eastAsia="Times New Roman" w:cs="Times New Roman"/>
                <w:b w:val="0"/>
                <w:bCs w:val="0"/>
                <w:i w:val="0"/>
                <w:iCs w:val="0"/>
                <w:sz w:val="20"/>
                <w:szCs w:val="20"/>
              </w:rPr>
              <w:t>Diabetes mellitus</w:t>
            </w:r>
          </w:p>
        </w:tc>
        <w:tc>
          <w:tcPr>
            <w:tcW w:w="4560" w:type="dxa"/>
            <w:tcBorders>
              <w:top w:val="nil"/>
              <w:left w:val="nil"/>
              <w:bottom w:val="nil"/>
              <w:right w:val="nil"/>
            </w:tcBorders>
            <w:tcMar>
              <w:top w:w="30" w:type="dxa"/>
              <w:left w:w="80" w:type="dxa"/>
              <w:bottom w:w="30" w:type="dxa"/>
              <w:right w:w="80" w:type="dxa"/>
            </w:tcMar>
            <w:vAlign w:val="center"/>
          </w:tcPr>
          <w:p w14:paraId="13398D20">
            <w:pPr>
              <w:spacing w:after="0" w:line="240" w:lineRule="auto"/>
              <w:jc w:val="center"/>
            </w:pPr>
            <w:r>
              <w:rPr>
                <w:rFonts w:ascii="Times New Roman" w:hAnsi="Times New Roman" w:eastAsia="Times New Roman" w:cs="Times New Roman"/>
                <w:b w:val="0"/>
                <w:bCs w:val="0"/>
                <w:i w:val="0"/>
                <w:iCs w:val="0"/>
                <w:sz w:val="20"/>
                <w:szCs w:val="20"/>
              </w:rPr>
              <w:t>0.747 (0.694–0.805)</w:t>
            </w:r>
          </w:p>
        </w:tc>
        <w:tc>
          <w:tcPr>
            <w:tcW w:w="3600" w:type="dxa"/>
            <w:tcBorders>
              <w:top w:val="nil"/>
              <w:left w:val="nil"/>
              <w:bottom w:val="nil"/>
              <w:right w:val="nil"/>
            </w:tcBorders>
            <w:tcMar>
              <w:top w:w="30" w:type="dxa"/>
              <w:left w:w="80" w:type="dxa"/>
              <w:bottom w:w="30" w:type="dxa"/>
              <w:right w:w="80" w:type="dxa"/>
            </w:tcMar>
            <w:vAlign w:val="center"/>
          </w:tcPr>
          <w:p w14:paraId="1DFC3BDC">
            <w:pPr>
              <w:spacing w:after="0" w:line="240" w:lineRule="auto"/>
              <w:jc w:val="center"/>
            </w:pPr>
            <w:r>
              <w:rPr>
                <w:rFonts w:ascii="Times New Roman" w:hAnsi="Times New Roman" w:eastAsia="Times New Roman" w:cs="Times New Roman"/>
                <w:b w:val="0"/>
                <w:bCs w:val="0"/>
                <w:i w:val="0"/>
                <w:iCs w:val="0"/>
                <w:sz w:val="20"/>
                <w:szCs w:val="20"/>
              </w:rPr>
              <w:t>&lt;0.001</w:t>
            </w:r>
          </w:p>
        </w:tc>
      </w:tr>
      <w:tr w14:paraId="1657836F">
        <w:tc>
          <w:tcPr>
            <w:tcW w:w="4800" w:type="dxa"/>
            <w:tcBorders>
              <w:top w:val="nil"/>
              <w:left w:val="nil"/>
              <w:bottom w:val="nil"/>
              <w:right w:val="nil"/>
            </w:tcBorders>
            <w:tcMar>
              <w:top w:w="30" w:type="dxa"/>
              <w:left w:w="80" w:type="dxa"/>
              <w:bottom w:w="30" w:type="dxa"/>
              <w:right w:w="80" w:type="dxa"/>
            </w:tcMar>
            <w:vAlign w:val="center"/>
          </w:tcPr>
          <w:p w14:paraId="67D51B75">
            <w:pPr>
              <w:spacing w:after="0" w:line="240" w:lineRule="auto"/>
              <w:jc w:val="left"/>
            </w:pPr>
            <w:r>
              <w:rPr>
                <w:rFonts w:ascii="Times New Roman" w:hAnsi="Times New Roman" w:eastAsia="Times New Roman" w:cs="Times New Roman"/>
                <w:b w:val="0"/>
                <w:bCs w:val="0"/>
                <w:i w:val="0"/>
                <w:iCs w:val="0"/>
                <w:sz w:val="20"/>
                <w:szCs w:val="20"/>
              </w:rPr>
              <w:t>Chronic kidney disease</w:t>
            </w:r>
          </w:p>
        </w:tc>
        <w:tc>
          <w:tcPr>
            <w:tcW w:w="4560" w:type="dxa"/>
            <w:tcBorders>
              <w:top w:val="nil"/>
              <w:left w:val="nil"/>
              <w:bottom w:val="nil"/>
              <w:right w:val="nil"/>
            </w:tcBorders>
            <w:tcMar>
              <w:top w:w="30" w:type="dxa"/>
              <w:left w:w="80" w:type="dxa"/>
              <w:bottom w:w="30" w:type="dxa"/>
              <w:right w:w="80" w:type="dxa"/>
            </w:tcMar>
            <w:vAlign w:val="center"/>
          </w:tcPr>
          <w:p w14:paraId="325C8429">
            <w:pPr>
              <w:spacing w:after="0" w:line="240" w:lineRule="auto"/>
              <w:jc w:val="center"/>
            </w:pPr>
            <w:r>
              <w:rPr>
                <w:rFonts w:ascii="Times New Roman" w:hAnsi="Times New Roman" w:eastAsia="Times New Roman" w:cs="Times New Roman"/>
                <w:b w:val="0"/>
                <w:bCs w:val="0"/>
                <w:i w:val="0"/>
                <w:iCs w:val="0"/>
                <w:sz w:val="20"/>
                <w:szCs w:val="20"/>
              </w:rPr>
              <w:t>0.679 (0.625–0.736)</w:t>
            </w:r>
          </w:p>
        </w:tc>
        <w:tc>
          <w:tcPr>
            <w:tcW w:w="3600" w:type="dxa"/>
            <w:tcBorders>
              <w:top w:val="nil"/>
              <w:left w:val="nil"/>
              <w:bottom w:val="nil"/>
              <w:right w:val="nil"/>
            </w:tcBorders>
            <w:tcMar>
              <w:top w:w="30" w:type="dxa"/>
              <w:left w:w="80" w:type="dxa"/>
              <w:bottom w:w="30" w:type="dxa"/>
              <w:right w:w="80" w:type="dxa"/>
            </w:tcMar>
            <w:vAlign w:val="center"/>
          </w:tcPr>
          <w:p w14:paraId="4FE90168">
            <w:pPr>
              <w:spacing w:after="0" w:line="240" w:lineRule="auto"/>
              <w:jc w:val="center"/>
            </w:pPr>
            <w:r>
              <w:rPr>
                <w:rFonts w:ascii="Times New Roman" w:hAnsi="Times New Roman" w:eastAsia="Times New Roman" w:cs="Times New Roman"/>
                <w:b w:val="0"/>
                <w:bCs w:val="0"/>
                <w:i w:val="0"/>
                <w:iCs w:val="0"/>
                <w:sz w:val="20"/>
                <w:szCs w:val="20"/>
              </w:rPr>
              <w:t>&lt;0.001</w:t>
            </w:r>
          </w:p>
        </w:tc>
      </w:tr>
      <w:tr w14:paraId="2FB573BB">
        <w:tc>
          <w:tcPr>
            <w:tcW w:w="4800" w:type="dxa"/>
            <w:tcBorders>
              <w:top w:val="nil"/>
              <w:left w:val="nil"/>
              <w:bottom w:val="nil"/>
              <w:right w:val="nil"/>
            </w:tcBorders>
            <w:tcMar>
              <w:top w:w="30" w:type="dxa"/>
              <w:left w:w="80" w:type="dxa"/>
              <w:bottom w:w="30" w:type="dxa"/>
              <w:right w:w="80" w:type="dxa"/>
            </w:tcMar>
            <w:vAlign w:val="center"/>
          </w:tcPr>
          <w:p w14:paraId="1C74A989">
            <w:pPr>
              <w:spacing w:after="0" w:line="240" w:lineRule="auto"/>
              <w:jc w:val="left"/>
            </w:pPr>
            <w:r>
              <w:rPr>
                <w:rFonts w:ascii="Times New Roman" w:hAnsi="Times New Roman" w:eastAsia="Times New Roman" w:cs="Times New Roman"/>
                <w:b w:val="0"/>
                <w:bCs w:val="0"/>
                <w:i w:val="0"/>
                <w:iCs w:val="0"/>
                <w:sz w:val="20"/>
                <w:szCs w:val="20"/>
              </w:rPr>
              <w:t>Vasopressor, ICU day 1</w:t>
            </w:r>
          </w:p>
        </w:tc>
        <w:tc>
          <w:tcPr>
            <w:tcW w:w="4560" w:type="dxa"/>
            <w:tcBorders>
              <w:top w:val="nil"/>
              <w:left w:val="nil"/>
              <w:bottom w:val="nil"/>
              <w:right w:val="nil"/>
            </w:tcBorders>
            <w:tcMar>
              <w:top w:w="30" w:type="dxa"/>
              <w:left w:w="80" w:type="dxa"/>
              <w:bottom w:w="30" w:type="dxa"/>
              <w:right w:w="80" w:type="dxa"/>
            </w:tcMar>
            <w:vAlign w:val="center"/>
          </w:tcPr>
          <w:p w14:paraId="02BB2D99">
            <w:pPr>
              <w:spacing w:after="0" w:line="240" w:lineRule="auto"/>
              <w:jc w:val="center"/>
            </w:pPr>
            <w:r>
              <w:rPr>
                <w:rFonts w:ascii="Times New Roman" w:hAnsi="Times New Roman" w:eastAsia="Times New Roman" w:cs="Times New Roman"/>
                <w:b w:val="0"/>
                <w:bCs w:val="0"/>
                <w:i w:val="0"/>
                <w:iCs w:val="0"/>
                <w:sz w:val="20"/>
                <w:szCs w:val="20"/>
              </w:rPr>
              <w:t>0.898 (0.825–0.979)</w:t>
            </w:r>
          </w:p>
        </w:tc>
        <w:tc>
          <w:tcPr>
            <w:tcW w:w="3600" w:type="dxa"/>
            <w:tcBorders>
              <w:top w:val="nil"/>
              <w:left w:val="nil"/>
              <w:bottom w:val="nil"/>
              <w:right w:val="nil"/>
            </w:tcBorders>
            <w:tcMar>
              <w:top w:w="30" w:type="dxa"/>
              <w:left w:w="80" w:type="dxa"/>
              <w:bottom w:w="30" w:type="dxa"/>
              <w:right w:w="80" w:type="dxa"/>
            </w:tcMar>
            <w:vAlign w:val="center"/>
          </w:tcPr>
          <w:p w14:paraId="678F246B">
            <w:pPr>
              <w:spacing w:after="0" w:line="240" w:lineRule="auto"/>
              <w:jc w:val="center"/>
            </w:pPr>
            <w:r>
              <w:rPr>
                <w:rFonts w:ascii="Times New Roman" w:hAnsi="Times New Roman" w:eastAsia="Times New Roman" w:cs="Times New Roman"/>
                <w:b w:val="0"/>
                <w:bCs w:val="0"/>
                <w:i w:val="0"/>
                <w:iCs w:val="0"/>
                <w:sz w:val="20"/>
                <w:szCs w:val="20"/>
              </w:rPr>
              <w:t>0.014</w:t>
            </w:r>
          </w:p>
        </w:tc>
      </w:tr>
      <w:tr w14:paraId="6A881883">
        <w:tc>
          <w:tcPr>
            <w:tcW w:w="4800" w:type="dxa"/>
            <w:tcBorders>
              <w:top w:val="nil"/>
              <w:left w:val="nil"/>
              <w:bottom w:val="nil"/>
              <w:right w:val="nil"/>
            </w:tcBorders>
            <w:tcMar>
              <w:top w:w="30" w:type="dxa"/>
              <w:left w:w="80" w:type="dxa"/>
              <w:bottom w:w="30" w:type="dxa"/>
              <w:right w:w="80" w:type="dxa"/>
            </w:tcMar>
            <w:vAlign w:val="center"/>
          </w:tcPr>
          <w:p w14:paraId="5D1D3399">
            <w:pPr>
              <w:spacing w:after="0" w:line="240" w:lineRule="auto"/>
              <w:jc w:val="left"/>
            </w:pPr>
            <w:r>
              <w:rPr>
                <w:rFonts w:ascii="Times New Roman" w:hAnsi="Times New Roman" w:eastAsia="Times New Roman" w:cs="Times New Roman"/>
                <w:b w:val="0"/>
                <w:bCs w:val="0"/>
                <w:i w:val="0"/>
                <w:iCs w:val="0"/>
                <w:sz w:val="20"/>
                <w:szCs w:val="20"/>
              </w:rPr>
              <w:t>Mechanical ventilation, ICU day 1</w:t>
            </w:r>
          </w:p>
        </w:tc>
        <w:tc>
          <w:tcPr>
            <w:tcW w:w="4560" w:type="dxa"/>
            <w:tcBorders>
              <w:top w:val="nil"/>
              <w:left w:val="nil"/>
              <w:bottom w:val="nil"/>
              <w:right w:val="nil"/>
            </w:tcBorders>
            <w:tcMar>
              <w:top w:w="30" w:type="dxa"/>
              <w:left w:w="80" w:type="dxa"/>
              <w:bottom w:w="30" w:type="dxa"/>
              <w:right w:w="80" w:type="dxa"/>
            </w:tcMar>
            <w:vAlign w:val="center"/>
          </w:tcPr>
          <w:p w14:paraId="5B146C72">
            <w:pPr>
              <w:spacing w:after="0" w:line="240" w:lineRule="auto"/>
              <w:jc w:val="center"/>
            </w:pPr>
            <w:r>
              <w:rPr>
                <w:rFonts w:ascii="Times New Roman" w:hAnsi="Times New Roman" w:eastAsia="Times New Roman" w:cs="Times New Roman"/>
                <w:b w:val="0"/>
                <w:bCs w:val="0"/>
                <w:i w:val="0"/>
                <w:iCs w:val="0"/>
                <w:sz w:val="20"/>
                <w:szCs w:val="20"/>
              </w:rPr>
              <w:t>1.245 (1.148–1.350)</w:t>
            </w:r>
          </w:p>
        </w:tc>
        <w:tc>
          <w:tcPr>
            <w:tcW w:w="3600" w:type="dxa"/>
            <w:tcBorders>
              <w:top w:val="nil"/>
              <w:left w:val="nil"/>
              <w:bottom w:val="nil"/>
              <w:right w:val="nil"/>
            </w:tcBorders>
            <w:tcMar>
              <w:top w:w="30" w:type="dxa"/>
              <w:left w:w="80" w:type="dxa"/>
              <w:bottom w:w="30" w:type="dxa"/>
              <w:right w:w="80" w:type="dxa"/>
            </w:tcMar>
            <w:vAlign w:val="center"/>
          </w:tcPr>
          <w:p w14:paraId="0D5C071F">
            <w:pPr>
              <w:spacing w:after="0" w:line="240" w:lineRule="auto"/>
              <w:jc w:val="center"/>
            </w:pPr>
            <w:r>
              <w:rPr>
                <w:rFonts w:ascii="Times New Roman" w:hAnsi="Times New Roman" w:eastAsia="Times New Roman" w:cs="Times New Roman"/>
                <w:b w:val="0"/>
                <w:bCs w:val="0"/>
                <w:i w:val="0"/>
                <w:iCs w:val="0"/>
                <w:sz w:val="20"/>
                <w:szCs w:val="20"/>
              </w:rPr>
              <w:t>&lt;0.001</w:t>
            </w:r>
          </w:p>
        </w:tc>
      </w:tr>
      <w:tr w14:paraId="2BFC1A38">
        <w:tc>
          <w:tcPr>
            <w:tcW w:w="4800" w:type="dxa"/>
            <w:tcBorders>
              <w:top w:val="nil"/>
              <w:left w:val="nil"/>
              <w:bottom w:val="nil"/>
              <w:right w:val="nil"/>
            </w:tcBorders>
            <w:tcMar>
              <w:top w:w="30" w:type="dxa"/>
              <w:left w:w="80" w:type="dxa"/>
              <w:bottom w:w="30" w:type="dxa"/>
              <w:right w:w="80" w:type="dxa"/>
            </w:tcMar>
            <w:vAlign w:val="center"/>
          </w:tcPr>
          <w:p w14:paraId="0F391F95">
            <w:pPr>
              <w:spacing w:after="0" w:line="240" w:lineRule="auto"/>
              <w:jc w:val="left"/>
            </w:pPr>
            <w:r>
              <w:rPr>
                <w:rFonts w:ascii="Times New Roman" w:hAnsi="Times New Roman" w:eastAsia="Times New Roman" w:cs="Times New Roman"/>
                <w:b w:val="0"/>
                <w:bCs w:val="0"/>
                <w:i w:val="0"/>
                <w:iCs w:val="0"/>
                <w:sz w:val="20"/>
                <w:szCs w:val="20"/>
              </w:rPr>
              <w:t>Haemoglobin, minimum, per g/dL</w:t>
            </w:r>
          </w:p>
        </w:tc>
        <w:tc>
          <w:tcPr>
            <w:tcW w:w="4560" w:type="dxa"/>
            <w:tcBorders>
              <w:top w:val="nil"/>
              <w:left w:val="nil"/>
              <w:bottom w:val="nil"/>
              <w:right w:val="nil"/>
            </w:tcBorders>
            <w:tcMar>
              <w:top w:w="30" w:type="dxa"/>
              <w:left w:w="80" w:type="dxa"/>
              <w:bottom w:w="30" w:type="dxa"/>
              <w:right w:w="80" w:type="dxa"/>
            </w:tcMar>
            <w:vAlign w:val="center"/>
          </w:tcPr>
          <w:p w14:paraId="525021BF">
            <w:pPr>
              <w:spacing w:after="0" w:line="240" w:lineRule="auto"/>
              <w:jc w:val="center"/>
            </w:pPr>
            <w:r>
              <w:rPr>
                <w:rFonts w:ascii="Times New Roman" w:hAnsi="Times New Roman" w:eastAsia="Times New Roman" w:cs="Times New Roman"/>
                <w:b w:val="0"/>
                <w:bCs w:val="0"/>
                <w:i w:val="0"/>
                <w:iCs w:val="0"/>
                <w:sz w:val="20"/>
                <w:szCs w:val="20"/>
              </w:rPr>
              <w:t>0.944 (0.930–0.959)</w:t>
            </w:r>
          </w:p>
        </w:tc>
        <w:tc>
          <w:tcPr>
            <w:tcW w:w="3600" w:type="dxa"/>
            <w:tcBorders>
              <w:top w:val="nil"/>
              <w:left w:val="nil"/>
              <w:bottom w:val="nil"/>
              <w:right w:val="nil"/>
            </w:tcBorders>
            <w:tcMar>
              <w:top w:w="30" w:type="dxa"/>
              <w:left w:w="80" w:type="dxa"/>
              <w:bottom w:w="30" w:type="dxa"/>
              <w:right w:w="80" w:type="dxa"/>
            </w:tcMar>
            <w:vAlign w:val="center"/>
          </w:tcPr>
          <w:p w14:paraId="0D20CCF5">
            <w:pPr>
              <w:spacing w:after="0" w:line="240" w:lineRule="auto"/>
              <w:jc w:val="center"/>
            </w:pPr>
            <w:r>
              <w:rPr>
                <w:rFonts w:ascii="Times New Roman" w:hAnsi="Times New Roman" w:eastAsia="Times New Roman" w:cs="Times New Roman"/>
                <w:b w:val="0"/>
                <w:bCs w:val="0"/>
                <w:i w:val="0"/>
                <w:iCs w:val="0"/>
                <w:sz w:val="20"/>
                <w:szCs w:val="20"/>
              </w:rPr>
              <w:t>&lt;0.001</w:t>
            </w:r>
          </w:p>
        </w:tc>
      </w:tr>
      <w:tr w14:paraId="5F7585BC">
        <w:tc>
          <w:tcPr>
            <w:tcW w:w="4800" w:type="dxa"/>
            <w:tcBorders>
              <w:top w:val="nil"/>
              <w:left w:val="nil"/>
              <w:bottom w:val="nil"/>
              <w:right w:val="nil"/>
            </w:tcBorders>
            <w:tcMar>
              <w:top w:w="30" w:type="dxa"/>
              <w:left w:w="80" w:type="dxa"/>
              <w:bottom w:w="30" w:type="dxa"/>
              <w:right w:w="80" w:type="dxa"/>
            </w:tcMar>
            <w:vAlign w:val="center"/>
          </w:tcPr>
          <w:p w14:paraId="04C32349">
            <w:pPr>
              <w:spacing w:after="0" w:line="240" w:lineRule="auto"/>
              <w:jc w:val="left"/>
            </w:pPr>
            <w:r>
              <w:rPr>
                <w:rFonts w:ascii="Times New Roman" w:hAnsi="Times New Roman" w:eastAsia="Times New Roman" w:cs="Times New Roman"/>
                <w:b w:val="0"/>
                <w:bCs w:val="0"/>
                <w:i w:val="0"/>
                <w:iCs w:val="0"/>
                <w:sz w:val="20"/>
                <w:szCs w:val="20"/>
              </w:rPr>
              <w:t>Heart rate, mean, per beat/min</w:t>
            </w:r>
          </w:p>
        </w:tc>
        <w:tc>
          <w:tcPr>
            <w:tcW w:w="4560" w:type="dxa"/>
            <w:tcBorders>
              <w:top w:val="nil"/>
              <w:left w:val="nil"/>
              <w:bottom w:val="nil"/>
              <w:right w:val="nil"/>
            </w:tcBorders>
            <w:tcMar>
              <w:top w:w="30" w:type="dxa"/>
              <w:left w:w="80" w:type="dxa"/>
              <w:bottom w:w="30" w:type="dxa"/>
              <w:right w:w="80" w:type="dxa"/>
            </w:tcMar>
            <w:vAlign w:val="center"/>
          </w:tcPr>
          <w:p w14:paraId="380FCABD">
            <w:pPr>
              <w:spacing w:after="0" w:line="240" w:lineRule="auto"/>
              <w:jc w:val="center"/>
            </w:pPr>
            <w:r>
              <w:rPr>
                <w:rFonts w:ascii="Times New Roman" w:hAnsi="Times New Roman" w:eastAsia="Times New Roman" w:cs="Times New Roman"/>
                <w:b w:val="0"/>
                <w:bCs w:val="0"/>
                <w:i w:val="0"/>
                <w:iCs w:val="0"/>
                <w:sz w:val="20"/>
                <w:szCs w:val="20"/>
              </w:rPr>
              <w:t>1.016 (1.014–1.018)</w:t>
            </w:r>
          </w:p>
        </w:tc>
        <w:tc>
          <w:tcPr>
            <w:tcW w:w="3600" w:type="dxa"/>
            <w:tcBorders>
              <w:top w:val="nil"/>
              <w:left w:val="nil"/>
              <w:bottom w:val="nil"/>
              <w:right w:val="nil"/>
            </w:tcBorders>
            <w:tcMar>
              <w:top w:w="30" w:type="dxa"/>
              <w:left w:w="80" w:type="dxa"/>
              <w:bottom w:w="30" w:type="dxa"/>
              <w:right w:w="80" w:type="dxa"/>
            </w:tcMar>
            <w:vAlign w:val="center"/>
          </w:tcPr>
          <w:p w14:paraId="6BE69EE0">
            <w:pPr>
              <w:spacing w:after="0" w:line="240" w:lineRule="auto"/>
              <w:jc w:val="center"/>
            </w:pPr>
            <w:r>
              <w:rPr>
                <w:rFonts w:ascii="Times New Roman" w:hAnsi="Times New Roman" w:eastAsia="Times New Roman" w:cs="Times New Roman"/>
                <w:b w:val="0"/>
                <w:bCs w:val="0"/>
                <w:i w:val="0"/>
                <w:iCs w:val="0"/>
                <w:sz w:val="20"/>
                <w:szCs w:val="20"/>
              </w:rPr>
              <w:t>&lt;0.001</w:t>
            </w:r>
          </w:p>
        </w:tc>
      </w:tr>
      <w:tr w14:paraId="1DBE3C27">
        <w:tc>
          <w:tcPr>
            <w:tcW w:w="4800" w:type="dxa"/>
            <w:tcBorders>
              <w:top w:val="nil"/>
              <w:left w:val="nil"/>
              <w:bottom w:val="single" w:color="000000" w:sz="8" w:space="0"/>
              <w:right w:val="nil"/>
            </w:tcBorders>
            <w:tcMar>
              <w:top w:w="30" w:type="dxa"/>
              <w:left w:w="80" w:type="dxa"/>
              <w:bottom w:w="30" w:type="dxa"/>
              <w:right w:w="80" w:type="dxa"/>
            </w:tcMar>
            <w:vAlign w:val="center"/>
          </w:tcPr>
          <w:p w14:paraId="7487481B">
            <w:pPr>
              <w:spacing w:after="0" w:line="240" w:lineRule="auto"/>
              <w:jc w:val="left"/>
            </w:pPr>
            <w:r>
              <w:rPr>
                <w:rFonts w:ascii="Times New Roman" w:hAnsi="Times New Roman" w:eastAsia="Times New Roman" w:cs="Times New Roman"/>
                <w:b w:val="0"/>
                <w:bCs w:val="0"/>
                <w:i w:val="0"/>
                <w:iCs w:val="0"/>
                <w:sz w:val="20"/>
                <w:szCs w:val="20"/>
              </w:rPr>
              <w:t>Temperature, maximum, per °C</w:t>
            </w:r>
          </w:p>
        </w:tc>
        <w:tc>
          <w:tcPr>
            <w:tcW w:w="4560" w:type="dxa"/>
            <w:tcBorders>
              <w:top w:val="nil"/>
              <w:left w:val="nil"/>
              <w:bottom w:val="single" w:color="000000" w:sz="8" w:space="0"/>
              <w:right w:val="nil"/>
            </w:tcBorders>
            <w:tcMar>
              <w:top w:w="30" w:type="dxa"/>
              <w:left w:w="80" w:type="dxa"/>
              <w:bottom w:w="30" w:type="dxa"/>
              <w:right w:w="80" w:type="dxa"/>
            </w:tcMar>
            <w:vAlign w:val="center"/>
          </w:tcPr>
          <w:p w14:paraId="6A6FA51C">
            <w:pPr>
              <w:spacing w:after="0" w:line="240" w:lineRule="auto"/>
              <w:jc w:val="center"/>
            </w:pPr>
            <w:r>
              <w:rPr>
                <w:rFonts w:ascii="Times New Roman" w:hAnsi="Times New Roman" w:eastAsia="Times New Roman" w:cs="Times New Roman"/>
                <w:b w:val="0"/>
                <w:bCs w:val="0"/>
                <w:i w:val="0"/>
                <w:iCs w:val="0"/>
                <w:sz w:val="20"/>
                <w:szCs w:val="20"/>
              </w:rPr>
              <w:t>0.754 (0.719–0.791)</w:t>
            </w:r>
          </w:p>
        </w:tc>
        <w:tc>
          <w:tcPr>
            <w:tcW w:w="3600" w:type="dxa"/>
            <w:tcBorders>
              <w:top w:val="nil"/>
              <w:left w:val="nil"/>
              <w:bottom w:val="single" w:color="000000" w:sz="8" w:space="0"/>
              <w:right w:val="nil"/>
            </w:tcBorders>
            <w:tcMar>
              <w:top w:w="30" w:type="dxa"/>
              <w:left w:w="80" w:type="dxa"/>
              <w:bottom w:w="30" w:type="dxa"/>
              <w:right w:w="80" w:type="dxa"/>
            </w:tcMar>
            <w:vAlign w:val="center"/>
          </w:tcPr>
          <w:p w14:paraId="5BD95D6E">
            <w:pPr>
              <w:spacing w:after="0" w:line="240" w:lineRule="auto"/>
              <w:jc w:val="center"/>
            </w:pPr>
            <w:r>
              <w:rPr>
                <w:rFonts w:ascii="Times New Roman" w:hAnsi="Times New Roman" w:eastAsia="Times New Roman" w:cs="Times New Roman"/>
                <w:b w:val="0"/>
                <w:bCs w:val="0"/>
                <w:i w:val="0"/>
                <w:iCs w:val="0"/>
                <w:sz w:val="20"/>
                <w:szCs w:val="20"/>
              </w:rPr>
              <w:t>&lt;0.001</w:t>
            </w:r>
          </w:p>
        </w:tc>
      </w:tr>
    </w:tbl>
    <w:p w14:paraId="152060E3">
      <w:pPr>
        <w:spacing w:before="0" w:after="20" w:line="240" w:lineRule="auto"/>
      </w:pPr>
      <w:r>
        <w:rPr>
          <w:rFonts w:ascii="Times New Roman" w:hAnsi="Times New Roman" w:eastAsia="Times New Roman" w:cs="Times New Roman"/>
          <w:b w:val="0"/>
          <w:bCs w:val="0"/>
          <w:i/>
          <w:iCs/>
          <w:sz w:val="20"/>
          <w:szCs w:val="20"/>
        </w:rPr>
        <w:t>Hazard ratios are mutually adjusted estimates from a single Cox model; no stenosis is the reference for the exposure. The model is specified to estimate the association of aortic stenosis severity with mortality. The coefficients for the remaining covariates are conditional associations within this model and are subject to the “Table 2 fallacy”: in particular, the apparently protective associations for hypertension, diabetes, chronic kidney disease, vasopressor use, and maximum temperature reflect statistical adjustment (collinearity with the SOFA score and the Charlson index—which already incorporate vasopressor use and other organ-support information—and collider or mediation structures) rather than causal effects and must not be interpreted as such. The proportional-hazards assumption was not rejected for aortic stenosis grade (Schoenfeld test, P = 0.32); the moderate-stenosis hazard was nonetheless concentrated early on time-stratified analysis (Table S4). CI, confidence interval; ICU, intensive care unit; SOFA, Sequential Organ Failure Assessment.</w:t>
      </w:r>
    </w:p>
    <w:p w14:paraId="0A3EEE27">
      <w:pPr>
        <w:spacing w:before="120" w:after="120"/>
      </w:pPr>
      <w:r>
        <w:rPr>
          <w:rFonts w:ascii="Times New Roman" w:hAnsi="Times New Roman" w:eastAsia="Times New Roman" w:cs="Times New Roman"/>
          <w:b/>
          <w:bCs/>
          <w:i w:val="0"/>
          <w:iCs w:val="0"/>
          <w:sz w:val="24"/>
          <w:szCs w:val="24"/>
        </w:rPr>
        <w:t xml:space="preserve">Table S2. </w:t>
      </w:r>
      <w:r>
        <w:rPr>
          <w:rFonts w:ascii="Times New Roman" w:hAnsi="Times New Roman" w:eastAsia="Times New Roman" w:cs="Times New Roman"/>
          <w:b w:val="0"/>
          <w:bCs w:val="0"/>
          <w:i w:val="0"/>
          <w:iCs w:val="0"/>
          <w:sz w:val="24"/>
          <w:szCs w:val="24"/>
        </w:rPr>
        <w:t>Covariate balance before and after 1:4 propensity-score matching of moderate stenosis with no stenosis (non-cardiac cohort).</w:t>
      </w:r>
    </w:p>
    <w:tbl>
      <w:tblPr>
        <w:tblStyle w:val="11"/>
        <w:tblW w:w="12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760"/>
        <w:gridCol w:w="1700"/>
        <w:gridCol w:w="1700"/>
        <w:gridCol w:w="1700"/>
        <w:gridCol w:w="1700"/>
        <w:gridCol w:w="1700"/>
        <w:gridCol w:w="1700"/>
      </w:tblGrid>
      <w:tr w14:paraId="44198738">
        <w:trPr>
          <w:tblHeader/>
        </w:trPr>
        <w:tc>
          <w:tcPr>
            <w:tcW w:w="2760" w:type="dxa"/>
            <w:tcBorders>
              <w:top w:val="single" w:color="000000" w:sz="8" w:space="0"/>
              <w:left w:val="nil"/>
              <w:bottom w:val="single" w:color="000000" w:sz="4" w:space="0"/>
              <w:right w:val="nil"/>
            </w:tcBorders>
            <w:tcMar>
              <w:top w:w="30" w:type="dxa"/>
              <w:left w:w="80" w:type="dxa"/>
              <w:bottom w:w="30" w:type="dxa"/>
              <w:right w:w="80" w:type="dxa"/>
            </w:tcMar>
            <w:vAlign w:val="center"/>
          </w:tcPr>
          <w:p w14:paraId="3F56AB8D">
            <w:pPr>
              <w:spacing w:after="0" w:line="240" w:lineRule="auto"/>
              <w:jc w:val="left"/>
            </w:pPr>
            <w:r>
              <w:rPr>
                <w:rFonts w:ascii="Times New Roman" w:hAnsi="Times New Roman" w:eastAsia="Times New Roman" w:cs="Times New Roman"/>
                <w:b/>
                <w:bCs/>
                <w:i w:val="0"/>
                <w:iCs w:val="0"/>
                <w:sz w:val="20"/>
                <w:szCs w:val="20"/>
              </w:rPr>
              <w:t>Covariate</w:t>
            </w:r>
          </w:p>
        </w:tc>
        <w:tc>
          <w:tcPr>
            <w:tcW w:w="1700" w:type="dxa"/>
            <w:tcBorders>
              <w:top w:val="single" w:color="000000" w:sz="8" w:space="0"/>
              <w:left w:val="nil"/>
              <w:bottom w:val="single" w:color="000000" w:sz="4" w:space="0"/>
              <w:right w:val="nil"/>
            </w:tcBorders>
            <w:tcMar>
              <w:top w:w="30" w:type="dxa"/>
              <w:left w:w="80" w:type="dxa"/>
              <w:bottom w:w="30" w:type="dxa"/>
              <w:right w:w="80" w:type="dxa"/>
            </w:tcMar>
            <w:vAlign w:val="center"/>
          </w:tcPr>
          <w:p w14:paraId="3E83636D">
            <w:pPr>
              <w:spacing w:after="0" w:line="240" w:lineRule="auto"/>
              <w:jc w:val="center"/>
            </w:pPr>
            <w:r>
              <w:rPr>
                <w:rFonts w:ascii="Times New Roman" w:hAnsi="Times New Roman" w:eastAsia="Times New Roman" w:cs="Times New Roman"/>
                <w:b/>
                <w:bCs/>
                <w:i w:val="0"/>
                <w:iCs w:val="0"/>
                <w:sz w:val="20"/>
                <w:szCs w:val="20"/>
              </w:rPr>
              <w:t>Moderate</w:t>
            </w:r>
          </w:p>
          <w:p w14:paraId="181553CF">
            <w:pPr>
              <w:spacing w:after="0" w:line="240" w:lineRule="auto"/>
              <w:jc w:val="center"/>
            </w:pPr>
            <w:r>
              <w:rPr>
                <w:rFonts w:ascii="Times New Roman" w:hAnsi="Times New Roman" w:eastAsia="Times New Roman" w:cs="Times New Roman"/>
                <w:b/>
                <w:bCs/>
                <w:i w:val="0"/>
                <w:iCs w:val="0"/>
                <w:sz w:val="20"/>
                <w:szCs w:val="20"/>
              </w:rPr>
              <w:t>(before)</w:t>
            </w:r>
          </w:p>
        </w:tc>
        <w:tc>
          <w:tcPr>
            <w:tcW w:w="1700" w:type="dxa"/>
            <w:tcBorders>
              <w:top w:val="single" w:color="000000" w:sz="8" w:space="0"/>
              <w:left w:val="nil"/>
              <w:bottom w:val="single" w:color="000000" w:sz="4" w:space="0"/>
              <w:right w:val="nil"/>
            </w:tcBorders>
            <w:tcMar>
              <w:top w:w="30" w:type="dxa"/>
              <w:left w:w="80" w:type="dxa"/>
              <w:bottom w:w="30" w:type="dxa"/>
              <w:right w:w="80" w:type="dxa"/>
            </w:tcMar>
            <w:vAlign w:val="center"/>
          </w:tcPr>
          <w:p w14:paraId="0455E618">
            <w:pPr>
              <w:spacing w:after="0" w:line="240" w:lineRule="auto"/>
              <w:jc w:val="center"/>
            </w:pPr>
            <w:r>
              <w:rPr>
                <w:rFonts w:ascii="Times New Roman" w:hAnsi="Times New Roman" w:eastAsia="Times New Roman" w:cs="Times New Roman"/>
                <w:b/>
                <w:bCs/>
                <w:i w:val="0"/>
                <w:iCs w:val="0"/>
                <w:sz w:val="20"/>
                <w:szCs w:val="20"/>
              </w:rPr>
              <w:t>No stenosis</w:t>
            </w:r>
          </w:p>
          <w:p w14:paraId="38517586">
            <w:pPr>
              <w:spacing w:after="0" w:line="240" w:lineRule="auto"/>
              <w:jc w:val="center"/>
            </w:pPr>
            <w:r>
              <w:rPr>
                <w:rFonts w:ascii="Times New Roman" w:hAnsi="Times New Roman" w:eastAsia="Times New Roman" w:cs="Times New Roman"/>
                <w:b/>
                <w:bCs/>
                <w:i w:val="0"/>
                <w:iCs w:val="0"/>
                <w:sz w:val="20"/>
                <w:szCs w:val="20"/>
              </w:rPr>
              <w:t>(before)</w:t>
            </w:r>
          </w:p>
        </w:tc>
        <w:tc>
          <w:tcPr>
            <w:tcW w:w="1700" w:type="dxa"/>
            <w:tcBorders>
              <w:top w:val="single" w:color="000000" w:sz="8" w:space="0"/>
              <w:left w:val="nil"/>
              <w:bottom w:val="single" w:color="000000" w:sz="4" w:space="0"/>
              <w:right w:val="nil"/>
            </w:tcBorders>
            <w:tcMar>
              <w:top w:w="30" w:type="dxa"/>
              <w:left w:w="80" w:type="dxa"/>
              <w:bottom w:w="30" w:type="dxa"/>
              <w:right w:w="80" w:type="dxa"/>
            </w:tcMar>
            <w:vAlign w:val="center"/>
          </w:tcPr>
          <w:p w14:paraId="3D1F4961">
            <w:pPr>
              <w:spacing w:after="0" w:line="240" w:lineRule="auto"/>
              <w:jc w:val="center"/>
            </w:pPr>
            <w:r>
              <w:rPr>
                <w:rFonts w:ascii="Times New Roman" w:hAnsi="Times New Roman" w:eastAsia="Times New Roman" w:cs="Times New Roman"/>
                <w:b/>
                <w:bCs/>
                <w:i w:val="0"/>
                <w:iCs w:val="0"/>
                <w:sz w:val="20"/>
                <w:szCs w:val="20"/>
              </w:rPr>
              <w:t>SMD</w:t>
            </w:r>
          </w:p>
          <w:p w14:paraId="1EC58066">
            <w:pPr>
              <w:spacing w:after="0" w:line="240" w:lineRule="auto"/>
              <w:jc w:val="center"/>
            </w:pPr>
            <w:r>
              <w:rPr>
                <w:rFonts w:ascii="Times New Roman" w:hAnsi="Times New Roman" w:eastAsia="Times New Roman" w:cs="Times New Roman"/>
                <w:b/>
                <w:bCs/>
                <w:i w:val="0"/>
                <w:iCs w:val="0"/>
                <w:sz w:val="20"/>
                <w:szCs w:val="20"/>
              </w:rPr>
              <w:t>(before)</w:t>
            </w:r>
          </w:p>
        </w:tc>
        <w:tc>
          <w:tcPr>
            <w:tcW w:w="1700" w:type="dxa"/>
            <w:tcBorders>
              <w:top w:val="single" w:color="000000" w:sz="8" w:space="0"/>
              <w:left w:val="nil"/>
              <w:bottom w:val="single" w:color="000000" w:sz="4" w:space="0"/>
              <w:right w:val="nil"/>
            </w:tcBorders>
            <w:tcMar>
              <w:top w:w="30" w:type="dxa"/>
              <w:left w:w="80" w:type="dxa"/>
              <w:bottom w:w="30" w:type="dxa"/>
              <w:right w:w="80" w:type="dxa"/>
            </w:tcMar>
            <w:vAlign w:val="center"/>
          </w:tcPr>
          <w:p w14:paraId="1C99DE3B">
            <w:pPr>
              <w:spacing w:after="0" w:line="240" w:lineRule="auto"/>
              <w:jc w:val="center"/>
            </w:pPr>
            <w:r>
              <w:rPr>
                <w:rFonts w:ascii="Times New Roman" w:hAnsi="Times New Roman" w:eastAsia="Times New Roman" w:cs="Times New Roman"/>
                <w:b/>
                <w:bCs/>
                <w:i w:val="0"/>
                <w:iCs w:val="0"/>
                <w:sz w:val="20"/>
                <w:szCs w:val="20"/>
              </w:rPr>
              <w:t>Moderate</w:t>
            </w:r>
          </w:p>
          <w:p w14:paraId="5880D7B9">
            <w:pPr>
              <w:spacing w:after="0" w:line="240" w:lineRule="auto"/>
              <w:jc w:val="center"/>
            </w:pPr>
            <w:r>
              <w:rPr>
                <w:rFonts w:ascii="Times New Roman" w:hAnsi="Times New Roman" w:eastAsia="Times New Roman" w:cs="Times New Roman"/>
                <w:b/>
                <w:bCs/>
                <w:i w:val="0"/>
                <w:iCs w:val="0"/>
                <w:sz w:val="20"/>
                <w:szCs w:val="20"/>
              </w:rPr>
              <w:t>(after)</w:t>
            </w:r>
          </w:p>
        </w:tc>
        <w:tc>
          <w:tcPr>
            <w:tcW w:w="1700" w:type="dxa"/>
            <w:tcBorders>
              <w:top w:val="single" w:color="000000" w:sz="8" w:space="0"/>
              <w:left w:val="nil"/>
              <w:bottom w:val="single" w:color="000000" w:sz="4" w:space="0"/>
              <w:right w:val="nil"/>
            </w:tcBorders>
            <w:tcMar>
              <w:top w:w="30" w:type="dxa"/>
              <w:left w:w="80" w:type="dxa"/>
              <w:bottom w:w="30" w:type="dxa"/>
              <w:right w:w="80" w:type="dxa"/>
            </w:tcMar>
            <w:vAlign w:val="center"/>
          </w:tcPr>
          <w:p w14:paraId="6315AD0F">
            <w:pPr>
              <w:spacing w:after="0" w:line="240" w:lineRule="auto"/>
              <w:jc w:val="center"/>
            </w:pPr>
            <w:r>
              <w:rPr>
                <w:rFonts w:ascii="Times New Roman" w:hAnsi="Times New Roman" w:eastAsia="Times New Roman" w:cs="Times New Roman"/>
                <w:b/>
                <w:bCs/>
                <w:i w:val="0"/>
                <w:iCs w:val="0"/>
                <w:sz w:val="20"/>
                <w:szCs w:val="20"/>
              </w:rPr>
              <w:t>No stenosis</w:t>
            </w:r>
          </w:p>
          <w:p w14:paraId="3AF26DCF">
            <w:pPr>
              <w:spacing w:after="0" w:line="240" w:lineRule="auto"/>
              <w:jc w:val="center"/>
            </w:pPr>
            <w:r>
              <w:rPr>
                <w:rFonts w:ascii="Times New Roman" w:hAnsi="Times New Roman" w:eastAsia="Times New Roman" w:cs="Times New Roman"/>
                <w:b/>
                <w:bCs/>
                <w:i w:val="0"/>
                <w:iCs w:val="0"/>
                <w:sz w:val="20"/>
                <w:szCs w:val="20"/>
              </w:rPr>
              <w:t>(after)</w:t>
            </w:r>
          </w:p>
        </w:tc>
        <w:tc>
          <w:tcPr>
            <w:tcW w:w="1700" w:type="dxa"/>
            <w:tcBorders>
              <w:top w:val="single" w:color="000000" w:sz="8" w:space="0"/>
              <w:left w:val="nil"/>
              <w:bottom w:val="single" w:color="000000" w:sz="4" w:space="0"/>
              <w:right w:val="nil"/>
            </w:tcBorders>
            <w:tcMar>
              <w:top w:w="30" w:type="dxa"/>
              <w:left w:w="80" w:type="dxa"/>
              <w:bottom w:w="30" w:type="dxa"/>
              <w:right w:w="80" w:type="dxa"/>
            </w:tcMar>
            <w:vAlign w:val="center"/>
          </w:tcPr>
          <w:p w14:paraId="79EDE536">
            <w:pPr>
              <w:spacing w:after="0" w:line="240" w:lineRule="auto"/>
              <w:jc w:val="center"/>
            </w:pPr>
            <w:r>
              <w:rPr>
                <w:rFonts w:ascii="Times New Roman" w:hAnsi="Times New Roman" w:eastAsia="Times New Roman" w:cs="Times New Roman"/>
                <w:b/>
                <w:bCs/>
                <w:i w:val="0"/>
                <w:iCs w:val="0"/>
                <w:sz w:val="20"/>
                <w:szCs w:val="20"/>
              </w:rPr>
              <w:t>SMD</w:t>
            </w:r>
          </w:p>
          <w:p w14:paraId="6B77C257">
            <w:pPr>
              <w:spacing w:after="0" w:line="240" w:lineRule="auto"/>
              <w:jc w:val="center"/>
            </w:pPr>
            <w:r>
              <w:rPr>
                <w:rFonts w:ascii="Times New Roman" w:hAnsi="Times New Roman" w:eastAsia="Times New Roman" w:cs="Times New Roman"/>
                <w:b/>
                <w:bCs/>
                <w:i w:val="0"/>
                <w:iCs w:val="0"/>
                <w:sz w:val="20"/>
                <w:szCs w:val="20"/>
              </w:rPr>
              <w:t>(after)</w:t>
            </w:r>
          </w:p>
        </w:tc>
      </w:tr>
      <w:tr w14:paraId="335433F0">
        <w:tc>
          <w:tcPr>
            <w:tcW w:w="2760" w:type="dxa"/>
            <w:tcBorders>
              <w:top w:val="nil"/>
              <w:left w:val="nil"/>
              <w:bottom w:val="nil"/>
              <w:right w:val="nil"/>
            </w:tcBorders>
            <w:tcMar>
              <w:top w:w="30" w:type="dxa"/>
              <w:left w:w="80" w:type="dxa"/>
              <w:bottom w:w="30" w:type="dxa"/>
              <w:right w:w="80" w:type="dxa"/>
            </w:tcMar>
            <w:vAlign w:val="center"/>
          </w:tcPr>
          <w:p w14:paraId="05AED024">
            <w:pPr>
              <w:spacing w:after="0" w:line="240" w:lineRule="auto"/>
              <w:jc w:val="left"/>
            </w:pPr>
            <w:r>
              <w:rPr>
                <w:rFonts w:ascii="Times New Roman" w:hAnsi="Times New Roman" w:eastAsia="Times New Roman" w:cs="Times New Roman"/>
                <w:b w:val="0"/>
                <w:bCs w:val="0"/>
                <w:i w:val="0"/>
                <w:iCs w:val="0"/>
                <w:sz w:val="20"/>
                <w:szCs w:val="20"/>
              </w:rPr>
              <w:t>Age, years</w:t>
            </w:r>
          </w:p>
        </w:tc>
        <w:tc>
          <w:tcPr>
            <w:tcW w:w="1700" w:type="dxa"/>
            <w:tcBorders>
              <w:top w:val="nil"/>
              <w:left w:val="nil"/>
              <w:bottom w:val="nil"/>
              <w:right w:val="nil"/>
            </w:tcBorders>
            <w:tcMar>
              <w:top w:w="30" w:type="dxa"/>
              <w:left w:w="80" w:type="dxa"/>
              <w:bottom w:w="30" w:type="dxa"/>
              <w:right w:w="80" w:type="dxa"/>
            </w:tcMar>
            <w:vAlign w:val="center"/>
          </w:tcPr>
          <w:p w14:paraId="67D41A06">
            <w:pPr>
              <w:spacing w:after="0" w:line="240" w:lineRule="auto"/>
              <w:jc w:val="center"/>
            </w:pPr>
            <w:r>
              <w:rPr>
                <w:rFonts w:ascii="Times New Roman" w:hAnsi="Times New Roman" w:eastAsia="Times New Roman" w:cs="Times New Roman"/>
                <w:b w:val="0"/>
                <w:bCs w:val="0"/>
                <w:i w:val="0"/>
                <w:iCs w:val="0"/>
                <w:sz w:val="20"/>
                <w:szCs w:val="20"/>
              </w:rPr>
              <w:t>77.95</w:t>
            </w:r>
          </w:p>
        </w:tc>
        <w:tc>
          <w:tcPr>
            <w:tcW w:w="1700" w:type="dxa"/>
            <w:tcBorders>
              <w:top w:val="nil"/>
              <w:left w:val="nil"/>
              <w:bottom w:val="nil"/>
              <w:right w:val="nil"/>
            </w:tcBorders>
            <w:tcMar>
              <w:top w:w="30" w:type="dxa"/>
              <w:left w:w="80" w:type="dxa"/>
              <w:bottom w:w="30" w:type="dxa"/>
              <w:right w:w="80" w:type="dxa"/>
            </w:tcMar>
            <w:vAlign w:val="center"/>
          </w:tcPr>
          <w:p w14:paraId="2EDA14FF">
            <w:pPr>
              <w:spacing w:after="0" w:line="240" w:lineRule="auto"/>
              <w:jc w:val="center"/>
            </w:pPr>
            <w:r>
              <w:rPr>
                <w:rFonts w:ascii="Times New Roman" w:hAnsi="Times New Roman" w:eastAsia="Times New Roman" w:cs="Times New Roman"/>
                <w:b w:val="0"/>
                <w:bCs w:val="0"/>
                <w:i w:val="0"/>
                <w:iCs w:val="0"/>
                <w:sz w:val="20"/>
                <w:szCs w:val="20"/>
              </w:rPr>
              <w:t>65.59</w:t>
            </w:r>
          </w:p>
        </w:tc>
        <w:tc>
          <w:tcPr>
            <w:tcW w:w="1700" w:type="dxa"/>
            <w:tcBorders>
              <w:top w:val="nil"/>
              <w:left w:val="nil"/>
              <w:bottom w:val="nil"/>
              <w:right w:val="nil"/>
            </w:tcBorders>
            <w:tcMar>
              <w:top w:w="30" w:type="dxa"/>
              <w:left w:w="80" w:type="dxa"/>
              <w:bottom w:w="30" w:type="dxa"/>
              <w:right w:w="80" w:type="dxa"/>
            </w:tcMar>
            <w:vAlign w:val="center"/>
          </w:tcPr>
          <w:p w14:paraId="1C635F53">
            <w:pPr>
              <w:spacing w:after="0" w:line="240" w:lineRule="auto"/>
              <w:jc w:val="center"/>
            </w:pPr>
            <w:r>
              <w:rPr>
                <w:rFonts w:ascii="Times New Roman" w:hAnsi="Times New Roman" w:eastAsia="Times New Roman" w:cs="Times New Roman"/>
                <w:b w:val="0"/>
                <w:bCs w:val="0"/>
                <w:i w:val="0"/>
                <w:iCs w:val="0"/>
                <w:sz w:val="20"/>
                <w:szCs w:val="20"/>
              </w:rPr>
              <w:t>0.884</w:t>
            </w:r>
          </w:p>
        </w:tc>
        <w:tc>
          <w:tcPr>
            <w:tcW w:w="1700" w:type="dxa"/>
            <w:tcBorders>
              <w:top w:val="nil"/>
              <w:left w:val="nil"/>
              <w:bottom w:val="nil"/>
              <w:right w:val="nil"/>
            </w:tcBorders>
            <w:tcMar>
              <w:top w:w="30" w:type="dxa"/>
              <w:left w:w="80" w:type="dxa"/>
              <w:bottom w:w="30" w:type="dxa"/>
              <w:right w:w="80" w:type="dxa"/>
            </w:tcMar>
            <w:vAlign w:val="center"/>
          </w:tcPr>
          <w:p w14:paraId="6C4D4DB8">
            <w:pPr>
              <w:spacing w:after="0" w:line="240" w:lineRule="auto"/>
              <w:jc w:val="center"/>
            </w:pPr>
            <w:r>
              <w:rPr>
                <w:rFonts w:ascii="Times New Roman" w:hAnsi="Times New Roman" w:eastAsia="Times New Roman" w:cs="Times New Roman"/>
                <w:b w:val="0"/>
                <w:bCs w:val="0"/>
                <w:i w:val="0"/>
                <w:iCs w:val="0"/>
                <w:sz w:val="20"/>
                <w:szCs w:val="20"/>
              </w:rPr>
              <w:t>77.95</w:t>
            </w:r>
          </w:p>
        </w:tc>
        <w:tc>
          <w:tcPr>
            <w:tcW w:w="1700" w:type="dxa"/>
            <w:tcBorders>
              <w:top w:val="nil"/>
              <w:left w:val="nil"/>
              <w:bottom w:val="nil"/>
              <w:right w:val="nil"/>
            </w:tcBorders>
            <w:tcMar>
              <w:top w:w="30" w:type="dxa"/>
              <w:left w:w="80" w:type="dxa"/>
              <w:bottom w:w="30" w:type="dxa"/>
              <w:right w:w="80" w:type="dxa"/>
            </w:tcMar>
            <w:vAlign w:val="center"/>
          </w:tcPr>
          <w:p w14:paraId="206EB0FE">
            <w:pPr>
              <w:spacing w:after="0" w:line="240" w:lineRule="auto"/>
              <w:jc w:val="center"/>
            </w:pPr>
            <w:r>
              <w:rPr>
                <w:rFonts w:ascii="Times New Roman" w:hAnsi="Times New Roman" w:eastAsia="Times New Roman" w:cs="Times New Roman"/>
                <w:b w:val="0"/>
                <w:bCs w:val="0"/>
                <w:i w:val="0"/>
                <w:iCs w:val="0"/>
                <w:sz w:val="20"/>
                <w:szCs w:val="20"/>
              </w:rPr>
              <w:t>78.13</w:t>
            </w:r>
          </w:p>
        </w:tc>
        <w:tc>
          <w:tcPr>
            <w:tcW w:w="1700" w:type="dxa"/>
            <w:tcBorders>
              <w:top w:val="nil"/>
              <w:left w:val="nil"/>
              <w:bottom w:val="nil"/>
              <w:right w:val="nil"/>
            </w:tcBorders>
            <w:tcMar>
              <w:top w:w="30" w:type="dxa"/>
              <w:left w:w="80" w:type="dxa"/>
              <w:bottom w:w="30" w:type="dxa"/>
              <w:right w:w="80" w:type="dxa"/>
            </w:tcMar>
            <w:vAlign w:val="center"/>
          </w:tcPr>
          <w:p w14:paraId="37D7B630">
            <w:pPr>
              <w:spacing w:after="0" w:line="240" w:lineRule="auto"/>
              <w:jc w:val="center"/>
            </w:pPr>
            <w:r>
              <w:rPr>
                <w:rFonts w:ascii="Times New Roman" w:hAnsi="Times New Roman" w:eastAsia="Times New Roman" w:cs="Times New Roman"/>
                <w:b w:val="0"/>
                <w:bCs w:val="0"/>
                <w:i w:val="0"/>
                <w:iCs w:val="0"/>
                <w:sz w:val="20"/>
                <w:szCs w:val="20"/>
              </w:rPr>
              <w:t>−0.017</w:t>
            </w:r>
          </w:p>
        </w:tc>
      </w:tr>
      <w:tr w14:paraId="40C142E9">
        <w:tc>
          <w:tcPr>
            <w:tcW w:w="2760" w:type="dxa"/>
            <w:tcBorders>
              <w:top w:val="nil"/>
              <w:left w:val="nil"/>
              <w:bottom w:val="nil"/>
              <w:right w:val="nil"/>
            </w:tcBorders>
            <w:tcMar>
              <w:top w:w="30" w:type="dxa"/>
              <w:left w:w="80" w:type="dxa"/>
              <w:bottom w:w="30" w:type="dxa"/>
              <w:right w:w="80" w:type="dxa"/>
            </w:tcMar>
            <w:vAlign w:val="center"/>
          </w:tcPr>
          <w:p w14:paraId="6822F25D">
            <w:pPr>
              <w:spacing w:after="0" w:line="240" w:lineRule="auto"/>
              <w:jc w:val="left"/>
            </w:pPr>
            <w:r>
              <w:rPr>
                <w:rFonts w:ascii="Times New Roman" w:hAnsi="Times New Roman" w:eastAsia="Times New Roman" w:cs="Times New Roman"/>
                <w:b w:val="0"/>
                <w:bCs w:val="0"/>
                <w:i w:val="0"/>
                <w:iCs w:val="0"/>
                <w:sz w:val="20"/>
                <w:szCs w:val="20"/>
              </w:rPr>
              <w:t>Female sex</w:t>
            </w:r>
          </w:p>
        </w:tc>
        <w:tc>
          <w:tcPr>
            <w:tcW w:w="1700" w:type="dxa"/>
            <w:tcBorders>
              <w:top w:val="nil"/>
              <w:left w:val="nil"/>
              <w:bottom w:val="nil"/>
              <w:right w:val="nil"/>
            </w:tcBorders>
            <w:tcMar>
              <w:top w:w="30" w:type="dxa"/>
              <w:left w:w="80" w:type="dxa"/>
              <w:bottom w:w="30" w:type="dxa"/>
              <w:right w:w="80" w:type="dxa"/>
            </w:tcMar>
            <w:vAlign w:val="center"/>
          </w:tcPr>
          <w:p w14:paraId="68C2C5D3">
            <w:pPr>
              <w:spacing w:after="0" w:line="240" w:lineRule="auto"/>
              <w:jc w:val="center"/>
            </w:pPr>
            <w:r>
              <w:rPr>
                <w:rFonts w:ascii="Times New Roman" w:hAnsi="Times New Roman" w:eastAsia="Times New Roman" w:cs="Times New Roman"/>
                <w:b w:val="0"/>
                <w:bCs w:val="0"/>
                <w:i w:val="0"/>
                <w:iCs w:val="0"/>
                <w:sz w:val="20"/>
                <w:szCs w:val="20"/>
              </w:rPr>
              <w:t>0.470</w:t>
            </w:r>
          </w:p>
        </w:tc>
        <w:tc>
          <w:tcPr>
            <w:tcW w:w="1700" w:type="dxa"/>
            <w:tcBorders>
              <w:top w:val="nil"/>
              <w:left w:val="nil"/>
              <w:bottom w:val="nil"/>
              <w:right w:val="nil"/>
            </w:tcBorders>
            <w:tcMar>
              <w:top w:w="30" w:type="dxa"/>
              <w:left w:w="80" w:type="dxa"/>
              <w:bottom w:w="30" w:type="dxa"/>
              <w:right w:w="80" w:type="dxa"/>
            </w:tcMar>
            <w:vAlign w:val="center"/>
          </w:tcPr>
          <w:p w14:paraId="43E24E17">
            <w:pPr>
              <w:spacing w:after="0" w:line="240" w:lineRule="auto"/>
              <w:jc w:val="center"/>
            </w:pPr>
            <w:r>
              <w:rPr>
                <w:rFonts w:ascii="Times New Roman" w:hAnsi="Times New Roman" w:eastAsia="Times New Roman" w:cs="Times New Roman"/>
                <w:b w:val="0"/>
                <w:bCs w:val="0"/>
                <w:i w:val="0"/>
                <w:iCs w:val="0"/>
                <w:sz w:val="20"/>
                <w:szCs w:val="20"/>
              </w:rPr>
              <w:t>0.467</w:t>
            </w:r>
          </w:p>
        </w:tc>
        <w:tc>
          <w:tcPr>
            <w:tcW w:w="1700" w:type="dxa"/>
            <w:tcBorders>
              <w:top w:val="nil"/>
              <w:left w:val="nil"/>
              <w:bottom w:val="nil"/>
              <w:right w:val="nil"/>
            </w:tcBorders>
            <w:tcMar>
              <w:top w:w="30" w:type="dxa"/>
              <w:left w:w="80" w:type="dxa"/>
              <w:bottom w:w="30" w:type="dxa"/>
              <w:right w:w="80" w:type="dxa"/>
            </w:tcMar>
            <w:vAlign w:val="center"/>
          </w:tcPr>
          <w:p w14:paraId="54B083A3">
            <w:pPr>
              <w:spacing w:after="0" w:line="240" w:lineRule="auto"/>
              <w:jc w:val="center"/>
            </w:pPr>
            <w:r>
              <w:rPr>
                <w:rFonts w:ascii="Times New Roman" w:hAnsi="Times New Roman" w:eastAsia="Times New Roman" w:cs="Times New Roman"/>
                <w:b w:val="0"/>
                <w:bCs w:val="0"/>
                <w:i w:val="0"/>
                <w:iCs w:val="0"/>
                <w:sz w:val="20"/>
                <w:szCs w:val="20"/>
              </w:rPr>
              <w:t>0.005</w:t>
            </w:r>
          </w:p>
        </w:tc>
        <w:tc>
          <w:tcPr>
            <w:tcW w:w="1700" w:type="dxa"/>
            <w:tcBorders>
              <w:top w:val="nil"/>
              <w:left w:val="nil"/>
              <w:bottom w:val="nil"/>
              <w:right w:val="nil"/>
            </w:tcBorders>
            <w:tcMar>
              <w:top w:w="30" w:type="dxa"/>
              <w:left w:w="80" w:type="dxa"/>
              <w:bottom w:w="30" w:type="dxa"/>
              <w:right w:w="80" w:type="dxa"/>
            </w:tcMar>
            <w:vAlign w:val="center"/>
          </w:tcPr>
          <w:p w14:paraId="65B766A7">
            <w:pPr>
              <w:spacing w:after="0" w:line="240" w:lineRule="auto"/>
              <w:jc w:val="center"/>
            </w:pPr>
            <w:r>
              <w:rPr>
                <w:rFonts w:ascii="Times New Roman" w:hAnsi="Times New Roman" w:eastAsia="Times New Roman" w:cs="Times New Roman"/>
                <w:b w:val="0"/>
                <w:bCs w:val="0"/>
                <w:i w:val="0"/>
                <w:iCs w:val="0"/>
                <w:sz w:val="20"/>
                <w:szCs w:val="20"/>
              </w:rPr>
              <w:t>0.470</w:t>
            </w:r>
          </w:p>
        </w:tc>
        <w:tc>
          <w:tcPr>
            <w:tcW w:w="1700" w:type="dxa"/>
            <w:tcBorders>
              <w:top w:val="nil"/>
              <w:left w:val="nil"/>
              <w:bottom w:val="nil"/>
              <w:right w:val="nil"/>
            </w:tcBorders>
            <w:tcMar>
              <w:top w:w="30" w:type="dxa"/>
              <w:left w:w="80" w:type="dxa"/>
              <w:bottom w:w="30" w:type="dxa"/>
              <w:right w:w="80" w:type="dxa"/>
            </w:tcMar>
            <w:vAlign w:val="center"/>
          </w:tcPr>
          <w:p w14:paraId="5D8B92D6">
            <w:pPr>
              <w:spacing w:after="0" w:line="240" w:lineRule="auto"/>
              <w:jc w:val="center"/>
            </w:pPr>
            <w:r>
              <w:rPr>
                <w:rFonts w:ascii="Times New Roman" w:hAnsi="Times New Roman" w:eastAsia="Times New Roman" w:cs="Times New Roman"/>
                <w:b w:val="0"/>
                <w:bCs w:val="0"/>
                <w:i w:val="0"/>
                <w:iCs w:val="0"/>
                <w:sz w:val="20"/>
                <w:szCs w:val="20"/>
              </w:rPr>
              <w:t>0.476</w:t>
            </w:r>
          </w:p>
        </w:tc>
        <w:tc>
          <w:tcPr>
            <w:tcW w:w="1700" w:type="dxa"/>
            <w:tcBorders>
              <w:top w:val="nil"/>
              <w:left w:val="nil"/>
              <w:bottom w:val="nil"/>
              <w:right w:val="nil"/>
            </w:tcBorders>
            <w:tcMar>
              <w:top w:w="30" w:type="dxa"/>
              <w:left w:w="80" w:type="dxa"/>
              <w:bottom w:w="30" w:type="dxa"/>
              <w:right w:w="80" w:type="dxa"/>
            </w:tcMar>
            <w:vAlign w:val="center"/>
          </w:tcPr>
          <w:p w14:paraId="1257F5B2">
            <w:pPr>
              <w:spacing w:after="0" w:line="240" w:lineRule="auto"/>
              <w:jc w:val="center"/>
            </w:pPr>
            <w:r>
              <w:rPr>
                <w:rFonts w:ascii="Times New Roman" w:hAnsi="Times New Roman" w:eastAsia="Times New Roman" w:cs="Times New Roman"/>
                <w:b w:val="0"/>
                <w:bCs w:val="0"/>
                <w:i w:val="0"/>
                <w:iCs w:val="0"/>
                <w:sz w:val="20"/>
                <w:szCs w:val="20"/>
              </w:rPr>
              <w:t>−0.012</w:t>
            </w:r>
          </w:p>
        </w:tc>
      </w:tr>
      <w:tr w14:paraId="29166700">
        <w:tc>
          <w:tcPr>
            <w:tcW w:w="2760" w:type="dxa"/>
            <w:tcBorders>
              <w:top w:val="nil"/>
              <w:left w:val="nil"/>
              <w:bottom w:val="nil"/>
              <w:right w:val="nil"/>
            </w:tcBorders>
            <w:tcMar>
              <w:top w:w="30" w:type="dxa"/>
              <w:left w:w="80" w:type="dxa"/>
              <w:bottom w:w="30" w:type="dxa"/>
              <w:right w:w="80" w:type="dxa"/>
            </w:tcMar>
            <w:vAlign w:val="center"/>
          </w:tcPr>
          <w:p w14:paraId="66FB42E2">
            <w:pPr>
              <w:spacing w:after="0" w:line="240" w:lineRule="auto"/>
              <w:jc w:val="left"/>
            </w:pPr>
            <w:r>
              <w:rPr>
                <w:rFonts w:ascii="Times New Roman" w:hAnsi="Times New Roman" w:eastAsia="Times New Roman" w:cs="Times New Roman"/>
                <w:b w:val="0"/>
                <w:bCs w:val="0"/>
                <w:i w:val="0"/>
                <w:iCs w:val="0"/>
                <w:sz w:val="20"/>
                <w:szCs w:val="20"/>
              </w:rPr>
              <w:t>SOFA score</w:t>
            </w:r>
          </w:p>
        </w:tc>
        <w:tc>
          <w:tcPr>
            <w:tcW w:w="1700" w:type="dxa"/>
            <w:tcBorders>
              <w:top w:val="nil"/>
              <w:left w:val="nil"/>
              <w:bottom w:val="nil"/>
              <w:right w:val="nil"/>
            </w:tcBorders>
            <w:tcMar>
              <w:top w:w="30" w:type="dxa"/>
              <w:left w:w="80" w:type="dxa"/>
              <w:bottom w:w="30" w:type="dxa"/>
              <w:right w:w="80" w:type="dxa"/>
            </w:tcMar>
            <w:vAlign w:val="center"/>
          </w:tcPr>
          <w:p w14:paraId="6A8ECC02">
            <w:pPr>
              <w:spacing w:after="0" w:line="240" w:lineRule="auto"/>
              <w:jc w:val="center"/>
            </w:pPr>
            <w:r>
              <w:rPr>
                <w:rFonts w:ascii="Times New Roman" w:hAnsi="Times New Roman" w:eastAsia="Times New Roman" w:cs="Times New Roman"/>
                <w:b w:val="0"/>
                <w:bCs w:val="0"/>
                <w:i w:val="0"/>
                <w:iCs w:val="0"/>
                <w:sz w:val="20"/>
                <w:szCs w:val="20"/>
              </w:rPr>
              <w:t>5.74</w:t>
            </w:r>
          </w:p>
        </w:tc>
        <w:tc>
          <w:tcPr>
            <w:tcW w:w="1700" w:type="dxa"/>
            <w:tcBorders>
              <w:top w:val="nil"/>
              <w:left w:val="nil"/>
              <w:bottom w:val="nil"/>
              <w:right w:val="nil"/>
            </w:tcBorders>
            <w:tcMar>
              <w:top w:w="30" w:type="dxa"/>
              <w:left w:w="80" w:type="dxa"/>
              <w:bottom w:w="30" w:type="dxa"/>
              <w:right w:w="80" w:type="dxa"/>
            </w:tcMar>
            <w:vAlign w:val="center"/>
          </w:tcPr>
          <w:p w14:paraId="0B68FEFA">
            <w:pPr>
              <w:spacing w:after="0" w:line="240" w:lineRule="auto"/>
              <w:jc w:val="center"/>
            </w:pPr>
            <w:r>
              <w:rPr>
                <w:rFonts w:ascii="Times New Roman" w:hAnsi="Times New Roman" w:eastAsia="Times New Roman" w:cs="Times New Roman"/>
                <w:b w:val="0"/>
                <w:bCs w:val="0"/>
                <w:i w:val="0"/>
                <w:iCs w:val="0"/>
                <w:sz w:val="20"/>
                <w:szCs w:val="20"/>
              </w:rPr>
              <w:t>5.05</w:t>
            </w:r>
          </w:p>
        </w:tc>
        <w:tc>
          <w:tcPr>
            <w:tcW w:w="1700" w:type="dxa"/>
            <w:tcBorders>
              <w:top w:val="nil"/>
              <w:left w:val="nil"/>
              <w:bottom w:val="nil"/>
              <w:right w:val="nil"/>
            </w:tcBorders>
            <w:tcMar>
              <w:top w:w="30" w:type="dxa"/>
              <w:left w:w="80" w:type="dxa"/>
              <w:bottom w:w="30" w:type="dxa"/>
              <w:right w:w="80" w:type="dxa"/>
            </w:tcMar>
            <w:vAlign w:val="center"/>
          </w:tcPr>
          <w:p w14:paraId="2FB23042">
            <w:pPr>
              <w:spacing w:after="0" w:line="240" w:lineRule="auto"/>
              <w:jc w:val="center"/>
            </w:pPr>
            <w:r>
              <w:rPr>
                <w:rFonts w:ascii="Times New Roman" w:hAnsi="Times New Roman" w:eastAsia="Times New Roman" w:cs="Times New Roman"/>
                <w:b w:val="0"/>
                <w:bCs w:val="0"/>
                <w:i w:val="0"/>
                <w:iCs w:val="0"/>
                <w:sz w:val="20"/>
                <w:szCs w:val="20"/>
              </w:rPr>
              <w:t>0.190</w:t>
            </w:r>
          </w:p>
        </w:tc>
        <w:tc>
          <w:tcPr>
            <w:tcW w:w="1700" w:type="dxa"/>
            <w:tcBorders>
              <w:top w:val="nil"/>
              <w:left w:val="nil"/>
              <w:bottom w:val="nil"/>
              <w:right w:val="nil"/>
            </w:tcBorders>
            <w:tcMar>
              <w:top w:w="30" w:type="dxa"/>
              <w:left w:w="80" w:type="dxa"/>
              <w:bottom w:w="30" w:type="dxa"/>
              <w:right w:w="80" w:type="dxa"/>
            </w:tcMar>
            <w:vAlign w:val="center"/>
          </w:tcPr>
          <w:p w14:paraId="44FCE75F">
            <w:pPr>
              <w:spacing w:after="0" w:line="240" w:lineRule="auto"/>
              <w:jc w:val="center"/>
            </w:pPr>
            <w:r>
              <w:rPr>
                <w:rFonts w:ascii="Times New Roman" w:hAnsi="Times New Roman" w:eastAsia="Times New Roman" w:cs="Times New Roman"/>
                <w:b w:val="0"/>
                <w:bCs w:val="0"/>
                <w:i w:val="0"/>
                <w:iCs w:val="0"/>
                <w:sz w:val="20"/>
                <w:szCs w:val="20"/>
              </w:rPr>
              <w:t>5.74</w:t>
            </w:r>
          </w:p>
        </w:tc>
        <w:tc>
          <w:tcPr>
            <w:tcW w:w="1700" w:type="dxa"/>
            <w:tcBorders>
              <w:top w:val="nil"/>
              <w:left w:val="nil"/>
              <w:bottom w:val="nil"/>
              <w:right w:val="nil"/>
            </w:tcBorders>
            <w:tcMar>
              <w:top w:w="30" w:type="dxa"/>
              <w:left w:w="80" w:type="dxa"/>
              <w:bottom w:w="30" w:type="dxa"/>
              <w:right w:w="80" w:type="dxa"/>
            </w:tcMar>
            <w:vAlign w:val="center"/>
          </w:tcPr>
          <w:p w14:paraId="03F7CB2D">
            <w:pPr>
              <w:spacing w:after="0" w:line="240" w:lineRule="auto"/>
              <w:jc w:val="center"/>
            </w:pPr>
            <w:r>
              <w:rPr>
                <w:rFonts w:ascii="Times New Roman" w:hAnsi="Times New Roman" w:eastAsia="Times New Roman" w:cs="Times New Roman"/>
                <w:b w:val="0"/>
                <w:bCs w:val="0"/>
                <w:i w:val="0"/>
                <w:iCs w:val="0"/>
                <w:sz w:val="20"/>
                <w:szCs w:val="20"/>
              </w:rPr>
              <w:t>5.83</w:t>
            </w:r>
          </w:p>
        </w:tc>
        <w:tc>
          <w:tcPr>
            <w:tcW w:w="1700" w:type="dxa"/>
            <w:tcBorders>
              <w:top w:val="nil"/>
              <w:left w:val="nil"/>
              <w:bottom w:val="nil"/>
              <w:right w:val="nil"/>
            </w:tcBorders>
            <w:tcMar>
              <w:top w:w="30" w:type="dxa"/>
              <w:left w:w="80" w:type="dxa"/>
              <w:bottom w:w="30" w:type="dxa"/>
              <w:right w:w="80" w:type="dxa"/>
            </w:tcMar>
            <w:vAlign w:val="center"/>
          </w:tcPr>
          <w:p w14:paraId="21DB01C7">
            <w:pPr>
              <w:spacing w:after="0" w:line="240" w:lineRule="auto"/>
              <w:jc w:val="center"/>
            </w:pPr>
            <w:r>
              <w:rPr>
                <w:rFonts w:ascii="Times New Roman" w:hAnsi="Times New Roman" w:eastAsia="Times New Roman" w:cs="Times New Roman"/>
                <w:b w:val="0"/>
                <w:bCs w:val="0"/>
                <w:i w:val="0"/>
                <w:iCs w:val="0"/>
                <w:sz w:val="20"/>
                <w:szCs w:val="20"/>
              </w:rPr>
              <w:t>−0.028</w:t>
            </w:r>
          </w:p>
        </w:tc>
      </w:tr>
      <w:tr w14:paraId="2D816DB9">
        <w:tc>
          <w:tcPr>
            <w:tcW w:w="2760" w:type="dxa"/>
            <w:tcBorders>
              <w:top w:val="nil"/>
              <w:left w:val="nil"/>
              <w:bottom w:val="nil"/>
              <w:right w:val="nil"/>
            </w:tcBorders>
            <w:tcMar>
              <w:top w:w="30" w:type="dxa"/>
              <w:left w:w="80" w:type="dxa"/>
              <w:bottom w:w="30" w:type="dxa"/>
              <w:right w:w="80" w:type="dxa"/>
            </w:tcMar>
            <w:vAlign w:val="center"/>
          </w:tcPr>
          <w:p w14:paraId="0AC9BAED">
            <w:pPr>
              <w:spacing w:after="0" w:line="240" w:lineRule="auto"/>
              <w:jc w:val="left"/>
            </w:pPr>
            <w:r>
              <w:rPr>
                <w:rFonts w:ascii="Times New Roman" w:hAnsi="Times New Roman" w:eastAsia="Times New Roman" w:cs="Times New Roman"/>
                <w:b w:val="0"/>
                <w:bCs w:val="0"/>
                <w:i w:val="0"/>
                <w:iCs w:val="0"/>
                <w:sz w:val="20"/>
                <w:szCs w:val="20"/>
              </w:rPr>
              <w:t>Charlson index</w:t>
            </w:r>
          </w:p>
        </w:tc>
        <w:tc>
          <w:tcPr>
            <w:tcW w:w="1700" w:type="dxa"/>
            <w:tcBorders>
              <w:top w:val="nil"/>
              <w:left w:val="nil"/>
              <w:bottom w:val="nil"/>
              <w:right w:val="nil"/>
            </w:tcBorders>
            <w:tcMar>
              <w:top w:w="30" w:type="dxa"/>
              <w:left w:w="80" w:type="dxa"/>
              <w:bottom w:w="30" w:type="dxa"/>
              <w:right w:w="80" w:type="dxa"/>
            </w:tcMar>
            <w:vAlign w:val="center"/>
          </w:tcPr>
          <w:p w14:paraId="110C0C59">
            <w:pPr>
              <w:spacing w:after="0" w:line="240" w:lineRule="auto"/>
              <w:jc w:val="center"/>
            </w:pPr>
            <w:r>
              <w:rPr>
                <w:rFonts w:ascii="Times New Roman" w:hAnsi="Times New Roman" w:eastAsia="Times New Roman" w:cs="Times New Roman"/>
                <w:b w:val="0"/>
                <w:bCs w:val="0"/>
                <w:i w:val="0"/>
                <w:iCs w:val="0"/>
                <w:sz w:val="20"/>
                <w:szCs w:val="20"/>
              </w:rPr>
              <w:t>7.22</w:t>
            </w:r>
          </w:p>
        </w:tc>
        <w:tc>
          <w:tcPr>
            <w:tcW w:w="1700" w:type="dxa"/>
            <w:tcBorders>
              <w:top w:val="nil"/>
              <w:left w:val="nil"/>
              <w:bottom w:val="nil"/>
              <w:right w:val="nil"/>
            </w:tcBorders>
            <w:tcMar>
              <w:top w:w="30" w:type="dxa"/>
              <w:left w:w="80" w:type="dxa"/>
              <w:bottom w:w="30" w:type="dxa"/>
              <w:right w:w="80" w:type="dxa"/>
            </w:tcMar>
            <w:vAlign w:val="center"/>
          </w:tcPr>
          <w:p w14:paraId="5E6FD792">
            <w:pPr>
              <w:spacing w:after="0" w:line="240" w:lineRule="auto"/>
              <w:jc w:val="center"/>
            </w:pPr>
            <w:r>
              <w:rPr>
                <w:rFonts w:ascii="Times New Roman" w:hAnsi="Times New Roman" w:eastAsia="Times New Roman" w:cs="Times New Roman"/>
                <w:b w:val="0"/>
                <w:bCs w:val="0"/>
                <w:i w:val="0"/>
                <w:iCs w:val="0"/>
                <w:sz w:val="20"/>
                <w:szCs w:val="20"/>
              </w:rPr>
              <w:t>5.54</w:t>
            </w:r>
          </w:p>
        </w:tc>
        <w:tc>
          <w:tcPr>
            <w:tcW w:w="1700" w:type="dxa"/>
            <w:tcBorders>
              <w:top w:val="nil"/>
              <w:left w:val="nil"/>
              <w:bottom w:val="nil"/>
              <w:right w:val="nil"/>
            </w:tcBorders>
            <w:tcMar>
              <w:top w:w="30" w:type="dxa"/>
              <w:left w:w="80" w:type="dxa"/>
              <w:bottom w:w="30" w:type="dxa"/>
              <w:right w:w="80" w:type="dxa"/>
            </w:tcMar>
            <w:vAlign w:val="center"/>
          </w:tcPr>
          <w:p w14:paraId="7C9D3C3D">
            <w:pPr>
              <w:spacing w:after="0" w:line="240" w:lineRule="auto"/>
              <w:jc w:val="center"/>
            </w:pPr>
            <w:r>
              <w:rPr>
                <w:rFonts w:ascii="Times New Roman" w:hAnsi="Times New Roman" w:eastAsia="Times New Roman" w:cs="Times New Roman"/>
                <w:b w:val="0"/>
                <w:bCs w:val="0"/>
                <w:i w:val="0"/>
                <w:iCs w:val="0"/>
                <w:sz w:val="20"/>
                <w:szCs w:val="20"/>
              </w:rPr>
              <w:t>0.611</w:t>
            </w:r>
          </w:p>
        </w:tc>
        <w:tc>
          <w:tcPr>
            <w:tcW w:w="1700" w:type="dxa"/>
            <w:tcBorders>
              <w:top w:val="nil"/>
              <w:left w:val="nil"/>
              <w:bottom w:val="nil"/>
              <w:right w:val="nil"/>
            </w:tcBorders>
            <w:tcMar>
              <w:top w:w="30" w:type="dxa"/>
              <w:left w:w="80" w:type="dxa"/>
              <w:bottom w:w="30" w:type="dxa"/>
              <w:right w:w="80" w:type="dxa"/>
            </w:tcMar>
            <w:vAlign w:val="center"/>
          </w:tcPr>
          <w:p w14:paraId="107E4DF2">
            <w:pPr>
              <w:spacing w:after="0" w:line="240" w:lineRule="auto"/>
              <w:jc w:val="center"/>
            </w:pPr>
            <w:r>
              <w:rPr>
                <w:rFonts w:ascii="Times New Roman" w:hAnsi="Times New Roman" w:eastAsia="Times New Roman" w:cs="Times New Roman"/>
                <w:b w:val="0"/>
                <w:bCs w:val="0"/>
                <w:i w:val="0"/>
                <w:iCs w:val="0"/>
                <w:sz w:val="20"/>
                <w:szCs w:val="20"/>
              </w:rPr>
              <w:t>7.22</w:t>
            </w:r>
          </w:p>
        </w:tc>
        <w:tc>
          <w:tcPr>
            <w:tcW w:w="1700" w:type="dxa"/>
            <w:tcBorders>
              <w:top w:val="nil"/>
              <w:left w:val="nil"/>
              <w:bottom w:val="nil"/>
              <w:right w:val="nil"/>
            </w:tcBorders>
            <w:tcMar>
              <w:top w:w="30" w:type="dxa"/>
              <w:left w:w="80" w:type="dxa"/>
              <w:bottom w:w="30" w:type="dxa"/>
              <w:right w:w="80" w:type="dxa"/>
            </w:tcMar>
            <w:vAlign w:val="center"/>
          </w:tcPr>
          <w:p w14:paraId="57B66671">
            <w:pPr>
              <w:spacing w:after="0" w:line="240" w:lineRule="auto"/>
              <w:jc w:val="center"/>
            </w:pPr>
            <w:r>
              <w:rPr>
                <w:rFonts w:ascii="Times New Roman" w:hAnsi="Times New Roman" w:eastAsia="Times New Roman" w:cs="Times New Roman"/>
                <w:b w:val="0"/>
                <w:bCs w:val="0"/>
                <w:i w:val="0"/>
                <w:iCs w:val="0"/>
                <w:sz w:val="20"/>
                <w:szCs w:val="20"/>
              </w:rPr>
              <w:t>7.21</w:t>
            </w:r>
          </w:p>
        </w:tc>
        <w:tc>
          <w:tcPr>
            <w:tcW w:w="1700" w:type="dxa"/>
            <w:tcBorders>
              <w:top w:val="nil"/>
              <w:left w:val="nil"/>
              <w:bottom w:val="nil"/>
              <w:right w:val="nil"/>
            </w:tcBorders>
            <w:tcMar>
              <w:top w:w="30" w:type="dxa"/>
              <w:left w:w="80" w:type="dxa"/>
              <w:bottom w:w="30" w:type="dxa"/>
              <w:right w:w="80" w:type="dxa"/>
            </w:tcMar>
            <w:vAlign w:val="center"/>
          </w:tcPr>
          <w:p w14:paraId="6525774F">
            <w:pPr>
              <w:spacing w:after="0" w:line="240" w:lineRule="auto"/>
              <w:jc w:val="center"/>
            </w:pPr>
            <w:r>
              <w:rPr>
                <w:rFonts w:ascii="Times New Roman" w:hAnsi="Times New Roman" w:eastAsia="Times New Roman" w:cs="Times New Roman"/>
                <w:b w:val="0"/>
                <w:bCs w:val="0"/>
                <w:i w:val="0"/>
                <w:iCs w:val="0"/>
                <w:sz w:val="20"/>
                <w:szCs w:val="20"/>
              </w:rPr>
              <w:t>0.003</w:t>
            </w:r>
          </w:p>
        </w:tc>
      </w:tr>
      <w:tr w14:paraId="3943EDA2">
        <w:tc>
          <w:tcPr>
            <w:tcW w:w="2760" w:type="dxa"/>
            <w:tcBorders>
              <w:top w:val="nil"/>
              <w:left w:val="nil"/>
              <w:bottom w:val="nil"/>
              <w:right w:val="nil"/>
            </w:tcBorders>
            <w:tcMar>
              <w:top w:w="30" w:type="dxa"/>
              <w:left w:w="80" w:type="dxa"/>
              <w:bottom w:w="30" w:type="dxa"/>
              <w:right w:w="80" w:type="dxa"/>
            </w:tcMar>
            <w:vAlign w:val="center"/>
          </w:tcPr>
          <w:p w14:paraId="208AAA43">
            <w:pPr>
              <w:spacing w:after="0" w:line="240" w:lineRule="auto"/>
              <w:jc w:val="left"/>
            </w:pPr>
            <w:r>
              <w:rPr>
                <w:rFonts w:ascii="Times New Roman" w:hAnsi="Times New Roman" w:eastAsia="Times New Roman" w:cs="Times New Roman"/>
                <w:b w:val="0"/>
                <w:bCs w:val="0"/>
                <w:i w:val="0"/>
                <w:iCs w:val="0"/>
                <w:sz w:val="20"/>
                <w:szCs w:val="20"/>
              </w:rPr>
              <w:t>Hypertension</w:t>
            </w:r>
          </w:p>
        </w:tc>
        <w:tc>
          <w:tcPr>
            <w:tcW w:w="1700" w:type="dxa"/>
            <w:tcBorders>
              <w:top w:val="nil"/>
              <w:left w:val="nil"/>
              <w:bottom w:val="nil"/>
              <w:right w:val="nil"/>
            </w:tcBorders>
            <w:tcMar>
              <w:top w:w="30" w:type="dxa"/>
              <w:left w:w="80" w:type="dxa"/>
              <w:bottom w:w="30" w:type="dxa"/>
              <w:right w:w="80" w:type="dxa"/>
            </w:tcMar>
            <w:vAlign w:val="center"/>
          </w:tcPr>
          <w:p w14:paraId="5E59D16C">
            <w:pPr>
              <w:spacing w:after="0" w:line="240" w:lineRule="auto"/>
              <w:jc w:val="center"/>
            </w:pPr>
            <w:r>
              <w:rPr>
                <w:rFonts w:ascii="Times New Roman" w:hAnsi="Times New Roman" w:eastAsia="Times New Roman" w:cs="Times New Roman"/>
                <w:b w:val="0"/>
                <w:bCs w:val="0"/>
                <w:i w:val="0"/>
                <w:iCs w:val="0"/>
                <w:sz w:val="20"/>
                <w:szCs w:val="20"/>
              </w:rPr>
              <w:t>0.805</w:t>
            </w:r>
          </w:p>
        </w:tc>
        <w:tc>
          <w:tcPr>
            <w:tcW w:w="1700" w:type="dxa"/>
            <w:tcBorders>
              <w:top w:val="nil"/>
              <w:left w:val="nil"/>
              <w:bottom w:val="nil"/>
              <w:right w:val="nil"/>
            </w:tcBorders>
            <w:tcMar>
              <w:top w:w="30" w:type="dxa"/>
              <w:left w:w="80" w:type="dxa"/>
              <w:bottom w:w="30" w:type="dxa"/>
              <w:right w:w="80" w:type="dxa"/>
            </w:tcMar>
            <w:vAlign w:val="center"/>
          </w:tcPr>
          <w:p w14:paraId="5E0AB010">
            <w:pPr>
              <w:spacing w:after="0" w:line="240" w:lineRule="auto"/>
              <w:jc w:val="center"/>
            </w:pPr>
            <w:r>
              <w:rPr>
                <w:rFonts w:ascii="Times New Roman" w:hAnsi="Times New Roman" w:eastAsia="Times New Roman" w:cs="Times New Roman"/>
                <w:b w:val="0"/>
                <w:bCs w:val="0"/>
                <w:i w:val="0"/>
                <w:iCs w:val="0"/>
                <w:sz w:val="20"/>
                <w:szCs w:val="20"/>
              </w:rPr>
              <w:t>0.666</w:t>
            </w:r>
          </w:p>
        </w:tc>
        <w:tc>
          <w:tcPr>
            <w:tcW w:w="1700" w:type="dxa"/>
            <w:tcBorders>
              <w:top w:val="nil"/>
              <w:left w:val="nil"/>
              <w:bottom w:val="nil"/>
              <w:right w:val="nil"/>
            </w:tcBorders>
            <w:tcMar>
              <w:top w:w="30" w:type="dxa"/>
              <w:left w:w="80" w:type="dxa"/>
              <w:bottom w:w="30" w:type="dxa"/>
              <w:right w:w="80" w:type="dxa"/>
            </w:tcMar>
            <w:vAlign w:val="center"/>
          </w:tcPr>
          <w:p w14:paraId="0A85D46B">
            <w:pPr>
              <w:spacing w:after="0" w:line="240" w:lineRule="auto"/>
              <w:jc w:val="center"/>
            </w:pPr>
            <w:r>
              <w:rPr>
                <w:rFonts w:ascii="Times New Roman" w:hAnsi="Times New Roman" w:eastAsia="Times New Roman" w:cs="Times New Roman"/>
                <w:b w:val="0"/>
                <w:bCs w:val="0"/>
                <w:i w:val="0"/>
                <w:iCs w:val="0"/>
                <w:sz w:val="20"/>
                <w:szCs w:val="20"/>
              </w:rPr>
              <w:t>0.320</w:t>
            </w:r>
          </w:p>
        </w:tc>
        <w:tc>
          <w:tcPr>
            <w:tcW w:w="1700" w:type="dxa"/>
            <w:tcBorders>
              <w:top w:val="nil"/>
              <w:left w:val="nil"/>
              <w:bottom w:val="nil"/>
              <w:right w:val="nil"/>
            </w:tcBorders>
            <w:tcMar>
              <w:top w:w="30" w:type="dxa"/>
              <w:left w:w="80" w:type="dxa"/>
              <w:bottom w:w="30" w:type="dxa"/>
              <w:right w:w="80" w:type="dxa"/>
            </w:tcMar>
            <w:vAlign w:val="center"/>
          </w:tcPr>
          <w:p w14:paraId="286E5584">
            <w:pPr>
              <w:spacing w:after="0" w:line="240" w:lineRule="auto"/>
              <w:jc w:val="center"/>
            </w:pPr>
            <w:r>
              <w:rPr>
                <w:rFonts w:ascii="Times New Roman" w:hAnsi="Times New Roman" w:eastAsia="Times New Roman" w:cs="Times New Roman"/>
                <w:b w:val="0"/>
                <w:bCs w:val="0"/>
                <w:i w:val="0"/>
                <w:iCs w:val="0"/>
                <w:sz w:val="20"/>
                <w:szCs w:val="20"/>
              </w:rPr>
              <w:t>0.805</w:t>
            </w:r>
          </w:p>
        </w:tc>
        <w:tc>
          <w:tcPr>
            <w:tcW w:w="1700" w:type="dxa"/>
            <w:tcBorders>
              <w:top w:val="nil"/>
              <w:left w:val="nil"/>
              <w:bottom w:val="nil"/>
              <w:right w:val="nil"/>
            </w:tcBorders>
            <w:tcMar>
              <w:top w:w="30" w:type="dxa"/>
              <w:left w:w="80" w:type="dxa"/>
              <w:bottom w:w="30" w:type="dxa"/>
              <w:right w:w="80" w:type="dxa"/>
            </w:tcMar>
            <w:vAlign w:val="center"/>
          </w:tcPr>
          <w:p w14:paraId="7EE9897C">
            <w:pPr>
              <w:spacing w:after="0" w:line="240" w:lineRule="auto"/>
              <w:jc w:val="center"/>
            </w:pPr>
            <w:r>
              <w:rPr>
                <w:rFonts w:ascii="Times New Roman" w:hAnsi="Times New Roman" w:eastAsia="Times New Roman" w:cs="Times New Roman"/>
                <w:b w:val="0"/>
                <w:bCs w:val="0"/>
                <w:i w:val="0"/>
                <w:iCs w:val="0"/>
                <w:sz w:val="20"/>
                <w:szCs w:val="20"/>
              </w:rPr>
              <w:t>0.805</w:t>
            </w:r>
          </w:p>
        </w:tc>
        <w:tc>
          <w:tcPr>
            <w:tcW w:w="1700" w:type="dxa"/>
            <w:tcBorders>
              <w:top w:val="nil"/>
              <w:left w:val="nil"/>
              <w:bottom w:val="nil"/>
              <w:right w:val="nil"/>
            </w:tcBorders>
            <w:tcMar>
              <w:top w:w="30" w:type="dxa"/>
              <w:left w:w="80" w:type="dxa"/>
              <w:bottom w:w="30" w:type="dxa"/>
              <w:right w:w="80" w:type="dxa"/>
            </w:tcMar>
            <w:vAlign w:val="center"/>
          </w:tcPr>
          <w:p w14:paraId="61F72045">
            <w:pPr>
              <w:spacing w:after="0" w:line="240" w:lineRule="auto"/>
              <w:jc w:val="center"/>
            </w:pPr>
            <w:r>
              <w:rPr>
                <w:rFonts w:ascii="Times New Roman" w:hAnsi="Times New Roman" w:eastAsia="Times New Roman" w:cs="Times New Roman"/>
                <w:b w:val="0"/>
                <w:bCs w:val="0"/>
                <w:i w:val="0"/>
                <w:iCs w:val="0"/>
                <w:sz w:val="20"/>
                <w:szCs w:val="20"/>
              </w:rPr>
              <w:t>0.002</w:t>
            </w:r>
          </w:p>
        </w:tc>
      </w:tr>
      <w:tr w14:paraId="26E420DF">
        <w:tc>
          <w:tcPr>
            <w:tcW w:w="2760" w:type="dxa"/>
            <w:tcBorders>
              <w:top w:val="nil"/>
              <w:left w:val="nil"/>
              <w:bottom w:val="nil"/>
              <w:right w:val="nil"/>
            </w:tcBorders>
            <w:tcMar>
              <w:top w:w="30" w:type="dxa"/>
              <w:left w:w="80" w:type="dxa"/>
              <w:bottom w:w="30" w:type="dxa"/>
              <w:right w:w="80" w:type="dxa"/>
            </w:tcMar>
            <w:vAlign w:val="center"/>
          </w:tcPr>
          <w:p w14:paraId="6DC96178">
            <w:pPr>
              <w:spacing w:after="0" w:line="240" w:lineRule="auto"/>
              <w:jc w:val="left"/>
            </w:pPr>
            <w:r>
              <w:rPr>
                <w:rFonts w:ascii="Times New Roman" w:hAnsi="Times New Roman" w:eastAsia="Times New Roman" w:cs="Times New Roman"/>
                <w:b w:val="0"/>
                <w:bCs w:val="0"/>
                <w:i w:val="0"/>
                <w:iCs w:val="0"/>
                <w:sz w:val="20"/>
                <w:szCs w:val="20"/>
              </w:rPr>
              <w:t>Atrial fibrillation</w:t>
            </w:r>
          </w:p>
        </w:tc>
        <w:tc>
          <w:tcPr>
            <w:tcW w:w="1700" w:type="dxa"/>
            <w:tcBorders>
              <w:top w:val="nil"/>
              <w:left w:val="nil"/>
              <w:bottom w:val="nil"/>
              <w:right w:val="nil"/>
            </w:tcBorders>
            <w:tcMar>
              <w:top w:w="30" w:type="dxa"/>
              <w:left w:w="80" w:type="dxa"/>
              <w:bottom w:w="30" w:type="dxa"/>
              <w:right w:w="80" w:type="dxa"/>
            </w:tcMar>
            <w:vAlign w:val="center"/>
          </w:tcPr>
          <w:p w14:paraId="39030333">
            <w:pPr>
              <w:spacing w:after="0" w:line="240" w:lineRule="auto"/>
              <w:jc w:val="center"/>
            </w:pPr>
            <w:r>
              <w:rPr>
                <w:rFonts w:ascii="Times New Roman" w:hAnsi="Times New Roman" w:eastAsia="Times New Roman" w:cs="Times New Roman"/>
                <w:b w:val="0"/>
                <w:bCs w:val="0"/>
                <w:i w:val="0"/>
                <w:iCs w:val="0"/>
                <w:sz w:val="20"/>
                <w:szCs w:val="20"/>
              </w:rPr>
              <w:t>0.533</w:t>
            </w:r>
          </w:p>
        </w:tc>
        <w:tc>
          <w:tcPr>
            <w:tcW w:w="1700" w:type="dxa"/>
            <w:tcBorders>
              <w:top w:val="nil"/>
              <w:left w:val="nil"/>
              <w:bottom w:val="nil"/>
              <w:right w:val="nil"/>
            </w:tcBorders>
            <w:tcMar>
              <w:top w:w="30" w:type="dxa"/>
              <w:left w:w="80" w:type="dxa"/>
              <w:bottom w:w="30" w:type="dxa"/>
              <w:right w:w="80" w:type="dxa"/>
            </w:tcMar>
            <w:vAlign w:val="center"/>
          </w:tcPr>
          <w:p w14:paraId="73882C81">
            <w:pPr>
              <w:spacing w:after="0" w:line="240" w:lineRule="auto"/>
              <w:jc w:val="center"/>
            </w:pPr>
            <w:r>
              <w:rPr>
                <w:rFonts w:ascii="Times New Roman" w:hAnsi="Times New Roman" w:eastAsia="Times New Roman" w:cs="Times New Roman"/>
                <w:b w:val="0"/>
                <w:bCs w:val="0"/>
                <w:i w:val="0"/>
                <w:iCs w:val="0"/>
                <w:sz w:val="20"/>
                <w:szCs w:val="20"/>
              </w:rPr>
              <w:t>0.327</w:t>
            </w:r>
          </w:p>
        </w:tc>
        <w:tc>
          <w:tcPr>
            <w:tcW w:w="1700" w:type="dxa"/>
            <w:tcBorders>
              <w:top w:val="nil"/>
              <w:left w:val="nil"/>
              <w:bottom w:val="nil"/>
              <w:right w:val="nil"/>
            </w:tcBorders>
            <w:tcMar>
              <w:top w:w="30" w:type="dxa"/>
              <w:left w:w="80" w:type="dxa"/>
              <w:bottom w:w="30" w:type="dxa"/>
              <w:right w:w="80" w:type="dxa"/>
            </w:tcMar>
            <w:vAlign w:val="center"/>
          </w:tcPr>
          <w:p w14:paraId="4BEA155B">
            <w:pPr>
              <w:spacing w:after="0" w:line="240" w:lineRule="auto"/>
              <w:jc w:val="center"/>
            </w:pPr>
            <w:r>
              <w:rPr>
                <w:rFonts w:ascii="Times New Roman" w:hAnsi="Times New Roman" w:eastAsia="Times New Roman" w:cs="Times New Roman"/>
                <w:b w:val="0"/>
                <w:bCs w:val="0"/>
                <w:i w:val="0"/>
                <w:iCs w:val="0"/>
                <w:sz w:val="20"/>
                <w:szCs w:val="20"/>
              </w:rPr>
              <w:t>0.424</w:t>
            </w:r>
          </w:p>
        </w:tc>
        <w:tc>
          <w:tcPr>
            <w:tcW w:w="1700" w:type="dxa"/>
            <w:tcBorders>
              <w:top w:val="nil"/>
              <w:left w:val="nil"/>
              <w:bottom w:val="nil"/>
              <w:right w:val="nil"/>
            </w:tcBorders>
            <w:tcMar>
              <w:top w:w="30" w:type="dxa"/>
              <w:left w:w="80" w:type="dxa"/>
              <w:bottom w:w="30" w:type="dxa"/>
              <w:right w:w="80" w:type="dxa"/>
            </w:tcMar>
            <w:vAlign w:val="center"/>
          </w:tcPr>
          <w:p w14:paraId="2B77EC26">
            <w:pPr>
              <w:spacing w:after="0" w:line="240" w:lineRule="auto"/>
              <w:jc w:val="center"/>
            </w:pPr>
            <w:r>
              <w:rPr>
                <w:rFonts w:ascii="Times New Roman" w:hAnsi="Times New Roman" w:eastAsia="Times New Roman" w:cs="Times New Roman"/>
                <w:b w:val="0"/>
                <w:bCs w:val="0"/>
                <w:i w:val="0"/>
                <w:iCs w:val="0"/>
                <w:sz w:val="20"/>
                <w:szCs w:val="20"/>
              </w:rPr>
              <w:t>0.533</w:t>
            </w:r>
          </w:p>
        </w:tc>
        <w:tc>
          <w:tcPr>
            <w:tcW w:w="1700" w:type="dxa"/>
            <w:tcBorders>
              <w:top w:val="nil"/>
              <w:left w:val="nil"/>
              <w:bottom w:val="nil"/>
              <w:right w:val="nil"/>
            </w:tcBorders>
            <w:tcMar>
              <w:top w:w="30" w:type="dxa"/>
              <w:left w:w="80" w:type="dxa"/>
              <w:bottom w:w="30" w:type="dxa"/>
              <w:right w:w="80" w:type="dxa"/>
            </w:tcMar>
            <w:vAlign w:val="center"/>
          </w:tcPr>
          <w:p w14:paraId="3D729959">
            <w:pPr>
              <w:spacing w:after="0" w:line="240" w:lineRule="auto"/>
              <w:jc w:val="center"/>
            </w:pPr>
            <w:r>
              <w:rPr>
                <w:rFonts w:ascii="Times New Roman" w:hAnsi="Times New Roman" w:eastAsia="Times New Roman" w:cs="Times New Roman"/>
                <w:b w:val="0"/>
                <w:bCs w:val="0"/>
                <w:i w:val="0"/>
                <w:iCs w:val="0"/>
                <w:sz w:val="20"/>
                <w:szCs w:val="20"/>
              </w:rPr>
              <w:t>0.520</w:t>
            </w:r>
          </w:p>
        </w:tc>
        <w:tc>
          <w:tcPr>
            <w:tcW w:w="1700" w:type="dxa"/>
            <w:tcBorders>
              <w:top w:val="nil"/>
              <w:left w:val="nil"/>
              <w:bottom w:val="nil"/>
              <w:right w:val="nil"/>
            </w:tcBorders>
            <w:tcMar>
              <w:top w:w="30" w:type="dxa"/>
              <w:left w:w="80" w:type="dxa"/>
              <w:bottom w:w="30" w:type="dxa"/>
              <w:right w:w="80" w:type="dxa"/>
            </w:tcMar>
            <w:vAlign w:val="center"/>
          </w:tcPr>
          <w:p w14:paraId="73CC3B2D">
            <w:pPr>
              <w:spacing w:after="0" w:line="240" w:lineRule="auto"/>
              <w:jc w:val="center"/>
            </w:pPr>
            <w:r>
              <w:rPr>
                <w:rFonts w:ascii="Times New Roman" w:hAnsi="Times New Roman" w:eastAsia="Times New Roman" w:cs="Times New Roman"/>
                <w:b w:val="0"/>
                <w:bCs w:val="0"/>
                <w:i w:val="0"/>
                <w:iCs w:val="0"/>
                <w:sz w:val="20"/>
                <w:szCs w:val="20"/>
              </w:rPr>
              <w:t>0.026</w:t>
            </w:r>
          </w:p>
        </w:tc>
      </w:tr>
      <w:tr w14:paraId="68640649">
        <w:tc>
          <w:tcPr>
            <w:tcW w:w="2760" w:type="dxa"/>
            <w:tcBorders>
              <w:top w:val="nil"/>
              <w:left w:val="nil"/>
              <w:bottom w:val="nil"/>
              <w:right w:val="nil"/>
            </w:tcBorders>
            <w:tcMar>
              <w:top w:w="30" w:type="dxa"/>
              <w:left w:w="80" w:type="dxa"/>
              <w:bottom w:w="30" w:type="dxa"/>
              <w:right w:w="80" w:type="dxa"/>
            </w:tcMar>
            <w:vAlign w:val="center"/>
          </w:tcPr>
          <w:p w14:paraId="24385002">
            <w:pPr>
              <w:spacing w:after="0" w:line="240" w:lineRule="auto"/>
              <w:jc w:val="left"/>
            </w:pPr>
            <w:r>
              <w:rPr>
                <w:rFonts w:ascii="Times New Roman" w:hAnsi="Times New Roman" w:eastAsia="Times New Roman" w:cs="Times New Roman"/>
                <w:b w:val="0"/>
                <w:bCs w:val="0"/>
                <w:i w:val="0"/>
                <w:iCs w:val="0"/>
                <w:sz w:val="20"/>
                <w:szCs w:val="20"/>
              </w:rPr>
              <w:t>Diabetes mellitus</w:t>
            </w:r>
          </w:p>
        </w:tc>
        <w:tc>
          <w:tcPr>
            <w:tcW w:w="1700" w:type="dxa"/>
            <w:tcBorders>
              <w:top w:val="nil"/>
              <w:left w:val="nil"/>
              <w:bottom w:val="nil"/>
              <w:right w:val="nil"/>
            </w:tcBorders>
            <w:tcMar>
              <w:top w:w="30" w:type="dxa"/>
              <w:left w:w="80" w:type="dxa"/>
              <w:bottom w:w="30" w:type="dxa"/>
              <w:right w:w="80" w:type="dxa"/>
            </w:tcMar>
            <w:vAlign w:val="center"/>
          </w:tcPr>
          <w:p w14:paraId="5DA6ABEA">
            <w:pPr>
              <w:spacing w:after="0" w:line="240" w:lineRule="auto"/>
              <w:jc w:val="center"/>
            </w:pPr>
            <w:r>
              <w:rPr>
                <w:rFonts w:ascii="Times New Roman" w:hAnsi="Times New Roman" w:eastAsia="Times New Roman" w:cs="Times New Roman"/>
                <w:b w:val="0"/>
                <w:bCs w:val="0"/>
                <w:i w:val="0"/>
                <w:iCs w:val="0"/>
                <w:sz w:val="20"/>
                <w:szCs w:val="20"/>
              </w:rPr>
              <w:t>0.409</w:t>
            </w:r>
          </w:p>
        </w:tc>
        <w:tc>
          <w:tcPr>
            <w:tcW w:w="1700" w:type="dxa"/>
            <w:tcBorders>
              <w:top w:val="nil"/>
              <w:left w:val="nil"/>
              <w:bottom w:val="nil"/>
              <w:right w:val="nil"/>
            </w:tcBorders>
            <w:tcMar>
              <w:top w:w="30" w:type="dxa"/>
              <w:left w:w="80" w:type="dxa"/>
              <w:bottom w:w="30" w:type="dxa"/>
              <w:right w:w="80" w:type="dxa"/>
            </w:tcMar>
            <w:vAlign w:val="center"/>
          </w:tcPr>
          <w:p w14:paraId="0BF58312">
            <w:pPr>
              <w:spacing w:after="0" w:line="240" w:lineRule="auto"/>
              <w:jc w:val="center"/>
            </w:pPr>
            <w:r>
              <w:rPr>
                <w:rFonts w:ascii="Times New Roman" w:hAnsi="Times New Roman" w:eastAsia="Times New Roman" w:cs="Times New Roman"/>
                <w:b w:val="0"/>
                <w:bCs w:val="0"/>
                <w:i w:val="0"/>
                <w:iCs w:val="0"/>
                <w:sz w:val="20"/>
                <w:szCs w:val="20"/>
              </w:rPr>
              <w:t>0.322</w:t>
            </w:r>
          </w:p>
        </w:tc>
        <w:tc>
          <w:tcPr>
            <w:tcW w:w="1700" w:type="dxa"/>
            <w:tcBorders>
              <w:top w:val="nil"/>
              <w:left w:val="nil"/>
              <w:bottom w:val="nil"/>
              <w:right w:val="nil"/>
            </w:tcBorders>
            <w:tcMar>
              <w:top w:w="30" w:type="dxa"/>
              <w:left w:w="80" w:type="dxa"/>
              <w:bottom w:w="30" w:type="dxa"/>
              <w:right w:w="80" w:type="dxa"/>
            </w:tcMar>
            <w:vAlign w:val="center"/>
          </w:tcPr>
          <w:p w14:paraId="0354EC0A">
            <w:pPr>
              <w:spacing w:after="0" w:line="240" w:lineRule="auto"/>
              <w:jc w:val="center"/>
            </w:pPr>
            <w:r>
              <w:rPr>
                <w:rFonts w:ascii="Times New Roman" w:hAnsi="Times New Roman" w:eastAsia="Times New Roman" w:cs="Times New Roman"/>
                <w:b w:val="0"/>
                <w:bCs w:val="0"/>
                <w:i w:val="0"/>
                <w:iCs w:val="0"/>
                <w:sz w:val="20"/>
                <w:szCs w:val="20"/>
              </w:rPr>
              <w:t>0.181</w:t>
            </w:r>
          </w:p>
        </w:tc>
        <w:tc>
          <w:tcPr>
            <w:tcW w:w="1700" w:type="dxa"/>
            <w:tcBorders>
              <w:top w:val="nil"/>
              <w:left w:val="nil"/>
              <w:bottom w:val="nil"/>
              <w:right w:val="nil"/>
            </w:tcBorders>
            <w:tcMar>
              <w:top w:w="30" w:type="dxa"/>
              <w:left w:w="80" w:type="dxa"/>
              <w:bottom w:w="30" w:type="dxa"/>
              <w:right w:w="80" w:type="dxa"/>
            </w:tcMar>
            <w:vAlign w:val="center"/>
          </w:tcPr>
          <w:p w14:paraId="3EB679B4">
            <w:pPr>
              <w:spacing w:after="0" w:line="240" w:lineRule="auto"/>
              <w:jc w:val="center"/>
            </w:pPr>
            <w:r>
              <w:rPr>
                <w:rFonts w:ascii="Times New Roman" w:hAnsi="Times New Roman" w:eastAsia="Times New Roman" w:cs="Times New Roman"/>
                <w:b w:val="0"/>
                <w:bCs w:val="0"/>
                <w:i w:val="0"/>
                <w:iCs w:val="0"/>
                <w:sz w:val="20"/>
                <w:szCs w:val="20"/>
              </w:rPr>
              <w:t>0.409</w:t>
            </w:r>
          </w:p>
        </w:tc>
        <w:tc>
          <w:tcPr>
            <w:tcW w:w="1700" w:type="dxa"/>
            <w:tcBorders>
              <w:top w:val="nil"/>
              <w:left w:val="nil"/>
              <w:bottom w:val="nil"/>
              <w:right w:val="nil"/>
            </w:tcBorders>
            <w:tcMar>
              <w:top w:w="30" w:type="dxa"/>
              <w:left w:w="80" w:type="dxa"/>
              <w:bottom w:w="30" w:type="dxa"/>
              <w:right w:w="80" w:type="dxa"/>
            </w:tcMar>
            <w:vAlign w:val="center"/>
          </w:tcPr>
          <w:p w14:paraId="5809B38E">
            <w:pPr>
              <w:spacing w:after="0" w:line="240" w:lineRule="auto"/>
              <w:jc w:val="center"/>
            </w:pPr>
            <w:r>
              <w:rPr>
                <w:rFonts w:ascii="Times New Roman" w:hAnsi="Times New Roman" w:eastAsia="Times New Roman" w:cs="Times New Roman"/>
                <w:b w:val="0"/>
                <w:bCs w:val="0"/>
                <w:i w:val="0"/>
                <w:iCs w:val="0"/>
                <w:sz w:val="20"/>
                <w:szCs w:val="20"/>
              </w:rPr>
              <w:t>0.401</w:t>
            </w:r>
          </w:p>
        </w:tc>
        <w:tc>
          <w:tcPr>
            <w:tcW w:w="1700" w:type="dxa"/>
            <w:tcBorders>
              <w:top w:val="nil"/>
              <w:left w:val="nil"/>
              <w:bottom w:val="nil"/>
              <w:right w:val="nil"/>
            </w:tcBorders>
            <w:tcMar>
              <w:top w:w="30" w:type="dxa"/>
              <w:left w:w="80" w:type="dxa"/>
              <w:bottom w:w="30" w:type="dxa"/>
              <w:right w:w="80" w:type="dxa"/>
            </w:tcMar>
            <w:vAlign w:val="center"/>
          </w:tcPr>
          <w:p w14:paraId="18AF1F25">
            <w:pPr>
              <w:spacing w:after="0" w:line="240" w:lineRule="auto"/>
              <w:jc w:val="center"/>
            </w:pPr>
            <w:r>
              <w:rPr>
                <w:rFonts w:ascii="Times New Roman" w:hAnsi="Times New Roman" w:eastAsia="Times New Roman" w:cs="Times New Roman"/>
                <w:b w:val="0"/>
                <w:bCs w:val="0"/>
                <w:i w:val="0"/>
                <w:iCs w:val="0"/>
                <w:sz w:val="20"/>
                <w:szCs w:val="20"/>
              </w:rPr>
              <w:t>0.016</w:t>
            </w:r>
          </w:p>
        </w:tc>
      </w:tr>
      <w:tr w14:paraId="311AEFF3">
        <w:tc>
          <w:tcPr>
            <w:tcW w:w="2760" w:type="dxa"/>
            <w:tcBorders>
              <w:top w:val="nil"/>
              <w:left w:val="nil"/>
              <w:bottom w:val="nil"/>
              <w:right w:val="nil"/>
            </w:tcBorders>
            <w:tcMar>
              <w:top w:w="30" w:type="dxa"/>
              <w:left w:w="80" w:type="dxa"/>
              <w:bottom w:w="30" w:type="dxa"/>
              <w:right w:w="80" w:type="dxa"/>
            </w:tcMar>
            <w:vAlign w:val="center"/>
          </w:tcPr>
          <w:p w14:paraId="68B9C44D">
            <w:pPr>
              <w:spacing w:after="0" w:line="240" w:lineRule="auto"/>
              <w:jc w:val="left"/>
            </w:pPr>
            <w:r>
              <w:rPr>
                <w:rFonts w:ascii="Times New Roman" w:hAnsi="Times New Roman" w:eastAsia="Times New Roman" w:cs="Times New Roman"/>
                <w:b w:val="0"/>
                <w:bCs w:val="0"/>
                <w:i w:val="0"/>
                <w:iCs w:val="0"/>
                <w:sz w:val="20"/>
                <w:szCs w:val="20"/>
              </w:rPr>
              <w:t>Chronic kidney disease</w:t>
            </w:r>
          </w:p>
        </w:tc>
        <w:tc>
          <w:tcPr>
            <w:tcW w:w="1700" w:type="dxa"/>
            <w:tcBorders>
              <w:top w:val="nil"/>
              <w:left w:val="nil"/>
              <w:bottom w:val="nil"/>
              <w:right w:val="nil"/>
            </w:tcBorders>
            <w:tcMar>
              <w:top w:w="30" w:type="dxa"/>
              <w:left w:w="80" w:type="dxa"/>
              <w:bottom w:w="30" w:type="dxa"/>
              <w:right w:w="80" w:type="dxa"/>
            </w:tcMar>
            <w:vAlign w:val="center"/>
          </w:tcPr>
          <w:p w14:paraId="06B32065">
            <w:pPr>
              <w:spacing w:after="0" w:line="240" w:lineRule="auto"/>
              <w:jc w:val="center"/>
            </w:pPr>
            <w:r>
              <w:rPr>
                <w:rFonts w:ascii="Times New Roman" w:hAnsi="Times New Roman" w:eastAsia="Times New Roman" w:cs="Times New Roman"/>
                <w:b w:val="0"/>
                <w:bCs w:val="0"/>
                <w:i w:val="0"/>
                <w:iCs w:val="0"/>
                <w:sz w:val="20"/>
                <w:szCs w:val="20"/>
              </w:rPr>
              <w:t>0.426</w:t>
            </w:r>
          </w:p>
        </w:tc>
        <w:tc>
          <w:tcPr>
            <w:tcW w:w="1700" w:type="dxa"/>
            <w:tcBorders>
              <w:top w:val="nil"/>
              <w:left w:val="nil"/>
              <w:bottom w:val="nil"/>
              <w:right w:val="nil"/>
            </w:tcBorders>
            <w:tcMar>
              <w:top w:w="30" w:type="dxa"/>
              <w:left w:w="80" w:type="dxa"/>
              <w:bottom w:w="30" w:type="dxa"/>
              <w:right w:w="80" w:type="dxa"/>
            </w:tcMar>
            <w:vAlign w:val="center"/>
          </w:tcPr>
          <w:p w14:paraId="47281C67">
            <w:pPr>
              <w:spacing w:after="0" w:line="240" w:lineRule="auto"/>
              <w:jc w:val="center"/>
            </w:pPr>
            <w:r>
              <w:rPr>
                <w:rFonts w:ascii="Times New Roman" w:hAnsi="Times New Roman" w:eastAsia="Times New Roman" w:cs="Times New Roman"/>
                <w:b w:val="0"/>
                <w:bCs w:val="0"/>
                <w:i w:val="0"/>
                <w:iCs w:val="0"/>
                <w:sz w:val="20"/>
                <w:szCs w:val="20"/>
              </w:rPr>
              <w:t>0.259</w:t>
            </w:r>
          </w:p>
        </w:tc>
        <w:tc>
          <w:tcPr>
            <w:tcW w:w="1700" w:type="dxa"/>
            <w:tcBorders>
              <w:top w:val="nil"/>
              <w:left w:val="nil"/>
              <w:bottom w:val="nil"/>
              <w:right w:val="nil"/>
            </w:tcBorders>
            <w:tcMar>
              <w:top w:w="30" w:type="dxa"/>
              <w:left w:w="80" w:type="dxa"/>
              <w:bottom w:w="30" w:type="dxa"/>
              <w:right w:w="80" w:type="dxa"/>
            </w:tcMar>
            <w:vAlign w:val="center"/>
          </w:tcPr>
          <w:p w14:paraId="0996CB3C">
            <w:pPr>
              <w:spacing w:after="0" w:line="240" w:lineRule="auto"/>
              <w:jc w:val="center"/>
            </w:pPr>
            <w:r>
              <w:rPr>
                <w:rFonts w:ascii="Times New Roman" w:hAnsi="Times New Roman" w:eastAsia="Times New Roman" w:cs="Times New Roman"/>
                <w:b w:val="0"/>
                <w:bCs w:val="0"/>
                <w:i w:val="0"/>
                <w:iCs w:val="0"/>
                <w:sz w:val="20"/>
                <w:szCs w:val="20"/>
              </w:rPr>
              <w:t>0.356</w:t>
            </w:r>
          </w:p>
        </w:tc>
        <w:tc>
          <w:tcPr>
            <w:tcW w:w="1700" w:type="dxa"/>
            <w:tcBorders>
              <w:top w:val="nil"/>
              <w:left w:val="nil"/>
              <w:bottom w:val="nil"/>
              <w:right w:val="nil"/>
            </w:tcBorders>
            <w:tcMar>
              <w:top w:w="30" w:type="dxa"/>
              <w:left w:w="80" w:type="dxa"/>
              <w:bottom w:w="30" w:type="dxa"/>
              <w:right w:w="80" w:type="dxa"/>
            </w:tcMar>
            <w:vAlign w:val="center"/>
          </w:tcPr>
          <w:p w14:paraId="103B593B">
            <w:pPr>
              <w:spacing w:after="0" w:line="240" w:lineRule="auto"/>
              <w:jc w:val="center"/>
            </w:pPr>
            <w:r>
              <w:rPr>
                <w:rFonts w:ascii="Times New Roman" w:hAnsi="Times New Roman" w:eastAsia="Times New Roman" w:cs="Times New Roman"/>
                <w:b w:val="0"/>
                <w:bCs w:val="0"/>
                <w:i w:val="0"/>
                <w:iCs w:val="0"/>
                <w:sz w:val="20"/>
                <w:szCs w:val="20"/>
              </w:rPr>
              <w:t>0.426</w:t>
            </w:r>
          </w:p>
        </w:tc>
        <w:tc>
          <w:tcPr>
            <w:tcW w:w="1700" w:type="dxa"/>
            <w:tcBorders>
              <w:top w:val="nil"/>
              <w:left w:val="nil"/>
              <w:bottom w:val="nil"/>
              <w:right w:val="nil"/>
            </w:tcBorders>
            <w:tcMar>
              <w:top w:w="30" w:type="dxa"/>
              <w:left w:w="80" w:type="dxa"/>
              <w:bottom w:w="30" w:type="dxa"/>
              <w:right w:w="80" w:type="dxa"/>
            </w:tcMar>
            <w:vAlign w:val="center"/>
          </w:tcPr>
          <w:p w14:paraId="7ECA6841">
            <w:pPr>
              <w:spacing w:after="0" w:line="240" w:lineRule="auto"/>
              <w:jc w:val="center"/>
            </w:pPr>
            <w:r>
              <w:rPr>
                <w:rFonts w:ascii="Times New Roman" w:hAnsi="Times New Roman" w:eastAsia="Times New Roman" w:cs="Times New Roman"/>
                <w:b w:val="0"/>
                <w:bCs w:val="0"/>
                <w:i w:val="0"/>
                <w:iCs w:val="0"/>
                <w:sz w:val="20"/>
                <w:szCs w:val="20"/>
              </w:rPr>
              <w:t>0.412</w:t>
            </w:r>
          </w:p>
        </w:tc>
        <w:tc>
          <w:tcPr>
            <w:tcW w:w="1700" w:type="dxa"/>
            <w:tcBorders>
              <w:top w:val="nil"/>
              <w:left w:val="nil"/>
              <w:bottom w:val="nil"/>
              <w:right w:val="nil"/>
            </w:tcBorders>
            <w:tcMar>
              <w:top w:w="30" w:type="dxa"/>
              <w:left w:w="80" w:type="dxa"/>
              <w:bottom w:w="30" w:type="dxa"/>
              <w:right w:w="80" w:type="dxa"/>
            </w:tcMar>
            <w:vAlign w:val="center"/>
          </w:tcPr>
          <w:p w14:paraId="6F1BEE6F">
            <w:pPr>
              <w:spacing w:after="0" w:line="240" w:lineRule="auto"/>
              <w:jc w:val="center"/>
            </w:pPr>
            <w:r>
              <w:rPr>
                <w:rFonts w:ascii="Times New Roman" w:hAnsi="Times New Roman" w:eastAsia="Times New Roman" w:cs="Times New Roman"/>
                <w:b w:val="0"/>
                <w:bCs w:val="0"/>
                <w:i w:val="0"/>
                <w:iCs w:val="0"/>
                <w:sz w:val="20"/>
                <w:szCs w:val="20"/>
              </w:rPr>
              <w:t>0.028</w:t>
            </w:r>
          </w:p>
        </w:tc>
      </w:tr>
      <w:tr w14:paraId="211E85A6">
        <w:tc>
          <w:tcPr>
            <w:tcW w:w="2760" w:type="dxa"/>
            <w:tcBorders>
              <w:top w:val="nil"/>
              <w:left w:val="nil"/>
              <w:bottom w:val="nil"/>
              <w:right w:val="nil"/>
            </w:tcBorders>
            <w:tcMar>
              <w:top w:w="30" w:type="dxa"/>
              <w:left w:w="80" w:type="dxa"/>
              <w:bottom w:w="30" w:type="dxa"/>
              <w:right w:w="80" w:type="dxa"/>
            </w:tcMar>
            <w:vAlign w:val="center"/>
          </w:tcPr>
          <w:p w14:paraId="39DA5A05">
            <w:pPr>
              <w:spacing w:after="0" w:line="240" w:lineRule="auto"/>
              <w:jc w:val="left"/>
            </w:pPr>
            <w:r>
              <w:rPr>
                <w:rFonts w:ascii="Times New Roman" w:hAnsi="Times New Roman" w:eastAsia="Times New Roman" w:cs="Times New Roman"/>
                <w:b w:val="0"/>
                <w:bCs w:val="0"/>
                <w:i w:val="0"/>
                <w:iCs w:val="0"/>
                <w:sz w:val="20"/>
                <w:szCs w:val="20"/>
              </w:rPr>
              <w:t>Vasopressor, ICU day 1</w:t>
            </w:r>
          </w:p>
        </w:tc>
        <w:tc>
          <w:tcPr>
            <w:tcW w:w="1700" w:type="dxa"/>
            <w:tcBorders>
              <w:top w:val="nil"/>
              <w:left w:val="nil"/>
              <w:bottom w:val="nil"/>
              <w:right w:val="nil"/>
            </w:tcBorders>
            <w:tcMar>
              <w:top w:w="30" w:type="dxa"/>
              <w:left w:w="80" w:type="dxa"/>
              <w:bottom w:w="30" w:type="dxa"/>
              <w:right w:w="80" w:type="dxa"/>
            </w:tcMar>
            <w:vAlign w:val="center"/>
          </w:tcPr>
          <w:p w14:paraId="48BAA22E">
            <w:pPr>
              <w:spacing w:after="0" w:line="240" w:lineRule="auto"/>
              <w:jc w:val="center"/>
            </w:pPr>
            <w:r>
              <w:rPr>
                <w:rFonts w:ascii="Times New Roman" w:hAnsi="Times New Roman" w:eastAsia="Times New Roman" w:cs="Times New Roman"/>
                <w:b w:val="0"/>
                <w:bCs w:val="0"/>
                <w:i w:val="0"/>
                <w:iCs w:val="0"/>
                <w:sz w:val="20"/>
                <w:szCs w:val="20"/>
              </w:rPr>
              <w:t>0.353</w:t>
            </w:r>
          </w:p>
        </w:tc>
        <w:tc>
          <w:tcPr>
            <w:tcW w:w="1700" w:type="dxa"/>
            <w:tcBorders>
              <w:top w:val="nil"/>
              <w:left w:val="nil"/>
              <w:bottom w:val="nil"/>
              <w:right w:val="nil"/>
            </w:tcBorders>
            <w:tcMar>
              <w:top w:w="30" w:type="dxa"/>
              <w:left w:w="80" w:type="dxa"/>
              <w:bottom w:w="30" w:type="dxa"/>
              <w:right w:w="80" w:type="dxa"/>
            </w:tcMar>
            <w:vAlign w:val="center"/>
          </w:tcPr>
          <w:p w14:paraId="2DBB7B99">
            <w:pPr>
              <w:spacing w:after="0" w:line="240" w:lineRule="auto"/>
              <w:jc w:val="center"/>
            </w:pPr>
            <w:r>
              <w:rPr>
                <w:rFonts w:ascii="Times New Roman" w:hAnsi="Times New Roman" w:eastAsia="Times New Roman" w:cs="Times New Roman"/>
                <w:b w:val="0"/>
                <w:bCs w:val="0"/>
                <w:i w:val="0"/>
                <w:iCs w:val="0"/>
                <w:sz w:val="20"/>
                <w:szCs w:val="20"/>
              </w:rPr>
              <w:t>0.276</w:t>
            </w:r>
          </w:p>
        </w:tc>
        <w:tc>
          <w:tcPr>
            <w:tcW w:w="1700" w:type="dxa"/>
            <w:tcBorders>
              <w:top w:val="nil"/>
              <w:left w:val="nil"/>
              <w:bottom w:val="nil"/>
              <w:right w:val="nil"/>
            </w:tcBorders>
            <w:tcMar>
              <w:top w:w="30" w:type="dxa"/>
              <w:left w:w="80" w:type="dxa"/>
              <w:bottom w:w="30" w:type="dxa"/>
              <w:right w:w="80" w:type="dxa"/>
            </w:tcMar>
            <w:vAlign w:val="center"/>
          </w:tcPr>
          <w:p w14:paraId="158114AB">
            <w:pPr>
              <w:spacing w:after="0" w:line="240" w:lineRule="auto"/>
              <w:jc w:val="center"/>
            </w:pPr>
            <w:r>
              <w:rPr>
                <w:rFonts w:ascii="Times New Roman" w:hAnsi="Times New Roman" w:eastAsia="Times New Roman" w:cs="Times New Roman"/>
                <w:b w:val="0"/>
                <w:bCs w:val="0"/>
                <w:i w:val="0"/>
                <w:iCs w:val="0"/>
                <w:sz w:val="20"/>
                <w:szCs w:val="20"/>
              </w:rPr>
              <w:t>0.167</w:t>
            </w:r>
          </w:p>
        </w:tc>
        <w:tc>
          <w:tcPr>
            <w:tcW w:w="1700" w:type="dxa"/>
            <w:tcBorders>
              <w:top w:val="nil"/>
              <w:left w:val="nil"/>
              <w:bottom w:val="nil"/>
              <w:right w:val="nil"/>
            </w:tcBorders>
            <w:tcMar>
              <w:top w:w="30" w:type="dxa"/>
              <w:left w:w="80" w:type="dxa"/>
              <w:bottom w:w="30" w:type="dxa"/>
              <w:right w:w="80" w:type="dxa"/>
            </w:tcMar>
            <w:vAlign w:val="center"/>
          </w:tcPr>
          <w:p w14:paraId="56D9C2F5">
            <w:pPr>
              <w:spacing w:after="0" w:line="240" w:lineRule="auto"/>
              <w:jc w:val="center"/>
            </w:pPr>
            <w:r>
              <w:rPr>
                <w:rFonts w:ascii="Times New Roman" w:hAnsi="Times New Roman" w:eastAsia="Times New Roman" w:cs="Times New Roman"/>
                <w:b w:val="0"/>
                <w:bCs w:val="0"/>
                <w:i w:val="0"/>
                <w:iCs w:val="0"/>
                <w:sz w:val="20"/>
                <w:szCs w:val="20"/>
              </w:rPr>
              <w:t>0.353</w:t>
            </w:r>
          </w:p>
        </w:tc>
        <w:tc>
          <w:tcPr>
            <w:tcW w:w="1700" w:type="dxa"/>
            <w:tcBorders>
              <w:top w:val="nil"/>
              <w:left w:val="nil"/>
              <w:bottom w:val="nil"/>
              <w:right w:val="nil"/>
            </w:tcBorders>
            <w:tcMar>
              <w:top w:w="30" w:type="dxa"/>
              <w:left w:w="80" w:type="dxa"/>
              <w:bottom w:w="30" w:type="dxa"/>
              <w:right w:w="80" w:type="dxa"/>
            </w:tcMar>
            <w:vAlign w:val="center"/>
          </w:tcPr>
          <w:p w14:paraId="1D82478C">
            <w:pPr>
              <w:spacing w:after="0" w:line="240" w:lineRule="auto"/>
              <w:jc w:val="center"/>
            </w:pPr>
            <w:r>
              <w:rPr>
                <w:rFonts w:ascii="Times New Roman" w:hAnsi="Times New Roman" w:eastAsia="Times New Roman" w:cs="Times New Roman"/>
                <w:b w:val="0"/>
                <w:bCs w:val="0"/>
                <w:i w:val="0"/>
                <w:iCs w:val="0"/>
                <w:sz w:val="20"/>
                <w:szCs w:val="20"/>
              </w:rPr>
              <w:t>0.352</w:t>
            </w:r>
          </w:p>
        </w:tc>
        <w:tc>
          <w:tcPr>
            <w:tcW w:w="1700" w:type="dxa"/>
            <w:tcBorders>
              <w:top w:val="nil"/>
              <w:left w:val="nil"/>
              <w:bottom w:val="nil"/>
              <w:right w:val="nil"/>
            </w:tcBorders>
            <w:tcMar>
              <w:top w:w="30" w:type="dxa"/>
              <w:left w:w="80" w:type="dxa"/>
              <w:bottom w:w="30" w:type="dxa"/>
              <w:right w:w="80" w:type="dxa"/>
            </w:tcMar>
            <w:vAlign w:val="center"/>
          </w:tcPr>
          <w:p w14:paraId="3DBFA706">
            <w:pPr>
              <w:spacing w:after="0" w:line="240" w:lineRule="auto"/>
              <w:jc w:val="center"/>
            </w:pPr>
            <w:r>
              <w:rPr>
                <w:rFonts w:ascii="Times New Roman" w:hAnsi="Times New Roman" w:eastAsia="Times New Roman" w:cs="Times New Roman"/>
                <w:b w:val="0"/>
                <w:bCs w:val="0"/>
                <w:i w:val="0"/>
                <w:iCs w:val="0"/>
                <w:sz w:val="20"/>
                <w:szCs w:val="20"/>
              </w:rPr>
              <w:t>0.003</w:t>
            </w:r>
          </w:p>
        </w:tc>
      </w:tr>
      <w:tr w14:paraId="09490DB9">
        <w:tc>
          <w:tcPr>
            <w:tcW w:w="2760" w:type="dxa"/>
            <w:tcBorders>
              <w:top w:val="nil"/>
              <w:left w:val="nil"/>
              <w:bottom w:val="single" w:color="000000" w:sz="8" w:space="0"/>
              <w:right w:val="nil"/>
            </w:tcBorders>
            <w:tcMar>
              <w:top w:w="30" w:type="dxa"/>
              <w:left w:w="80" w:type="dxa"/>
              <w:bottom w:w="30" w:type="dxa"/>
              <w:right w:w="80" w:type="dxa"/>
            </w:tcMar>
            <w:vAlign w:val="center"/>
          </w:tcPr>
          <w:p w14:paraId="73668184">
            <w:pPr>
              <w:spacing w:after="0" w:line="240" w:lineRule="auto"/>
              <w:jc w:val="left"/>
            </w:pPr>
            <w:r>
              <w:rPr>
                <w:rFonts w:ascii="Times New Roman" w:hAnsi="Times New Roman" w:eastAsia="Times New Roman" w:cs="Times New Roman"/>
                <w:b w:val="0"/>
                <w:bCs w:val="0"/>
                <w:i w:val="0"/>
                <w:iCs w:val="0"/>
                <w:sz w:val="20"/>
                <w:szCs w:val="20"/>
              </w:rPr>
              <w:t>Mechanical ventilation, ICU day 1</w:t>
            </w:r>
          </w:p>
        </w:tc>
        <w:tc>
          <w:tcPr>
            <w:tcW w:w="1700" w:type="dxa"/>
            <w:tcBorders>
              <w:top w:val="nil"/>
              <w:left w:val="nil"/>
              <w:bottom w:val="single" w:color="000000" w:sz="8" w:space="0"/>
              <w:right w:val="nil"/>
            </w:tcBorders>
            <w:tcMar>
              <w:top w:w="30" w:type="dxa"/>
              <w:left w:w="80" w:type="dxa"/>
              <w:bottom w:w="30" w:type="dxa"/>
              <w:right w:w="80" w:type="dxa"/>
            </w:tcMar>
            <w:vAlign w:val="center"/>
          </w:tcPr>
          <w:p w14:paraId="1DB064B0">
            <w:pPr>
              <w:spacing w:after="0" w:line="240" w:lineRule="auto"/>
              <w:jc w:val="center"/>
            </w:pPr>
            <w:r>
              <w:rPr>
                <w:rFonts w:ascii="Times New Roman" w:hAnsi="Times New Roman" w:eastAsia="Times New Roman" w:cs="Times New Roman"/>
                <w:b w:val="0"/>
                <w:bCs w:val="0"/>
                <w:i w:val="0"/>
                <w:iCs w:val="0"/>
                <w:sz w:val="20"/>
                <w:szCs w:val="20"/>
              </w:rPr>
              <w:t>0.316</w:t>
            </w:r>
          </w:p>
        </w:tc>
        <w:tc>
          <w:tcPr>
            <w:tcW w:w="1700" w:type="dxa"/>
            <w:tcBorders>
              <w:top w:val="nil"/>
              <w:left w:val="nil"/>
              <w:bottom w:val="single" w:color="000000" w:sz="8" w:space="0"/>
              <w:right w:val="nil"/>
            </w:tcBorders>
            <w:tcMar>
              <w:top w:w="30" w:type="dxa"/>
              <w:left w:w="80" w:type="dxa"/>
              <w:bottom w:w="30" w:type="dxa"/>
              <w:right w:w="80" w:type="dxa"/>
            </w:tcMar>
            <w:vAlign w:val="center"/>
          </w:tcPr>
          <w:p w14:paraId="1ED055CB">
            <w:pPr>
              <w:spacing w:after="0" w:line="240" w:lineRule="auto"/>
              <w:jc w:val="center"/>
            </w:pPr>
            <w:r>
              <w:rPr>
                <w:rFonts w:ascii="Times New Roman" w:hAnsi="Times New Roman" w:eastAsia="Times New Roman" w:cs="Times New Roman"/>
                <w:b w:val="0"/>
                <w:bCs w:val="0"/>
                <w:i w:val="0"/>
                <w:iCs w:val="0"/>
                <w:sz w:val="20"/>
                <w:szCs w:val="20"/>
              </w:rPr>
              <w:t>0.332</w:t>
            </w:r>
          </w:p>
        </w:tc>
        <w:tc>
          <w:tcPr>
            <w:tcW w:w="1700" w:type="dxa"/>
            <w:tcBorders>
              <w:top w:val="nil"/>
              <w:left w:val="nil"/>
              <w:bottom w:val="single" w:color="000000" w:sz="8" w:space="0"/>
              <w:right w:val="nil"/>
            </w:tcBorders>
            <w:tcMar>
              <w:top w:w="30" w:type="dxa"/>
              <w:left w:w="80" w:type="dxa"/>
              <w:bottom w:w="30" w:type="dxa"/>
              <w:right w:w="80" w:type="dxa"/>
            </w:tcMar>
            <w:vAlign w:val="center"/>
          </w:tcPr>
          <w:p w14:paraId="244B6E23">
            <w:pPr>
              <w:spacing w:after="0" w:line="240" w:lineRule="auto"/>
              <w:jc w:val="center"/>
            </w:pPr>
            <w:r>
              <w:rPr>
                <w:rFonts w:ascii="Times New Roman" w:hAnsi="Times New Roman" w:eastAsia="Times New Roman" w:cs="Times New Roman"/>
                <w:b w:val="0"/>
                <w:bCs w:val="0"/>
                <w:i w:val="0"/>
                <w:iCs w:val="0"/>
                <w:sz w:val="20"/>
                <w:szCs w:val="20"/>
              </w:rPr>
              <w:t>−0.034</w:t>
            </w:r>
          </w:p>
        </w:tc>
        <w:tc>
          <w:tcPr>
            <w:tcW w:w="1700" w:type="dxa"/>
            <w:tcBorders>
              <w:top w:val="nil"/>
              <w:left w:val="nil"/>
              <w:bottom w:val="single" w:color="000000" w:sz="8" w:space="0"/>
              <w:right w:val="nil"/>
            </w:tcBorders>
            <w:tcMar>
              <w:top w:w="30" w:type="dxa"/>
              <w:left w:w="80" w:type="dxa"/>
              <w:bottom w:w="30" w:type="dxa"/>
              <w:right w:w="80" w:type="dxa"/>
            </w:tcMar>
            <w:vAlign w:val="center"/>
          </w:tcPr>
          <w:p w14:paraId="44DDA42E">
            <w:pPr>
              <w:spacing w:after="0" w:line="240" w:lineRule="auto"/>
              <w:jc w:val="center"/>
            </w:pPr>
            <w:r>
              <w:rPr>
                <w:rFonts w:ascii="Times New Roman" w:hAnsi="Times New Roman" w:eastAsia="Times New Roman" w:cs="Times New Roman"/>
                <w:b w:val="0"/>
                <w:bCs w:val="0"/>
                <w:i w:val="0"/>
                <w:iCs w:val="0"/>
                <w:sz w:val="20"/>
                <w:szCs w:val="20"/>
              </w:rPr>
              <w:t>0.316</w:t>
            </w:r>
          </w:p>
        </w:tc>
        <w:tc>
          <w:tcPr>
            <w:tcW w:w="1700" w:type="dxa"/>
            <w:tcBorders>
              <w:top w:val="nil"/>
              <w:left w:val="nil"/>
              <w:bottom w:val="single" w:color="000000" w:sz="8" w:space="0"/>
              <w:right w:val="nil"/>
            </w:tcBorders>
            <w:tcMar>
              <w:top w:w="30" w:type="dxa"/>
              <w:left w:w="80" w:type="dxa"/>
              <w:bottom w:w="30" w:type="dxa"/>
              <w:right w:w="80" w:type="dxa"/>
            </w:tcMar>
            <w:vAlign w:val="center"/>
          </w:tcPr>
          <w:p w14:paraId="46EEB974">
            <w:pPr>
              <w:spacing w:after="0" w:line="240" w:lineRule="auto"/>
              <w:jc w:val="center"/>
            </w:pPr>
            <w:r>
              <w:rPr>
                <w:rFonts w:ascii="Times New Roman" w:hAnsi="Times New Roman" w:eastAsia="Times New Roman" w:cs="Times New Roman"/>
                <w:b w:val="0"/>
                <w:bCs w:val="0"/>
                <w:i w:val="0"/>
                <w:iCs w:val="0"/>
                <w:sz w:val="20"/>
                <w:szCs w:val="20"/>
              </w:rPr>
              <w:t>0.337</w:t>
            </w:r>
          </w:p>
        </w:tc>
        <w:tc>
          <w:tcPr>
            <w:tcW w:w="1700" w:type="dxa"/>
            <w:tcBorders>
              <w:top w:val="nil"/>
              <w:left w:val="nil"/>
              <w:bottom w:val="single" w:color="000000" w:sz="8" w:space="0"/>
              <w:right w:val="nil"/>
            </w:tcBorders>
            <w:tcMar>
              <w:top w:w="30" w:type="dxa"/>
              <w:left w:w="80" w:type="dxa"/>
              <w:bottom w:w="30" w:type="dxa"/>
              <w:right w:w="80" w:type="dxa"/>
            </w:tcMar>
            <w:vAlign w:val="center"/>
          </w:tcPr>
          <w:p w14:paraId="0E0D5803">
            <w:pPr>
              <w:spacing w:after="0" w:line="240" w:lineRule="auto"/>
              <w:jc w:val="center"/>
            </w:pPr>
            <w:r>
              <w:rPr>
                <w:rFonts w:ascii="Times New Roman" w:hAnsi="Times New Roman" w:eastAsia="Times New Roman" w:cs="Times New Roman"/>
                <w:b w:val="0"/>
                <w:bCs w:val="0"/>
                <w:i w:val="0"/>
                <w:iCs w:val="0"/>
                <w:sz w:val="20"/>
                <w:szCs w:val="20"/>
              </w:rPr>
              <w:t>−0.044</w:t>
            </w:r>
          </w:p>
        </w:tc>
      </w:tr>
    </w:tbl>
    <w:p w14:paraId="79DD753A">
      <w:pPr>
        <w:spacing w:before="0" w:after="20" w:line="240" w:lineRule="auto"/>
      </w:pPr>
      <w:r>
        <w:rPr>
          <w:rFonts w:ascii="Times New Roman" w:hAnsi="Times New Roman" w:eastAsia="Times New Roman" w:cs="Times New Roman"/>
          <w:b w:val="0"/>
          <w:bCs w:val="0"/>
          <w:i/>
          <w:iCs/>
          <w:sz w:val="20"/>
          <w:szCs w:val="20"/>
        </w:rPr>
        <w:t>Values are means (proportions for binary variables). Matching used 1:4 nearest-neighbour matching without replacement on the logit propensity score with a calliper of 0.2 standard deviations, pairing 411 patients with moderate stenosis to 1,644 patients with no stenosis (2,055 patients in total; the before-matching no-stenosis group comprised 10,511 patients). All standardised mean differences were below 0.05 after matching (maximum 0.044). SMD, standardised mean difference; SOFA, Sequential Organ Failure Assessment.</w:t>
      </w:r>
    </w:p>
    <w:p w14:paraId="5A8ADBFC">
      <w:pPr>
        <w:spacing w:before="120" w:after="120"/>
      </w:pPr>
      <w:r>
        <w:rPr>
          <w:rFonts w:ascii="Times New Roman" w:hAnsi="Times New Roman" w:eastAsia="Times New Roman" w:cs="Times New Roman"/>
          <w:b/>
          <w:bCs/>
          <w:i w:val="0"/>
          <w:iCs w:val="0"/>
          <w:sz w:val="24"/>
          <w:szCs w:val="24"/>
        </w:rPr>
        <w:t xml:space="preserve">Table S3. </w:t>
      </w:r>
      <w:r>
        <w:rPr>
          <w:rFonts w:ascii="Times New Roman" w:hAnsi="Times New Roman" w:eastAsia="Times New Roman" w:cs="Times New Roman"/>
          <w:b w:val="0"/>
          <w:bCs w:val="0"/>
          <w:i w:val="0"/>
          <w:iCs w:val="0"/>
          <w:sz w:val="24"/>
          <w:szCs w:val="24"/>
        </w:rPr>
        <w:t>Cross-classification of velocity-based and mean-gradient–based aortic stenosis grade among patients with a recorded mean gradient (non-cardiac cohort).</w:t>
      </w:r>
    </w:p>
    <w:tbl>
      <w:tblPr>
        <w:tblStyle w:val="11"/>
        <w:tblW w:w="12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360"/>
        <w:gridCol w:w="2400"/>
        <w:gridCol w:w="2400"/>
        <w:gridCol w:w="2400"/>
        <w:gridCol w:w="2400"/>
      </w:tblGrid>
      <w:tr w14:paraId="39AD9552">
        <w:trPr>
          <w:tblHeader/>
        </w:trPr>
        <w:tc>
          <w:tcPr>
            <w:tcW w:w="3360" w:type="dxa"/>
            <w:tcBorders>
              <w:top w:val="single" w:color="000000" w:sz="8" w:space="0"/>
              <w:left w:val="nil"/>
              <w:bottom w:val="single" w:color="000000" w:sz="4" w:space="0"/>
              <w:right w:val="nil"/>
            </w:tcBorders>
            <w:tcMar>
              <w:top w:w="30" w:type="dxa"/>
              <w:left w:w="80" w:type="dxa"/>
              <w:bottom w:w="30" w:type="dxa"/>
              <w:right w:w="80" w:type="dxa"/>
            </w:tcMar>
            <w:vAlign w:val="center"/>
          </w:tcPr>
          <w:p w14:paraId="2869FBE9">
            <w:pPr>
              <w:spacing w:after="0" w:line="240" w:lineRule="auto"/>
              <w:jc w:val="left"/>
            </w:pPr>
            <w:r>
              <w:rPr>
                <w:rFonts w:ascii="Times New Roman" w:hAnsi="Times New Roman" w:eastAsia="Times New Roman" w:cs="Times New Roman"/>
                <w:b/>
                <w:bCs/>
                <w:i w:val="0"/>
                <w:iCs w:val="0"/>
                <w:sz w:val="20"/>
                <w:szCs w:val="20"/>
              </w:rPr>
              <w:t>Velocity-based grade</w:t>
            </w:r>
          </w:p>
        </w:tc>
        <w:tc>
          <w:tcPr>
            <w:tcW w:w="2400" w:type="dxa"/>
            <w:tcBorders>
              <w:top w:val="single" w:color="000000" w:sz="8" w:space="0"/>
              <w:left w:val="nil"/>
              <w:bottom w:val="single" w:color="000000" w:sz="4" w:space="0"/>
              <w:right w:val="nil"/>
            </w:tcBorders>
            <w:tcMar>
              <w:top w:w="30" w:type="dxa"/>
              <w:left w:w="80" w:type="dxa"/>
              <w:bottom w:w="30" w:type="dxa"/>
              <w:right w:w="80" w:type="dxa"/>
            </w:tcMar>
            <w:vAlign w:val="center"/>
          </w:tcPr>
          <w:p w14:paraId="50A1E0B6">
            <w:pPr>
              <w:spacing w:after="0" w:line="240" w:lineRule="auto"/>
              <w:jc w:val="center"/>
            </w:pPr>
            <w:r>
              <w:rPr>
                <w:rFonts w:ascii="Times New Roman" w:hAnsi="Times New Roman" w:eastAsia="Times New Roman" w:cs="Times New Roman"/>
                <w:b/>
                <w:bCs/>
                <w:i w:val="0"/>
                <w:iCs w:val="0"/>
                <w:sz w:val="20"/>
                <w:szCs w:val="20"/>
              </w:rPr>
              <w:t>Gradient: none/mild</w:t>
            </w:r>
          </w:p>
        </w:tc>
        <w:tc>
          <w:tcPr>
            <w:tcW w:w="2400" w:type="dxa"/>
            <w:tcBorders>
              <w:top w:val="single" w:color="000000" w:sz="8" w:space="0"/>
              <w:left w:val="nil"/>
              <w:bottom w:val="single" w:color="000000" w:sz="4" w:space="0"/>
              <w:right w:val="nil"/>
            </w:tcBorders>
            <w:tcMar>
              <w:top w:w="30" w:type="dxa"/>
              <w:left w:w="80" w:type="dxa"/>
              <w:bottom w:w="30" w:type="dxa"/>
              <w:right w:w="80" w:type="dxa"/>
            </w:tcMar>
            <w:vAlign w:val="center"/>
          </w:tcPr>
          <w:p w14:paraId="3515792A">
            <w:pPr>
              <w:spacing w:after="0" w:line="240" w:lineRule="auto"/>
              <w:jc w:val="center"/>
            </w:pPr>
            <w:r>
              <w:rPr>
                <w:rFonts w:ascii="Times New Roman" w:hAnsi="Times New Roman" w:eastAsia="Times New Roman" w:cs="Times New Roman"/>
                <w:b/>
                <w:bCs/>
                <w:i w:val="0"/>
                <w:iCs w:val="0"/>
                <w:sz w:val="20"/>
                <w:szCs w:val="20"/>
              </w:rPr>
              <w:t>Gradient: moderate</w:t>
            </w:r>
          </w:p>
        </w:tc>
        <w:tc>
          <w:tcPr>
            <w:tcW w:w="2400" w:type="dxa"/>
            <w:tcBorders>
              <w:top w:val="single" w:color="000000" w:sz="8" w:space="0"/>
              <w:left w:val="nil"/>
              <w:bottom w:val="single" w:color="000000" w:sz="4" w:space="0"/>
              <w:right w:val="nil"/>
            </w:tcBorders>
            <w:tcMar>
              <w:top w:w="30" w:type="dxa"/>
              <w:left w:w="80" w:type="dxa"/>
              <w:bottom w:w="30" w:type="dxa"/>
              <w:right w:w="80" w:type="dxa"/>
            </w:tcMar>
            <w:vAlign w:val="center"/>
          </w:tcPr>
          <w:p w14:paraId="52BC8249">
            <w:pPr>
              <w:spacing w:after="0" w:line="240" w:lineRule="auto"/>
              <w:jc w:val="center"/>
            </w:pPr>
            <w:r>
              <w:rPr>
                <w:rFonts w:ascii="Times New Roman" w:hAnsi="Times New Roman" w:eastAsia="Times New Roman" w:cs="Times New Roman"/>
                <w:b/>
                <w:bCs/>
                <w:i w:val="0"/>
                <w:iCs w:val="0"/>
                <w:sz w:val="20"/>
                <w:szCs w:val="20"/>
              </w:rPr>
              <w:t>Gradient: severe</w:t>
            </w:r>
          </w:p>
        </w:tc>
        <w:tc>
          <w:tcPr>
            <w:tcW w:w="2400" w:type="dxa"/>
            <w:tcBorders>
              <w:top w:val="single" w:color="000000" w:sz="8" w:space="0"/>
              <w:left w:val="nil"/>
              <w:bottom w:val="single" w:color="000000" w:sz="4" w:space="0"/>
              <w:right w:val="nil"/>
            </w:tcBorders>
            <w:tcMar>
              <w:top w:w="30" w:type="dxa"/>
              <w:left w:w="80" w:type="dxa"/>
              <w:bottom w:w="30" w:type="dxa"/>
              <w:right w:w="80" w:type="dxa"/>
            </w:tcMar>
            <w:vAlign w:val="center"/>
          </w:tcPr>
          <w:p w14:paraId="44D0AE75">
            <w:pPr>
              <w:spacing w:after="0" w:line="240" w:lineRule="auto"/>
              <w:jc w:val="center"/>
            </w:pPr>
            <w:r>
              <w:rPr>
                <w:rFonts w:ascii="Times New Roman" w:hAnsi="Times New Roman" w:eastAsia="Times New Roman" w:cs="Times New Roman"/>
                <w:b/>
                <w:bCs/>
                <w:i w:val="0"/>
                <w:iCs w:val="0"/>
                <w:sz w:val="20"/>
                <w:szCs w:val="20"/>
              </w:rPr>
              <w:t>No gradient recorded</w:t>
            </w:r>
          </w:p>
        </w:tc>
      </w:tr>
      <w:tr w14:paraId="6A106390">
        <w:tc>
          <w:tcPr>
            <w:tcW w:w="3360" w:type="dxa"/>
            <w:tcBorders>
              <w:top w:val="nil"/>
              <w:left w:val="nil"/>
              <w:bottom w:val="nil"/>
              <w:right w:val="nil"/>
            </w:tcBorders>
            <w:tcMar>
              <w:top w:w="30" w:type="dxa"/>
              <w:left w:w="80" w:type="dxa"/>
              <w:bottom w:w="30" w:type="dxa"/>
              <w:right w:w="80" w:type="dxa"/>
            </w:tcMar>
            <w:vAlign w:val="center"/>
          </w:tcPr>
          <w:p w14:paraId="0695A712">
            <w:pPr>
              <w:spacing w:after="0" w:line="240" w:lineRule="auto"/>
              <w:jc w:val="left"/>
            </w:pPr>
            <w:r>
              <w:rPr>
                <w:rFonts w:ascii="Times New Roman" w:hAnsi="Times New Roman" w:eastAsia="Times New Roman" w:cs="Times New Roman"/>
                <w:b w:val="0"/>
                <w:bCs w:val="0"/>
                <w:i w:val="0"/>
                <w:iCs w:val="0"/>
                <w:sz w:val="20"/>
                <w:szCs w:val="20"/>
              </w:rPr>
              <w:t>No stenosis</w:t>
            </w:r>
          </w:p>
        </w:tc>
        <w:tc>
          <w:tcPr>
            <w:tcW w:w="2400" w:type="dxa"/>
            <w:tcBorders>
              <w:top w:val="nil"/>
              <w:left w:val="nil"/>
              <w:bottom w:val="nil"/>
              <w:right w:val="nil"/>
            </w:tcBorders>
            <w:tcMar>
              <w:top w:w="30" w:type="dxa"/>
              <w:left w:w="80" w:type="dxa"/>
              <w:bottom w:w="30" w:type="dxa"/>
              <w:right w:w="80" w:type="dxa"/>
            </w:tcMar>
            <w:vAlign w:val="center"/>
          </w:tcPr>
          <w:p w14:paraId="279DE54D">
            <w:pPr>
              <w:spacing w:after="0" w:line="240" w:lineRule="auto"/>
              <w:jc w:val="center"/>
            </w:pPr>
            <w:r>
              <w:rPr>
                <w:rFonts w:ascii="Times New Roman" w:hAnsi="Times New Roman" w:eastAsia="Times New Roman" w:cs="Times New Roman"/>
                <w:b w:val="0"/>
                <w:bCs w:val="0"/>
                <w:i w:val="0"/>
                <w:iCs w:val="0"/>
                <w:sz w:val="20"/>
                <w:szCs w:val="20"/>
              </w:rPr>
              <w:t>380</w:t>
            </w:r>
          </w:p>
        </w:tc>
        <w:tc>
          <w:tcPr>
            <w:tcW w:w="2400" w:type="dxa"/>
            <w:tcBorders>
              <w:top w:val="nil"/>
              <w:left w:val="nil"/>
              <w:bottom w:val="nil"/>
              <w:right w:val="nil"/>
            </w:tcBorders>
            <w:tcMar>
              <w:top w:w="30" w:type="dxa"/>
              <w:left w:w="80" w:type="dxa"/>
              <w:bottom w:w="30" w:type="dxa"/>
              <w:right w:w="80" w:type="dxa"/>
            </w:tcMar>
            <w:vAlign w:val="center"/>
          </w:tcPr>
          <w:p w14:paraId="7E0A2455">
            <w:pPr>
              <w:spacing w:after="0" w:line="240" w:lineRule="auto"/>
              <w:jc w:val="center"/>
            </w:pPr>
            <w:r>
              <w:rPr>
                <w:rFonts w:ascii="Times New Roman" w:hAnsi="Times New Roman" w:eastAsia="Times New Roman" w:cs="Times New Roman"/>
                <w:b w:val="0"/>
                <w:bCs w:val="0"/>
                <w:i w:val="0"/>
                <w:iCs w:val="0"/>
                <w:sz w:val="20"/>
                <w:szCs w:val="20"/>
              </w:rPr>
              <w:t>0</w:t>
            </w:r>
          </w:p>
        </w:tc>
        <w:tc>
          <w:tcPr>
            <w:tcW w:w="2400" w:type="dxa"/>
            <w:tcBorders>
              <w:top w:val="nil"/>
              <w:left w:val="nil"/>
              <w:bottom w:val="nil"/>
              <w:right w:val="nil"/>
            </w:tcBorders>
            <w:tcMar>
              <w:top w:w="30" w:type="dxa"/>
              <w:left w:w="80" w:type="dxa"/>
              <w:bottom w:w="30" w:type="dxa"/>
              <w:right w:w="80" w:type="dxa"/>
            </w:tcMar>
            <w:vAlign w:val="center"/>
          </w:tcPr>
          <w:p w14:paraId="7A6F3321">
            <w:pPr>
              <w:spacing w:after="0" w:line="240" w:lineRule="auto"/>
              <w:jc w:val="center"/>
            </w:pPr>
            <w:r>
              <w:rPr>
                <w:rFonts w:ascii="Times New Roman" w:hAnsi="Times New Roman" w:eastAsia="Times New Roman" w:cs="Times New Roman"/>
                <w:b w:val="0"/>
                <w:bCs w:val="0"/>
                <w:i w:val="0"/>
                <w:iCs w:val="0"/>
                <w:sz w:val="20"/>
                <w:szCs w:val="20"/>
              </w:rPr>
              <w:t>0</w:t>
            </w:r>
          </w:p>
        </w:tc>
        <w:tc>
          <w:tcPr>
            <w:tcW w:w="2400" w:type="dxa"/>
            <w:tcBorders>
              <w:top w:val="nil"/>
              <w:left w:val="nil"/>
              <w:bottom w:val="nil"/>
              <w:right w:val="nil"/>
            </w:tcBorders>
            <w:tcMar>
              <w:top w:w="30" w:type="dxa"/>
              <w:left w:w="80" w:type="dxa"/>
              <w:bottom w:w="30" w:type="dxa"/>
              <w:right w:w="80" w:type="dxa"/>
            </w:tcMar>
            <w:vAlign w:val="center"/>
          </w:tcPr>
          <w:p w14:paraId="51365432">
            <w:pPr>
              <w:spacing w:after="0" w:line="240" w:lineRule="auto"/>
              <w:jc w:val="center"/>
            </w:pPr>
            <w:r>
              <w:rPr>
                <w:rFonts w:ascii="Times New Roman" w:hAnsi="Times New Roman" w:eastAsia="Times New Roman" w:cs="Times New Roman"/>
                <w:b w:val="0"/>
                <w:bCs w:val="0"/>
                <w:i w:val="0"/>
                <w:iCs w:val="0"/>
                <w:sz w:val="20"/>
                <w:szCs w:val="20"/>
              </w:rPr>
              <w:t>10,131</w:t>
            </w:r>
          </w:p>
        </w:tc>
      </w:tr>
      <w:tr w14:paraId="494A2B8D">
        <w:tc>
          <w:tcPr>
            <w:tcW w:w="3360" w:type="dxa"/>
            <w:tcBorders>
              <w:top w:val="nil"/>
              <w:left w:val="nil"/>
              <w:bottom w:val="nil"/>
              <w:right w:val="nil"/>
            </w:tcBorders>
            <w:tcMar>
              <w:top w:w="30" w:type="dxa"/>
              <w:left w:w="80" w:type="dxa"/>
              <w:bottom w:w="30" w:type="dxa"/>
              <w:right w:w="80" w:type="dxa"/>
            </w:tcMar>
            <w:vAlign w:val="center"/>
          </w:tcPr>
          <w:p w14:paraId="5440CDB6">
            <w:pPr>
              <w:spacing w:after="0" w:line="240" w:lineRule="auto"/>
              <w:jc w:val="left"/>
            </w:pPr>
            <w:r>
              <w:rPr>
                <w:rFonts w:ascii="Times New Roman" w:hAnsi="Times New Roman" w:eastAsia="Times New Roman" w:cs="Times New Roman"/>
                <w:b w:val="0"/>
                <w:bCs w:val="0"/>
                <w:i w:val="0"/>
                <w:iCs w:val="0"/>
                <w:sz w:val="20"/>
                <w:szCs w:val="20"/>
              </w:rPr>
              <w:t>Aortic sclerosis</w:t>
            </w:r>
          </w:p>
        </w:tc>
        <w:tc>
          <w:tcPr>
            <w:tcW w:w="2400" w:type="dxa"/>
            <w:tcBorders>
              <w:top w:val="nil"/>
              <w:left w:val="nil"/>
              <w:bottom w:val="nil"/>
              <w:right w:val="nil"/>
            </w:tcBorders>
            <w:tcMar>
              <w:top w:w="30" w:type="dxa"/>
              <w:left w:w="80" w:type="dxa"/>
              <w:bottom w:w="30" w:type="dxa"/>
              <w:right w:w="80" w:type="dxa"/>
            </w:tcMar>
            <w:vAlign w:val="center"/>
          </w:tcPr>
          <w:p w14:paraId="1BA70221">
            <w:pPr>
              <w:spacing w:after="0" w:line="240" w:lineRule="auto"/>
              <w:jc w:val="center"/>
            </w:pPr>
            <w:r>
              <w:rPr>
                <w:rFonts w:ascii="Times New Roman" w:hAnsi="Times New Roman" w:eastAsia="Times New Roman" w:cs="Times New Roman"/>
                <w:b w:val="0"/>
                <w:bCs w:val="0"/>
                <w:i w:val="0"/>
                <w:iCs w:val="0"/>
                <w:sz w:val="20"/>
                <w:szCs w:val="20"/>
              </w:rPr>
              <w:t>1,034</w:t>
            </w:r>
          </w:p>
        </w:tc>
        <w:tc>
          <w:tcPr>
            <w:tcW w:w="2400" w:type="dxa"/>
            <w:tcBorders>
              <w:top w:val="nil"/>
              <w:left w:val="nil"/>
              <w:bottom w:val="nil"/>
              <w:right w:val="nil"/>
            </w:tcBorders>
            <w:tcMar>
              <w:top w:w="30" w:type="dxa"/>
              <w:left w:w="80" w:type="dxa"/>
              <w:bottom w:w="30" w:type="dxa"/>
              <w:right w:w="80" w:type="dxa"/>
            </w:tcMar>
            <w:vAlign w:val="center"/>
          </w:tcPr>
          <w:p w14:paraId="12D1C5E0">
            <w:pPr>
              <w:spacing w:after="0" w:line="240" w:lineRule="auto"/>
              <w:jc w:val="center"/>
            </w:pPr>
            <w:r>
              <w:rPr>
                <w:rFonts w:ascii="Times New Roman" w:hAnsi="Times New Roman" w:eastAsia="Times New Roman" w:cs="Times New Roman"/>
                <w:b w:val="0"/>
                <w:bCs w:val="0"/>
                <w:i w:val="0"/>
                <w:iCs w:val="0"/>
                <w:sz w:val="20"/>
                <w:szCs w:val="20"/>
              </w:rPr>
              <w:t>41</w:t>
            </w:r>
          </w:p>
        </w:tc>
        <w:tc>
          <w:tcPr>
            <w:tcW w:w="2400" w:type="dxa"/>
            <w:tcBorders>
              <w:top w:val="nil"/>
              <w:left w:val="nil"/>
              <w:bottom w:val="nil"/>
              <w:right w:val="nil"/>
            </w:tcBorders>
            <w:tcMar>
              <w:top w:w="30" w:type="dxa"/>
              <w:left w:w="80" w:type="dxa"/>
              <w:bottom w:w="30" w:type="dxa"/>
              <w:right w:w="80" w:type="dxa"/>
            </w:tcMar>
            <w:vAlign w:val="center"/>
          </w:tcPr>
          <w:p w14:paraId="17225C60">
            <w:pPr>
              <w:spacing w:after="0" w:line="240" w:lineRule="auto"/>
              <w:jc w:val="center"/>
            </w:pPr>
            <w:r>
              <w:rPr>
                <w:rFonts w:ascii="Times New Roman" w:hAnsi="Times New Roman" w:eastAsia="Times New Roman" w:cs="Times New Roman"/>
                <w:b w:val="0"/>
                <w:bCs w:val="0"/>
                <w:i w:val="0"/>
                <w:iCs w:val="0"/>
                <w:sz w:val="20"/>
                <w:szCs w:val="20"/>
              </w:rPr>
              <w:t>1</w:t>
            </w:r>
          </w:p>
        </w:tc>
        <w:tc>
          <w:tcPr>
            <w:tcW w:w="2400" w:type="dxa"/>
            <w:tcBorders>
              <w:top w:val="nil"/>
              <w:left w:val="nil"/>
              <w:bottom w:val="nil"/>
              <w:right w:val="nil"/>
            </w:tcBorders>
            <w:tcMar>
              <w:top w:w="30" w:type="dxa"/>
              <w:left w:w="80" w:type="dxa"/>
              <w:bottom w:w="30" w:type="dxa"/>
              <w:right w:w="80" w:type="dxa"/>
            </w:tcMar>
            <w:vAlign w:val="center"/>
          </w:tcPr>
          <w:p w14:paraId="16B1A051">
            <w:pPr>
              <w:spacing w:after="0" w:line="240" w:lineRule="auto"/>
              <w:jc w:val="center"/>
            </w:pPr>
            <w:r>
              <w:rPr>
                <w:rFonts w:ascii="Times New Roman" w:hAnsi="Times New Roman" w:eastAsia="Times New Roman" w:cs="Times New Roman"/>
                <w:b w:val="0"/>
                <w:bCs w:val="0"/>
                <w:i w:val="0"/>
                <w:iCs w:val="0"/>
                <w:sz w:val="20"/>
                <w:szCs w:val="20"/>
              </w:rPr>
              <w:t>721</w:t>
            </w:r>
          </w:p>
        </w:tc>
      </w:tr>
      <w:tr w14:paraId="02C72E27">
        <w:tc>
          <w:tcPr>
            <w:tcW w:w="3360" w:type="dxa"/>
            <w:tcBorders>
              <w:top w:val="nil"/>
              <w:left w:val="nil"/>
              <w:bottom w:val="nil"/>
              <w:right w:val="nil"/>
            </w:tcBorders>
            <w:tcMar>
              <w:top w:w="30" w:type="dxa"/>
              <w:left w:w="80" w:type="dxa"/>
              <w:bottom w:w="30" w:type="dxa"/>
              <w:right w:w="80" w:type="dxa"/>
            </w:tcMar>
            <w:vAlign w:val="center"/>
          </w:tcPr>
          <w:p w14:paraId="1E2CA882">
            <w:pPr>
              <w:spacing w:after="0" w:line="240" w:lineRule="auto"/>
              <w:jc w:val="left"/>
            </w:pPr>
            <w:r>
              <w:rPr>
                <w:rFonts w:ascii="Times New Roman" w:hAnsi="Times New Roman" w:eastAsia="Times New Roman" w:cs="Times New Roman"/>
                <w:b w:val="0"/>
                <w:bCs w:val="0"/>
                <w:i w:val="0"/>
                <w:iCs w:val="0"/>
                <w:sz w:val="20"/>
                <w:szCs w:val="20"/>
              </w:rPr>
              <w:t>Moderate stenosis</w:t>
            </w:r>
          </w:p>
        </w:tc>
        <w:tc>
          <w:tcPr>
            <w:tcW w:w="2400" w:type="dxa"/>
            <w:tcBorders>
              <w:top w:val="nil"/>
              <w:left w:val="nil"/>
              <w:bottom w:val="nil"/>
              <w:right w:val="nil"/>
            </w:tcBorders>
            <w:tcMar>
              <w:top w:w="30" w:type="dxa"/>
              <w:left w:w="80" w:type="dxa"/>
              <w:bottom w:w="30" w:type="dxa"/>
              <w:right w:w="80" w:type="dxa"/>
            </w:tcMar>
            <w:vAlign w:val="center"/>
          </w:tcPr>
          <w:p w14:paraId="3A401386">
            <w:pPr>
              <w:spacing w:after="0" w:line="240" w:lineRule="auto"/>
              <w:jc w:val="center"/>
            </w:pPr>
            <w:r>
              <w:rPr>
                <w:rFonts w:ascii="Times New Roman" w:hAnsi="Times New Roman" w:eastAsia="Times New Roman" w:cs="Times New Roman"/>
                <w:b w:val="0"/>
                <w:bCs w:val="0"/>
                <w:i w:val="0"/>
                <w:iCs w:val="0"/>
                <w:sz w:val="20"/>
                <w:szCs w:val="20"/>
              </w:rPr>
              <w:t>44</w:t>
            </w:r>
          </w:p>
        </w:tc>
        <w:tc>
          <w:tcPr>
            <w:tcW w:w="2400" w:type="dxa"/>
            <w:tcBorders>
              <w:top w:val="nil"/>
              <w:left w:val="nil"/>
              <w:bottom w:val="nil"/>
              <w:right w:val="nil"/>
            </w:tcBorders>
            <w:tcMar>
              <w:top w:w="30" w:type="dxa"/>
              <w:left w:w="80" w:type="dxa"/>
              <w:bottom w:w="30" w:type="dxa"/>
              <w:right w:w="80" w:type="dxa"/>
            </w:tcMar>
            <w:vAlign w:val="center"/>
          </w:tcPr>
          <w:p w14:paraId="4CAB0B0E">
            <w:pPr>
              <w:spacing w:after="0" w:line="240" w:lineRule="auto"/>
              <w:jc w:val="center"/>
            </w:pPr>
            <w:r>
              <w:rPr>
                <w:rFonts w:ascii="Times New Roman" w:hAnsi="Times New Roman" w:eastAsia="Times New Roman" w:cs="Times New Roman"/>
                <w:b w:val="0"/>
                <w:bCs w:val="0"/>
                <w:i w:val="0"/>
                <w:iCs w:val="0"/>
                <w:sz w:val="20"/>
                <w:szCs w:val="20"/>
              </w:rPr>
              <w:t>341</w:t>
            </w:r>
          </w:p>
        </w:tc>
        <w:tc>
          <w:tcPr>
            <w:tcW w:w="2400" w:type="dxa"/>
            <w:tcBorders>
              <w:top w:val="nil"/>
              <w:left w:val="nil"/>
              <w:bottom w:val="nil"/>
              <w:right w:val="nil"/>
            </w:tcBorders>
            <w:tcMar>
              <w:top w:w="30" w:type="dxa"/>
              <w:left w:w="80" w:type="dxa"/>
              <w:bottom w:w="30" w:type="dxa"/>
              <w:right w:w="80" w:type="dxa"/>
            </w:tcMar>
            <w:vAlign w:val="center"/>
          </w:tcPr>
          <w:p w14:paraId="74B8A542">
            <w:pPr>
              <w:spacing w:after="0" w:line="240" w:lineRule="auto"/>
              <w:jc w:val="center"/>
            </w:pPr>
            <w:r>
              <w:rPr>
                <w:rFonts w:ascii="Times New Roman" w:hAnsi="Times New Roman" w:eastAsia="Times New Roman" w:cs="Times New Roman"/>
                <w:b w:val="0"/>
                <w:bCs w:val="0"/>
                <w:i w:val="0"/>
                <w:iCs w:val="0"/>
                <w:sz w:val="20"/>
                <w:szCs w:val="20"/>
              </w:rPr>
              <w:t>4</w:t>
            </w:r>
          </w:p>
        </w:tc>
        <w:tc>
          <w:tcPr>
            <w:tcW w:w="2400" w:type="dxa"/>
            <w:tcBorders>
              <w:top w:val="nil"/>
              <w:left w:val="nil"/>
              <w:bottom w:val="nil"/>
              <w:right w:val="nil"/>
            </w:tcBorders>
            <w:tcMar>
              <w:top w:w="30" w:type="dxa"/>
              <w:left w:w="80" w:type="dxa"/>
              <w:bottom w:w="30" w:type="dxa"/>
              <w:right w:w="80" w:type="dxa"/>
            </w:tcMar>
            <w:vAlign w:val="center"/>
          </w:tcPr>
          <w:p w14:paraId="1570B184">
            <w:pPr>
              <w:spacing w:after="0" w:line="240" w:lineRule="auto"/>
              <w:jc w:val="center"/>
            </w:pPr>
            <w:r>
              <w:rPr>
                <w:rFonts w:ascii="Times New Roman" w:hAnsi="Times New Roman" w:eastAsia="Times New Roman" w:cs="Times New Roman"/>
                <w:b w:val="0"/>
                <w:bCs w:val="0"/>
                <w:i w:val="0"/>
                <w:iCs w:val="0"/>
                <w:sz w:val="20"/>
                <w:szCs w:val="20"/>
              </w:rPr>
              <w:t>22</w:t>
            </w:r>
          </w:p>
        </w:tc>
      </w:tr>
      <w:tr w14:paraId="17CFFB29">
        <w:tc>
          <w:tcPr>
            <w:tcW w:w="3360" w:type="dxa"/>
            <w:tcBorders>
              <w:top w:val="nil"/>
              <w:left w:val="nil"/>
              <w:bottom w:val="single" w:color="000000" w:sz="8" w:space="0"/>
              <w:right w:val="nil"/>
            </w:tcBorders>
            <w:tcMar>
              <w:top w:w="30" w:type="dxa"/>
              <w:left w:w="80" w:type="dxa"/>
              <w:bottom w:w="30" w:type="dxa"/>
              <w:right w:w="80" w:type="dxa"/>
            </w:tcMar>
            <w:vAlign w:val="center"/>
          </w:tcPr>
          <w:p w14:paraId="775A9012">
            <w:pPr>
              <w:spacing w:after="0" w:line="240" w:lineRule="auto"/>
              <w:jc w:val="left"/>
            </w:pPr>
            <w:r>
              <w:rPr>
                <w:rFonts w:ascii="Times New Roman" w:hAnsi="Times New Roman" w:eastAsia="Times New Roman" w:cs="Times New Roman"/>
                <w:b w:val="0"/>
                <w:bCs w:val="0"/>
                <w:i w:val="0"/>
                <w:iCs w:val="0"/>
                <w:sz w:val="20"/>
                <w:szCs w:val="20"/>
              </w:rPr>
              <w:t>Severe stenosis</w:t>
            </w:r>
          </w:p>
        </w:tc>
        <w:tc>
          <w:tcPr>
            <w:tcW w:w="2400" w:type="dxa"/>
            <w:tcBorders>
              <w:top w:val="nil"/>
              <w:left w:val="nil"/>
              <w:bottom w:val="single" w:color="000000" w:sz="8" w:space="0"/>
              <w:right w:val="nil"/>
            </w:tcBorders>
            <w:tcMar>
              <w:top w:w="30" w:type="dxa"/>
              <w:left w:w="80" w:type="dxa"/>
              <w:bottom w:w="30" w:type="dxa"/>
              <w:right w:w="80" w:type="dxa"/>
            </w:tcMar>
            <w:vAlign w:val="center"/>
          </w:tcPr>
          <w:p w14:paraId="2B8FC35F">
            <w:pPr>
              <w:spacing w:after="0" w:line="240" w:lineRule="auto"/>
              <w:jc w:val="center"/>
            </w:pPr>
            <w:r>
              <w:rPr>
                <w:rFonts w:ascii="Times New Roman" w:hAnsi="Times New Roman" w:eastAsia="Times New Roman" w:cs="Times New Roman"/>
                <w:b w:val="0"/>
                <w:bCs w:val="0"/>
                <w:i w:val="0"/>
                <w:iCs w:val="0"/>
                <w:sz w:val="20"/>
                <w:szCs w:val="20"/>
              </w:rPr>
              <w:t>0</w:t>
            </w:r>
          </w:p>
        </w:tc>
        <w:tc>
          <w:tcPr>
            <w:tcW w:w="2400" w:type="dxa"/>
            <w:tcBorders>
              <w:top w:val="nil"/>
              <w:left w:val="nil"/>
              <w:bottom w:val="single" w:color="000000" w:sz="8" w:space="0"/>
              <w:right w:val="nil"/>
            </w:tcBorders>
            <w:tcMar>
              <w:top w:w="30" w:type="dxa"/>
              <w:left w:w="80" w:type="dxa"/>
              <w:bottom w:w="30" w:type="dxa"/>
              <w:right w:w="80" w:type="dxa"/>
            </w:tcMar>
            <w:vAlign w:val="center"/>
          </w:tcPr>
          <w:p w14:paraId="45A0E190">
            <w:pPr>
              <w:spacing w:after="0" w:line="240" w:lineRule="auto"/>
              <w:jc w:val="center"/>
            </w:pPr>
            <w:r>
              <w:rPr>
                <w:rFonts w:ascii="Times New Roman" w:hAnsi="Times New Roman" w:eastAsia="Times New Roman" w:cs="Times New Roman"/>
                <w:b w:val="0"/>
                <w:bCs w:val="0"/>
                <w:i w:val="0"/>
                <w:iCs w:val="0"/>
                <w:sz w:val="20"/>
                <w:szCs w:val="20"/>
              </w:rPr>
              <w:t>22</w:t>
            </w:r>
          </w:p>
        </w:tc>
        <w:tc>
          <w:tcPr>
            <w:tcW w:w="2400" w:type="dxa"/>
            <w:tcBorders>
              <w:top w:val="nil"/>
              <w:left w:val="nil"/>
              <w:bottom w:val="single" w:color="000000" w:sz="8" w:space="0"/>
              <w:right w:val="nil"/>
            </w:tcBorders>
            <w:tcMar>
              <w:top w:w="30" w:type="dxa"/>
              <w:left w:w="80" w:type="dxa"/>
              <w:bottom w:w="30" w:type="dxa"/>
              <w:right w:w="80" w:type="dxa"/>
            </w:tcMar>
            <w:vAlign w:val="center"/>
          </w:tcPr>
          <w:p w14:paraId="507FE025">
            <w:pPr>
              <w:spacing w:after="0" w:line="240" w:lineRule="auto"/>
              <w:jc w:val="center"/>
            </w:pPr>
            <w:r>
              <w:rPr>
                <w:rFonts w:ascii="Times New Roman" w:hAnsi="Times New Roman" w:eastAsia="Times New Roman" w:cs="Times New Roman"/>
                <w:b w:val="0"/>
                <w:bCs w:val="0"/>
                <w:i w:val="0"/>
                <w:iCs w:val="0"/>
                <w:sz w:val="20"/>
                <w:szCs w:val="20"/>
              </w:rPr>
              <w:t>136</w:t>
            </w:r>
          </w:p>
        </w:tc>
        <w:tc>
          <w:tcPr>
            <w:tcW w:w="2400" w:type="dxa"/>
            <w:tcBorders>
              <w:top w:val="nil"/>
              <w:left w:val="nil"/>
              <w:bottom w:val="single" w:color="000000" w:sz="8" w:space="0"/>
              <w:right w:val="nil"/>
            </w:tcBorders>
            <w:tcMar>
              <w:top w:w="30" w:type="dxa"/>
              <w:left w:w="80" w:type="dxa"/>
              <w:bottom w:w="30" w:type="dxa"/>
              <w:right w:w="80" w:type="dxa"/>
            </w:tcMar>
            <w:vAlign w:val="center"/>
          </w:tcPr>
          <w:p w14:paraId="7BDF5893">
            <w:pPr>
              <w:spacing w:after="0" w:line="240" w:lineRule="auto"/>
              <w:jc w:val="center"/>
            </w:pPr>
            <w:r>
              <w:rPr>
                <w:rFonts w:ascii="Times New Roman" w:hAnsi="Times New Roman" w:eastAsia="Times New Roman" w:cs="Times New Roman"/>
                <w:b w:val="0"/>
                <w:bCs w:val="0"/>
                <w:i w:val="0"/>
                <w:iCs w:val="0"/>
                <w:sz w:val="20"/>
                <w:szCs w:val="20"/>
              </w:rPr>
              <w:t>1</w:t>
            </w:r>
          </w:p>
        </w:tc>
      </w:tr>
    </w:tbl>
    <w:p w14:paraId="0D3197B9">
      <w:pPr>
        <w:spacing w:before="0" w:after="20" w:line="240" w:lineRule="auto"/>
      </w:pPr>
      <w:r>
        <w:rPr>
          <w:rFonts w:ascii="Times New Roman" w:hAnsi="Times New Roman" w:eastAsia="Times New Roman" w:cs="Times New Roman"/>
          <w:b w:val="0"/>
          <w:bCs w:val="0"/>
          <w:i/>
          <w:iCs/>
          <w:sz w:val="20"/>
          <w:szCs w:val="20"/>
        </w:rPr>
        <w:t>A mean transvalvular gradient was recorded in 2,003 of the 12,878 patients. Gradient grade bands were none/mild &lt;20 mmHg, moderate 20–39 mmHg, and severe ≥40 mmHg. Among the 389 patients with velocity-defined moderate stenosis who had a recorded gradient, 341 (88%) were concordant by gradient. Adjusted hazard ratios under concordant grading are given in Table S4.</w:t>
      </w:r>
    </w:p>
    <w:p w14:paraId="5A56B1AE">
      <w:pPr>
        <w:spacing w:before="120" w:after="120"/>
      </w:pPr>
      <w:r>
        <w:rPr>
          <w:rFonts w:ascii="Times New Roman" w:hAnsi="Times New Roman" w:eastAsia="Times New Roman" w:cs="Times New Roman"/>
          <w:b/>
          <w:bCs/>
          <w:i w:val="0"/>
          <w:iCs w:val="0"/>
          <w:sz w:val="24"/>
          <w:szCs w:val="24"/>
        </w:rPr>
        <w:t xml:space="preserve">Table S4. </w:t>
      </w:r>
      <w:r>
        <w:rPr>
          <w:rFonts w:ascii="Times New Roman" w:hAnsi="Times New Roman" w:eastAsia="Times New Roman" w:cs="Times New Roman"/>
          <w:b w:val="0"/>
          <w:bCs w:val="0"/>
          <w:i w:val="0"/>
          <w:iCs w:val="0"/>
          <w:sz w:val="24"/>
          <w:szCs w:val="24"/>
        </w:rPr>
        <w:t>Adjusted hazard ratios for mortality under concordant grading, sensitivity analyses, pre-specified subgroups, and a time-stratified analysis (non-cardiac cohort).</w:t>
      </w:r>
    </w:p>
    <w:tbl>
      <w:tblPr>
        <w:tblStyle w:val="11"/>
        <w:tblW w:w="12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160"/>
        <w:gridCol w:w="1200"/>
        <w:gridCol w:w="2533"/>
        <w:gridCol w:w="2533"/>
        <w:gridCol w:w="2534"/>
      </w:tblGrid>
      <w:tr w14:paraId="0D99BD75">
        <w:trPr>
          <w:tblHeader/>
        </w:trPr>
        <w:tc>
          <w:tcPr>
            <w:tcW w:w="4160" w:type="dxa"/>
            <w:tcBorders>
              <w:top w:val="single" w:color="000000" w:sz="8" w:space="0"/>
              <w:left w:val="nil"/>
              <w:bottom w:val="single" w:color="000000" w:sz="4" w:space="0"/>
              <w:right w:val="nil"/>
            </w:tcBorders>
            <w:tcMar>
              <w:top w:w="30" w:type="dxa"/>
              <w:left w:w="80" w:type="dxa"/>
              <w:bottom w:w="30" w:type="dxa"/>
              <w:right w:w="80" w:type="dxa"/>
            </w:tcMar>
            <w:vAlign w:val="center"/>
          </w:tcPr>
          <w:p w14:paraId="34E8BE32">
            <w:pPr>
              <w:spacing w:after="0" w:line="240" w:lineRule="auto"/>
              <w:jc w:val="left"/>
            </w:pPr>
            <w:r>
              <w:rPr>
                <w:rFonts w:ascii="Times New Roman" w:hAnsi="Times New Roman" w:eastAsia="Times New Roman" w:cs="Times New Roman"/>
                <w:b/>
                <w:bCs/>
                <w:i w:val="0"/>
                <w:iCs w:val="0"/>
                <w:sz w:val="20"/>
                <w:szCs w:val="20"/>
              </w:rPr>
              <w:t>Analysis</w:t>
            </w:r>
          </w:p>
        </w:tc>
        <w:tc>
          <w:tcPr>
            <w:tcW w:w="1200" w:type="dxa"/>
            <w:tcBorders>
              <w:top w:val="single" w:color="000000" w:sz="8" w:space="0"/>
              <w:left w:val="nil"/>
              <w:bottom w:val="single" w:color="000000" w:sz="4" w:space="0"/>
              <w:right w:val="nil"/>
            </w:tcBorders>
            <w:tcMar>
              <w:top w:w="30" w:type="dxa"/>
              <w:left w:w="80" w:type="dxa"/>
              <w:bottom w:w="30" w:type="dxa"/>
              <w:right w:w="80" w:type="dxa"/>
            </w:tcMar>
            <w:vAlign w:val="center"/>
          </w:tcPr>
          <w:p w14:paraId="2BCC4F1F">
            <w:pPr>
              <w:spacing w:after="0" w:line="240" w:lineRule="auto"/>
              <w:jc w:val="center"/>
            </w:pPr>
            <w:r>
              <w:rPr>
                <w:rFonts w:ascii="Times New Roman" w:hAnsi="Times New Roman" w:eastAsia="Times New Roman" w:cs="Times New Roman"/>
                <w:b/>
                <w:bCs/>
                <w:i w:val="0"/>
                <w:iCs w:val="0"/>
                <w:sz w:val="20"/>
                <w:szCs w:val="20"/>
              </w:rPr>
              <w:t>n</w:t>
            </w:r>
          </w:p>
        </w:tc>
        <w:tc>
          <w:tcPr>
            <w:tcW w:w="2533" w:type="dxa"/>
            <w:tcBorders>
              <w:top w:val="single" w:color="000000" w:sz="8" w:space="0"/>
              <w:left w:val="nil"/>
              <w:bottom w:val="single" w:color="000000" w:sz="4" w:space="0"/>
              <w:right w:val="nil"/>
            </w:tcBorders>
            <w:tcMar>
              <w:top w:w="30" w:type="dxa"/>
              <w:left w:w="80" w:type="dxa"/>
              <w:bottom w:w="30" w:type="dxa"/>
              <w:right w:w="80" w:type="dxa"/>
            </w:tcMar>
            <w:vAlign w:val="center"/>
          </w:tcPr>
          <w:p w14:paraId="2CD3EE7E">
            <w:pPr>
              <w:spacing w:after="0" w:line="240" w:lineRule="auto"/>
              <w:jc w:val="center"/>
            </w:pPr>
            <w:r>
              <w:rPr>
                <w:rFonts w:ascii="Times New Roman" w:hAnsi="Times New Roman" w:eastAsia="Times New Roman" w:cs="Times New Roman"/>
                <w:b/>
                <w:bCs/>
                <w:i w:val="0"/>
                <w:iCs w:val="0"/>
                <w:sz w:val="20"/>
                <w:szCs w:val="20"/>
              </w:rPr>
              <w:t>Aortic sclerosis</w:t>
            </w:r>
          </w:p>
          <w:p w14:paraId="503CC6F1">
            <w:pPr>
              <w:spacing w:after="0" w:line="240" w:lineRule="auto"/>
              <w:jc w:val="center"/>
            </w:pPr>
            <w:r>
              <w:rPr>
                <w:rFonts w:ascii="Times New Roman" w:hAnsi="Times New Roman" w:eastAsia="Times New Roman" w:cs="Times New Roman"/>
                <w:b/>
                <w:bCs/>
                <w:i w:val="0"/>
                <w:iCs w:val="0"/>
                <w:sz w:val="20"/>
                <w:szCs w:val="20"/>
              </w:rPr>
              <w:t>(95% CI)</w:t>
            </w:r>
          </w:p>
        </w:tc>
        <w:tc>
          <w:tcPr>
            <w:tcW w:w="2533" w:type="dxa"/>
            <w:tcBorders>
              <w:top w:val="single" w:color="000000" w:sz="8" w:space="0"/>
              <w:left w:val="nil"/>
              <w:bottom w:val="single" w:color="000000" w:sz="4" w:space="0"/>
              <w:right w:val="nil"/>
            </w:tcBorders>
            <w:tcMar>
              <w:top w:w="30" w:type="dxa"/>
              <w:left w:w="80" w:type="dxa"/>
              <w:bottom w:w="30" w:type="dxa"/>
              <w:right w:w="80" w:type="dxa"/>
            </w:tcMar>
            <w:vAlign w:val="center"/>
          </w:tcPr>
          <w:p w14:paraId="7B7C5AF8">
            <w:pPr>
              <w:spacing w:after="0" w:line="240" w:lineRule="auto"/>
              <w:jc w:val="center"/>
            </w:pPr>
            <w:r>
              <w:rPr>
                <w:rFonts w:ascii="Times New Roman" w:hAnsi="Times New Roman" w:eastAsia="Times New Roman" w:cs="Times New Roman"/>
                <w:b/>
                <w:bCs/>
                <w:i w:val="0"/>
                <w:iCs w:val="0"/>
                <w:sz w:val="20"/>
                <w:szCs w:val="20"/>
              </w:rPr>
              <w:t>Moderate stenosis</w:t>
            </w:r>
          </w:p>
          <w:p w14:paraId="5CF7A46A">
            <w:pPr>
              <w:spacing w:after="0" w:line="240" w:lineRule="auto"/>
              <w:jc w:val="center"/>
            </w:pPr>
            <w:r>
              <w:rPr>
                <w:rFonts w:ascii="Times New Roman" w:hAnsi="Times New Roman" w:eastAsia="Times New Roman" w:cs="Times New Roman"/>
                <w:b/>
                <w:bCs/>
                <w:i w:val="0"/>
                <w:iCs w:val="0"/>
                <w:sz w:val="20"/>
                <w:szCs w:val="20"/>
              </w:rPr>
              <w:t>(95% CI)</w:t>
            </w:r>
          </w:p>
        </w:tc>
        <w:tc>
          <w:tcPr>
            <w:tcW w:w="2534" w:type="dxa"/>
            <w:tcBorders>
              <w:top w:val="single" w:color="000000" w:sz="8" w:space="0"/>
              <w:left w:val="nil"/>
              <w:bottom w:val="single" w:color="000000" w:sz="4" w:space="0"/>
              <w:right w:val="nil"/>
            </w:tcBorders>
            <w:tcMar>
              <w:top w:w="30" w:type="dxa"/>
              <w:left w:w="80" w:type="dxa"/>
              <w:bottom w:w="30" w:type="dxa"/>
              <w:right w:w="80" w:type="dxa"/>
            </w:tcMar>
            <w:vAlign w:val="center"/>
          </w:tcPr>
          <w:p w14:paraId="0A104641">
            <w:pPr>
              <w:spacing w:after="0" w:line="240" w:lineRule="auto"/>
              <w:jc w:val="center"/>
            </w:pPr>
            <w:r>
              <w:rPr>
                <w:rFonts w:ascii="Times New Roman" w:hAnsi="Times New Roman" w:eastAsia="Times New Roman" w:cs="Times New Roman"/>
                <w:b/>
                <w:bCs/>
                <w:i w:val="0"/>
                <w:iCs w:val="0"/>
                <w:sz w:val="20"/>
                <w:szCs w:val="20"/>
              </w:rPr>
              <w:t>Severe stenosis</w:t>
            </w:r>
          </w:p>
          <w:p w14:paraId="6480DCB9">
            <w:pPr>
              <w:spacing w:after="0" w:line="240" w:lineRule="auto"/>
              <w:jc w:val="center"/>
            </w:pPr>
            <w:r>
              <w:rPr>
                <w:rFonts w:ascii="Times New Roman" w:hAnsi="Times New Roman" w:eastAsia="Times New Roman" w:cs="Times New Roman"/>
                <w:b/>
                <w:bCs/>
                <w:i w:val="0"/>
                <w:iCs w:val="0"/>
                <w:sz w:val="20"/>
                <w:szCs w:val="20"/>
              </w:rPr>
              <w:t>(95% CI)</w:t>
            </w:r>
          </w:p>
        </w:tc>
      </w:tr>
      <w:tr w14:paraId="388E13C7">
        <w:tc>
          <w:tcPr>
            <w:tcW w:w="12960" w:type="dxa"/>
            <w:gridSpan w:val="5"/>
            <w:tcBorders>
              <w:top w:val="nil"/>
              <w:left w:val="nil"/>
              <w:bottom w:val="nil"/>
              <w:right w:val="nil"/>
            </w:tcBorders>
            <w:tcMar>
              <w:top w:w="30" w:type="dxa"/>
              <w:left w:w="80" w:type="dxa"/>
              <w:bottom w:w="30" w:type="dxa"/>
              <w:right w:w="80" w:type="dxa"/>
            </w:tcMar>
            <w:vAlign w:val="center"/>
          </w:tcPr>
          <w:p w14:paraId="2FF1CBB9">
            <w:pPr>
              <w:spacing w:after="0" w:line="240" w:lineRule="auto"/>
              <w:jc w:val="left"/>
            </w:pPr>
            <w:r>
              <w:rPr>
                <w:rFonts w:ascii="Times New Roman" w:hAnsi="Times New Roman" w:eastAsia="Times New Roman" w:cs="Times New Roman"/>
                <w:b/>
                <w:bCs/>
                <w:i/>
                <w:iCs/>
                <w:sz w:val="20"/>
                <w:szCs w:val="20"/>
              </w:rPr>
              <w:t>Concordant velocity–gradient grading (90-day mortality, HR)</w:t>
            </w:r>
          </w:p>
        </w:tc>
      </w:tr>
      <w:tr w14:paraId="292E07A3">
        <w:tc>
          <w:tcPr>
            <w:tcW w:w="4160" w:type="dxa"/>
            <w:tcBorders>
              <w:top w:val="nil"/>
              <w:left w:val="nil"/>
              <w:bottom w:val="nil"/>
              <w:right w:val="nil"/>
            </w:tcBorders>
            <w:tcMar>
              <w:top w:w="30" w:type="dxa"/>
              <w:left w:w="80" w:type="dxa"/>
              <w:bottom w:w="30" w:type="dxa"/>
              <w:right w:w="80" w:type="dxa"/>
            </w:tcMar>
            <w:vAlign w:val="center"/>
          </w:tcPr>
          <w:p w14:paraId="2C105091">
            <w:pPr>
              <w:spacing w:after="0" w:line="240" w:lineRule="auto"/>
              <w:jc w:val="left"/>
            </w:pPr>
            <w:r>
              <w:rPr>
                <w:rFonts w:ascii="Times New Roman" w:hAnsi="Times New Roman" w:eastAsia="Times New Roman" w:cs="Times New Roman"/>
                <w:b w:val="0"/>
                <w:bCs w:val="0"/>
                <w:i w:val="0"/>
                <w:iCs w:val="0"/>
                <w:sz w:val="20"/>
                <w:szCs w:val="20"/>
              </w:rPr>
              <w:t>Gradient-available stratum</w:t>
            </w:r>
          </w:p>
        </w:tc>
        <w:tc>
          <w:tcPr>
            <w:tcW w:w="1200" w:type="dxa"/>
            <w:tcBorders>
              <w:top w:val="nil"/>
              <w:left w:val="nil"/>
              <w:bottom w:val="nil"/>
              <w:right w:val="nil"/>
            </w:tcBorders>
            <w:tcMar>
              <w:top w:w="30" w:type="dxa"/>
              <w:left w:w="80" w:type="dxa"/>
              <w:bottom w:w="30" w:type="dxa"/>
              <w:right w:w="80" w:type="dxa"/>
            </w:tcMar>
            <w:vAlign w:val="center"/>
          </w:tcPr>
          <w:p w14:paraId="3755A57D">
            <w:pPr>
              <w:spacing w:after="0" w:line="240" w:lineRule="auto"/>
              <w:jc w:val="center"/>
            </w:pPr>
            <w:r>
              <w:rPr>
                <w:rFonts w:ascii="Times New Roman" w:hAnsi="Times New Roman" w:eastAsia="Times New Roman" w:cs="Times New Roman"/>
                <w:b w:val="0"/>
                <w:bCs w:val="0"/>
                <w:i w:val="0"/>
                <w:iCs w:val="0"/>
                <w:sz w:val="20"/>
                <w:szCs w:val="20"/>
              </w:rPr>
              <w:t>857</w:t>
            </w:r>
          </w:p>
        </w:tc>
        <w:tc>
          <w:tcPr>
            <w:tcW w:w="2533" w:type="dxa"/>
            <w:tcBorders>
              <w:top w:val="nil"/>
              <w:left w:val="nil"/>
              <w:bottom w:val="nil"/>
              <w:right w:val="nil"/>
            </w:tcBorders>
            <w:tcMar>
              <w:top w:w="30" w:type="dxa"/>
              <w:left w:w="80" w:type="dxa"/>
              <w:bottom w:w="30" w:type="dxa"/>
              <w:right w:w="80" w:type="dxa"/>
            </w:tcMar>
            <w:vAlign w:val="center"/>
          </w:tcPr>
          <w:p w14:paraId="4389BEF4">
            <w:pPr>
              <w:spacing w:after="0" w:line="240" w:lineRule="auto"/>
              <w:jc w:val="center"/>
            </w:pPr>
            <w:r>
              <w:rPr>
                <w:rFonts w:ascii="Times New Roman" w:hAnsi="Times New Roman" w:eastAsia="Times New Roman" w:cs="Times New Roman"/>
                <w:b w:val="0"/>
                <w:bCs w:val="0"/>
                <w:i w:val="0"/>
                <w:iCs w:val="0"/>
                <w:sz w:val="20"/>
                <w:szCs w:val="20"/>
              </w:rPr>
              <w:t>—</w:t>
            </w:r>
          </w:p>
        </w:tc>
        <w:tc>
          <w:tcPr>
            <w:tcW w:w="2533" w:type="dxa"/>
            <w:tcBorders>
              <w:top w:val="nil"/>
              <w:left w:val="nil"/>
              <w:bottom w:val="nil"/>
              <w:right w:val="nil"/>
            </w:tcBorders>
            <w:tcMar>
              <w:top w:w="30" w:type="dxa"/>
              <w:left w:w="80" w:type="dxa"/>
              <w:bottom w:w="30" w:type="dxa"/>
              <w:right w:w="80" w:type="dxa"/>
            </w:tcMar>
            <w:vAlign w:val="center"/>
          </w:tcPr>
          <w:p w14:paraId="458EE1BE">
            <w:pPr>
              <w:spacing w:after="0" w:line="240" w:lineRule="auto"/>
              <w:jc w:val="center"/>
            </w:pPr>
            <w:r>
              <w:rPr>
                <w:rFonts w:ascii="Times New Roman" w:hAnsi="Times New Roman" w:eastAsia="Times New Roman" w:cs="Times New Roman"/>
                <w:b w:val="0"/>
                <w:bCs w:val="0"/>
                <w:i w:val="0"/>
                <w:iCs w:val="0"/>
                <w:sz w:val="20"/>
                <w:szCs w:val="20"/>
              </w:rPr>
              <w:t>1.29 (1.00–1.67)</w:t>
            </w:r>
          </w:p>
        </w:tc>
        <w:tc>
          <w:tcPr>
            <w:tcW w:w="2534" w:type="dxa"/>
            <w:tcBorders>
              <w:top w:val="nil"/>
              <w:left w:val="nil"/>
              <w:bottom w:val="nil"/>
              <w:right w:val="nil"/>
            </w:tcBorders>
            <w:tcMar>
              <w:top w:w="30" w:type="dxa"/>
              <w:left w:w="80" w:type="dxa"/>
              <w:bottom w:w="30" w:type="dxa"/>
              <w:right w:w="80" w:type="dxa"/>
            </w:tcMar>
            <w:vAlign w:val="center"/>
          </w:tcPr>
          <w:p w14:paraId="07C58AAF">
            <w:pPr>
              <w:spacing w:after="0" w:line="240" w:lineRule="auto"/>
              <w:jc w:val="center"/>
            </w:pPr>
            <w:r>
              <w:rPr>
                <w:rFonts w:ascii="Times New Roman" w:hAnsi="Times New Roman" w:eastAsia="Times New Roman" w:cs="Times New Roman"/>
                <w:b w:val="0"/>
                <w:bCs w:val="0"/>
                <w:i w:val="0"/>
                <w:iCs w:val="0"/>
                <w:sz w:val="20"/>
                <w:szCs w:val="20"/>
              </w:rPr>
              <w:t>1.51 (1.09–2.09)</w:t>
            </w:r>
          </w:p>
        </w:tc>
      </w:tr>
      <w:tr w14:paraId="690515D7">
        <w:tc>
          <w:tcPr>
            <w:tcW w:w="4160" w:type="dxa"/>
            <w:tcBorders>
              <w:top w:val="nil"/>
              <w:left w:val="nil"/>
              <w:bottom w:val="nil"/>
              <w:right w:val="nil"/>
            </w:tcBorders>
            <w:tcMar>
              <w:top w:w="30" w:type="dxa"/>
              <w:left w:w="80" w:type="dxa"/>
              <w:bottom w:w="30" w:type="dxa"/>
              <w:right w:w="80" w:type="dxa"/>
            </w:tcMar>
            <w:vAlign w:val="center"/>
          </w:tcPr>
          <w:p w14:paraId="408365D3">
            <w:pPr>
              <w:spacing w:after="0" w:line="240" w:lineRule="auto"/>
              <w:jc w:val="left"/>
            </w:pPr>
            <w:r>
              <w:rPr>
                <w:rFonts w:ascii="Times New Roman" w:hAnsi="Times New Roman" w:eastAsia="Times New Roman" w:cs="Times New Roman"/>
                <w:b w:val="0"/>
                <w:bCs w:val="0"/>
                <w:i w:val="0"/>
                <w:iCs w:val="0"/>
                <w:sz w:val="20"/>
                <w:szCs w:val="20"/>
              </w:rPr>
              <w:t>Full no-stenosis reference</w:t>
            </w:r>
          </w:p>
        </w:tc>
        <w:tc>
          <w:tcPr>
            <w:tcW w:w="1200" w:type="dxa"/>
            <w:tcBorders>
              <w:top w:val="nil"/>
              <w:left w:val="nil"/>
              <w:bottom w:val="nil"/>
              <w:right w:val="nil"/>
            </w:tcBorders>
            <w:tcMar>
              <w:top w:w="30" w:type="dxa"/>
              <w:left w:w="80" w:type="dxa"/>
              <w:bottom w:w="30" w:type="dxa"/>
              <w:right w:w="80" w:type="dxa"/>
            </w:tcMar>
            <w:vAlign w:val="center"/>
          </w:tcPr>
          <w:p w14:paraId="04AFEF2B">
            <w:pPr>
              <w:spacing w:after="0" w:line="240" w:lineRule="auto"/>
              <w:jc w:val="center"/>
            </w:pPr>
            <w:r>
              <w:rPr>
                <w:rFonts w:ascii="Times New Roman" w:hAnsi="Times New Roman" w:eastAsia="Times New Roman" w:cs="Times New Roman"/>
                <w:b w:val="0"/>
                <w:bCs w:val="0"/>
                <w:i w:val="0"/>
                <w:iCs w:val="0"/>
                <w:sz w:val="20"/>
                <w:szCs w:val="20"/>
              </w:rPr>
              <w:t>10,988</w:t>
            </w:r>
          </w:p>
        </w:tc>
        <w:tc>
          <w:tcPr>
            <w:tcW w:w="2533" w:type="dxa"/>
            <w:tcBorders>
              <w:top w:val="nil"/>
              <w:left w:val="nil"/>
              <w:bottom w:val="nil"/>
              <w:right w:val="nil"/>
            </w:tcBorders>
            <w:tcMar>
              <w:top w:w="30" w:type="dxa"/>
              <w:left w:w="80" w:type="dxa"/>
              <w:bottom w:w="30" w:type="dxa"/>
              <w:right w:w="80" w:type="dxa"/>
            </w:tcMar>
            <w:vAlign w:val="center"/>
          </w:tcPr>
          <w:p w14:paraId="78174370">
            <w:pPr>
              <w:spacing w:after="0" w:line="240" w:lineRule="auto"/>
              <w:jc w:val="center"/>
            </w:pPr>
            <w:r>
              <w:rPr>
                <w:rFonts w:ascii="Times New Roman" w:hAnsi="Times New Roman" w:eastAsia="Times New Roman" w:cs="Times New Roman"/>
                <w:b w:val="0"/>
                <w:bCs w:val="0"/>
                <w:i w:val="0"/>
                <w:iCs w:val="0"/>
                <w:sz w:val="20"/>
                <w:szCs w:val="20"/>
              </w:rPr>
              <w:t>—</w:t>
            </w:r>
          </w:p>
        </w:tc>
        <w:tc>
          <w:tcPr>
            <w:tcW w:w="2533" w:type="dxa"/>
            <w:tcBorders>
              <w:top w:val="nil"/>
              <w:left w:val="nil"/>
              <w:bottom w:val="nil"/>
              <w:right w:val="nil"/>
            </w:tcBorders>
            <w:tcMar>
              <w:top w:w="30" w:type="dxa"/>
              <w:left w:w="80" w:type="dxa"/>
              <w:bottom w:w="30" w:type="dxa"/>
              <w:right w:w="80" w:type="dxa"/>
            </w:tcMar>
            <w:vAlign w:val="center"/>
          </w:tcPr>
          <w:p w14:paraId="66ACD7FE">
            <w:pPr>
              <w:spacing w:after="0" w:line="240" w:lineRule="auto"/>
              <w:jc w:val="center"/>
            </w:pPr>
            <w:r>
              <w:rPr>
                <w:rFonts w:ascii="Times New Roman" w:hAnsi="Times New Roman" w:eastAsia="Times New Roman" w:cs="Times New Roman"/>
                <w:b w:val="0"/>
                <w:bCs w:val="0"/>
                <w:i w:val="0"/>
                <w:iCs w:val="0"/>
                <w:sz w:val="20"/>
                <w:szCs w:val="20"/>
              </w:rPr>
              <w:t>1.36 (1.15–1.61)</w:t>
            </w:r>
          </w:p>
        </w:tc>
        <w:tc>
          <w:tcPr>
            <w:tcW w:w="2534" w:type="dxa"/>
            <w:tcBorders>
              <w:top w:val="nil"/>
              <w:left w:val="nil"/>
              <w:bottom w:val="nil"/>
              <w:right w:val="nil"/>
            </w:tcBorders>
            <w:tcMar>
              <w:top w:w="30" w:type="dxa"/>
              <w:left w:w="80" w:type="dxa"/>
              <w:bottom w:w="30" w:type="dxa"/>
              <w:right w:w="80" w:type="dxa"/>
            </w:tcMar>
            <w:vAlign w:val="center"/>
          </w:tcPr>
          <w:p w14:paraId="14C166A5">
            <w:pPr>
              <w:spacing w:after="0" w:line="240" w:lineRule="auto"/>
              <w:jc w:val="center"/>
            </w:pPr>
            <w:r>
              <w:rPr>
                <w:rFonts w:ascii="Times New Roman" w:hAnsi="Times New Roman" w:eastAsia="Times New Roman" w:cs="Times New Roman"/>
                <w:b w:val="0"/>
                <w:bCs w:val="0"/>
                <w:i w:val="0"/>
                <w:iCs w:val="0"/>
                <w:sz w:val="20"/>
                <w:szCs w:val="20"/>
              </w:rPr>
              <w:t>1.63 (1.27–2.09)</w:t>
            </w:r>
          </w:p>
        </w:tc>
      </w:tr>
      <w:tr w14:paraId="7E4FDD64">
        <w:tc>
          <w:tcPr>
            <w:tcW w:w="12960" w:type="dxa"/>
            <w:gridSpan w:val="5"/>
            <w:tcBorders>
              <w:top w:val="nil"/>
              <w:left w:val="nil"/>
              <w:bottom w:val="nil"/>
              <w:right w:val="nil"/>
            </w:tcBorders>
            <w:tcMar>
              <w:top w:w="30" w:type="dxa"/>
              <w:left w:w="80" w:type="dxa"/>
              <w:bottom w:w="30" w:type="dxa"/>
              <w:right w:w="80" w:type="dxa"/>
            </w:tcMar>
            <w:vAlign w:val="center"/>
          </w:tcPr>
          <w:p w14:paraId="5C92A915">
            <w:pPr>
              <w:spacing w:after="0" w:line="240" w:lineRule="auto"/>
              <w:jc w:val="left"/>
            </w:pPr>
            <w:r>
              <w:rPr>
                <w:rFonts w:ascii="Times New Roman" w:hAnsi="Times New Roman" w:eastAsia="Times New Roman" w:cs="Times New Roman"/>
                <w:b/>
                <w:bCs/>
                <w:i/>
                <w:iCs/>
                <w:sz w:val="20"/>
                <w:szCs w:val="20"/>
              </w:rPr>
              <w:t>Sensitivity analyses (90-day mortality, HR)</w:t>
            </w:r>
          </w:p>
        </w:tc>
      </w:tr>
      <w:tr w14:paraId="56D0AFC5">
        <w:tc>
          <w:tcPr>
            <w:tcW w:w="4160" w:type="dxa"/>
            <w:tcBorders>
              <w:top w:val="nil"/>
              <w:left w:val="nil"/>
              <w:bottom w:val="nil"/>
              <w:right w:val="nil"/>
            </w:tcBorders>
            <w:tcMar>
              <w:top w:w="30" w:type="dxa"/>
              <w:left w:w="80" w:type="dxa"/>
              <w:bottom w:w="30" w:type="dxa"/>
              <w:right w:w="80" w:type="dxa"/>
            </w:tcMar>
            <w:vAlign w:val="center"/>
          </w:tcPr>
          <w:p w14:paraId="7F1A38F1">
            <w:pPr>
              <w:spacing w:after="0" w:line="240" w:lineRule="auto"/>
              <w:jc w:val="left"/>
            </w:pPr>
            <w:r>
              <w:rPr>
                <w:rFonts w:ascii="Times New Roman" w:hAnsi="Times New Roman" w:eastAsia="Times New Roman" w:cs="Times New Roman"/>
                <w:b w:val="0"/>
                <w:bCs w:val="0"/>
                <w:i w:val="0"/>
                <w:iCs w:val="0"/>
                <w:sz w:val="20"/>
                <w:szCs w:val="20"/>
              </w:rPr>
              <w:t>Parsimonious model (age, sex, SOFA, Charlson)</w:t>
            </w:r>
          </w:p>
        </w:tc>
        <w:tc>
          <w:tcPr>
            <w:tcW w:w="1200" w:type="dxa"/>
            <w:tcBorders>
              <w:top w:val="nil"/>
              <w:left w:val="nil"/>
              <w:bottom w:val="nil"/>
              <w:right w:val="nil"/>
            </w:tcBorders>
            <w:tcMar>
              <w:top w:w="30" w:type="dxa"/>
              <w:left w:w="80" w:type="dxa"/>
              <w:bottom w:w="30" w:type="dxa"/>
              <w:right w:w="80" w:type="dxa"/>
            </w:tcMar>
            <w:vAlign w:val="center"/>
          </w:tcPr>
          <w:p w14:paraId="51D8A781">
            <w:pPr>
              <w:spacing w:after="0" w:line="240" w:lineRule="auto"/>
              <w:jc w:val="center"/>
            </w:pPr>
            <w:r>
              <w:rPr>
                <w:rFonts w:ascii="Times New Roman" w:hAnsi="Times New Roman" w:eastAsia="Times New Roman" w:cs="Times New Roman"/>
                <w:b w:val="0"/>
                <w:bCs w:val="0"/>
                <w:i w:val="0"/>
                <w:iCs w:val="0"/>
                <w:sz w:val="20"/>
                <w:szCs w:val="20"/>
              </w:rPr>
              <w:t>12,878</w:t>
            </w:r>
          </w:p>
        </w:tc>
        <w:tc>
          <w:tcPr>
            <w:tcW w:w="2533" w:type="dxa"/>
            <w:tcBorders>
              <w:top w:val="nil"/>
              <w:left w:val="nil"/>
              <w:bottom w:val="nil"/>
              <w:right w:val="nil"/>
            </w:tcBorders>
            <w:tcMar>
              <w:top w:w="30" w:type="dxa"/>
              <w:left w:w="80" w:type="dxa"/>
              <w:bottom w:w="30" w:type="dxa"/>
              <w:right w:w="80" w:type="dxa"/>
            </w:tcMar>
            <w:vAlign w:val="center"/>
          </w:tcPr>
          <w:p w14:paraId="17955FCF">
            <w:pPr>
              <w:spacing w:after="0" w:line="240" w:lineRule="auto"/>
              <w:jc w:val="center"/>
            </w:pPr>
            <w:r>
              <w:rPr>
                <w:rFonts w:ascii="Times New Roman" w:hAnsi="Times New Roman" w:eastAsia="Times New Roman" w:cs="Times New Roman"/>
                <w:b w:val="0"/>
                <w:bCs w:val="0"/>
                <w:i w:val="0"/>
                <w:iCs w:val="0"/>
                <w:sz w:val="20"/>
                <w:szCs w:val="20"/>
              </w:rPr>
              <w:t>1.10 (1.01–1.20)</w:t>
            </w:r>
          </w:p>
        </w:tc>
        <w:tc>
          <w:tcPr>
            <w:tcW w:w="2533" w:type="dxa"/>
            <w:tcBorders>
              <w:top w:val="nil"/>
              <w:left w:val="nil"/>
              <w:bottom w:val="nil"/>
              <w:right w:val="nil"/>
            </w:tcBorders>
            <w:tcMar>
              <w:top w:w="30" w:type="dxa"/>
              <w:left w:w="80" w:type="dxa"/>
              <w:bottom w:w="30" w:type="dxa"/>
              <w:right w:w="80" w:type="dxa"/>
            </w:tcMar>
            <w:vAlign w:val="center"/>
          </w:tcPr>
          <w:p w14:paraId="71396E70">
            <w:pPr>
              <w:spacing w:after="0" w:line="240" w:lineRule="auto"/>
              <w:jc w:val="center"/>
            </w:pPr>
            <w:r>
              <w:rPr>
                <w:rFonts w:ascii="Times New Roman" w:hAnsi="Times New Roman" w:eastAsia="Times New Roman" w:cs="Times New Roman"/>
                <w:b w:val="0"/>
                <w:bCs w:val="0"/>
                <w:i w:val="0"/>
                <w:iCs w:val="0"/>
                <w:sz w:val="20"/>
                <w:szCs w:val="20"/>
              </w:rPr>
              <w:t>1.22 (1.05–1.43)</w:t>
            </w:r>
          </w:p>
        </w:tc>
        <w:tc>
          <w:tcPr>
            <w:tcW w:w="2534" w:type="dxa"/>
            <w:tcBorders>
              <w:top w:val="nil"/>
              <w:left w:val="nil"/>
              <w:bottom w:val="nil"/>
              <w:right w:val="nil"/>
            </w:tcBorders>
            <w:tcMar>
              <w:top w:w="30" w:type="dxa"/>
              <w:left w:w="80" w:type="dxa"/>
              <w:bottom w:w="30" w:type="dxa"/>
              <w:right w:w="80" w:type="dxa"/>
            </w:tcMar>
            <w:vAlign w:val="center"/>
          </w:tcPr>
          <w:p w14:paraId="0B8C1BEC">
            <w:pPr>
              <w:spacing w:after="0" w:line="240" w:lineRule="auto"/>
              <w:jc w:val="center"/>
            </w:pPr>
            <w:r>
              <w:rPr>
                <w:rFonts w:ascii="Times New Roman" w:hAnsi="Times New Roman" w:eastAsia="Times New Roman" w:cs="Times New Roman"/>
                <w:b w:val="0"/>
                <w:bCs w:val="0"/>
                <w:i w:val="0"/>
                <w:iCs w:val="0"/>
                <w:sz w:val="20"/>
                <w:szCs w:val="20"/>
              </w:rPr>
              <w:t>1.50 (1.19–1.90)</w:t>
            </w:r>
          </w:p>
        </w:tc>
      </w:tr>
      <w:tr w14:paraId="1E3F8459">
        <w:tc>
          <w:tcPr>
            <w:tcW w:w="4160" w:type="dxa"/>
            <w:tcBorders>
              <w:top w:val="nil"/>
              <w:left w:val="nil"/>
              <w:bottom w:val="nil"/>
              <w:right w:val="nil"/>
            </w:tcBorders>
            <w:tcMar>
              <w:top w:w="30" w:type="dxa"/>
              <w:left w:w="80" w:type="dxa"/>
              <w:bottom w:w="30" w:type="dxa"/>
              <w:right w:w="80" w:type="dxa"/>
            </w:tcMar>
            <w:vAlign w:val="center"/>
          </w:tcPr>
          <w:p w14:paraId="12FE411B">
            <w:pPr>
              <w:spacing w:after="0" w:line="240" w:lineRule="auto"/>
              <w:jc w:val="left"/>
            </w:pPr>
            <w:r>
              <w:rPr>
                <w:rFonts w:ascii="Times New Roman" w:hAnsi="Times New Roman" w:eastAsia="Times New Roman" w:cs="Times New Roman"/>
                <w:b w:val="0"/>
                <w:bCs w:val="0"/>
                <w:i w:val="0"/>
                <w:iCs w:val="0"/>
                <w:sz w:val="20"/>
                <w:szCs w:val="20"/>
              </w:rPr>
              <w:t>Adjusted for heart failure</w:t>
            </w:r>
          </w:p>
        </w:tc>
        <w:tc>
          <w:tcPr>
            <w:tcW w:w="1200" w:type="dxa"/>
            <w:tcBorders>
              <w:top w:val="nil"/>
              <w:left w:val="nil"/>
              <w:bottom w:val="nil"/>
              <w:right w:val="nil"/>
            </w:tcBorders>
            <w:tcMar>
              <w:top w:w="30" w:type="dxa"/>
              <w:left w:w="80" w:type="dxa"/>
              <w:bottom w:w="30" w:type="dxa"/>
              <w:right w:w="80" w:type="dxa"/>
            </w:tcMar>
            <w:vAlign w:val="center"/>
          </w:tcPr>
          <w:p w14:paraId="33F9AC88">
            <w:pPr>
              <w:spacing w:after="0" w:line="240" w:lineRule="auto"/>
              <w:jc w:val="center"/>
            </w:pPr>
            <w:r>
              <w:rPr>
                <w:rFonts w:ascii="Times New Roman" w:hAnsi="Times New Roman" w:eastAsia="Times New Roman" w:cs="Times New Roman"/>
                <w:b w:val="0"/>
                <w:bCs w:val="0"/>
                <w:i w:val="0"/>
                <w:iCs w:val="0"/>
                <w:sz w:val="20"/>
                <w:szCs w:val="20"/>
              </w:rPr>
              <w:t>12,878</w:t>
            </w:r>
          </w:p>
        </w:tc>
        <w:tc>
          <w:tcPr>
            <w:tcW w:w="2533" w:type="dxa"/>
            <w:tcBorders>
              <w:top w:val="nil"/>
              <w:left w:val="nil"/>
              <w:bottom w:val="nil"/>
              <w:right w:val="nil"/>
            </w:tcBorders>
            <w:tcMar>
              <w:top w:w="30" w:type="dxa"/>
              <w:left w:w="80" w:type="dxa"/>
              <w:bottom w:w="30" w:type="dxa"/>
              <w:right w:w="80" w:type="dxa"/>
            </w:tcMar>
            <w:vAlign w:val="center"/>
          </w:tcPr>
          <w:p w14:paraId="56CB24C3">
            <w:pPr>
              <w:spacing w:after="0" w:line="240" w:lineRule="auto"/>
              <w:jc w:val="center"/>
            </w:pPr>
            <w:r>
              <w:rPr>
                <w:rFonts w:ascii="Times New Roman" w:hAnsi="Times New Roman" w:eastAsia="Times New Roman" w:cs="Times New Roman"/>
                <w:b w:val="0"/>
                <w:bCs w:val="0"/>
                <w:i w:val="0"/>
                <w:iCs w:val="0"/>
                <w:sz w:val="20"/>
                <w:szCs w:val="20"/>
              </w:rPr>
              <w:t>1.17 (1.07–1.28)</w:t>
            </w:r>
          </w:p>
        </w:tc>
        <w:tc>
          <w:tcPr>
            <w:tcW w:w="2533" w:type="dxa"/>
            <w:tcBorders>
              <w:top w:val="nil"/>
              <w:left w:val="nil"/>
              <w:bottom w:val="nil"/>
              <w:right w:val="nil"/>
            </w:tcBorders>
            <w:tcMar>
              <w:top w:w="30" w:type="dxa"/>
              <w:left w:w="80" w:type="dxa"/>
              <w:bottom w:w="30" w:type="dxa"/>
              <w:right w:w="80" w:type="dxa"/>
            </w:tcMar>
            <w:vAlign w:val="center"/>
          </w:tcPr>
          <w:p w14:paraId="69C01BCF">
            <w:pPr>
              <w:spacing w:after="0" w:line="240" w:lineRule="auto"/>
              <w:jc w:val="center"/>
            </w:pPr>
            <w:r>
              <w:rPr>
                <w:rFonts w:ascii="Times New Roman" w:hAnsi="Times New Roman" w:eastAsia="Times New Roman" w:cs="Times New Roman"/>
                <w:b w:val="0"/>
                <w:bCs w:val="0"/>
                <w:i w:val="0"/>
                <w:iCs w:val="0"/>
                <w:sz w:val="20"/>
                <w:szCs w:val="20"/>
              </w:rPr>
              <w:t>1.35 (1.15–1.58)</w:t>
            </w:r>
          </w:p>
        </w:tc>
        <w:tc>
          <w:tcPr>
            <w:tcW w:w="2534" w:type="dxa"/>
            <w:tcBorders>
              <w:top w:val="nil"/>
              <w:left w:val="nil"/>
              <w:bottom w:val="nil"/>
              <w:right w:val="nil"/>
            </w:tcBorders>
            <w:tcMar>
              <w:top w:w="30" w:type="dxa"/>
              <w:left w:w="80" w:type="dxa"/>
              <w:bottom w:w="30" w:type="dxa"/>
              <w:right w:w="80" w:type="dxa"/>
            </w:tcMar>
            <w:vAlign w:val="center"/>
          </w:tcPr>
          <w:p w14:paraId="390D2428">
            <w:pPr>
              <w:spacing w:after="0" w:line="240" w:lineRule="auto"/>
              <w:jc w:val="center"/>
            </w:pPr>
            <w:r>
              <w:rPr>
                <w:rFonts w:ascii="Times New Roman" w:hAnsi="Times New Roman" w:eastAsia="Times New Roman" w:cs="Times New Roman"/>
                <w:b w:val="0"/>
                <w:bCs w:val="0"/>
                <w:i w:val="0"/>
                <w:iCs w:val="0"/>
                <w:sz w:val="20"/>
                <w:szCs w:val="20"/>
              </w:rPr>
              <w:t>1.62 (1.28–2.05)</w:t>
            </w:r>
          </w:p>
        </w:tc>
      </w:tr>
      <w:tr w14:paraId="2D9BA01D">
        <w:tc>
          <w:tcPr>
            <w:tcW w:w="4160" w:type="dxa"/>
            <w:tcBorders>
              <w:top w:val="nil"/>
              <w:left w:val="nil"/>
              <w:bottom w:val="nil"/>
              <w:right w:val="nil"/>
            </w:tcBorders>
            <w:tcMar>
              <w:top w:w="30" w:type="dxa"/>
              <w:left w:w="80" w:type="dxa"/>
              <w:bottom w:w="30" w:type="dxa"/>
              <w:right w:w="80" w:type="dxa"/>
            </w:tcMar>
            <w:vAlign w:val="center"/>
          </w:tcPr>
          <w:p w14:paraId="44D13244">
            <w:pPr>
              <w:spacing w:after="0" w:line="240" w:lineRule="auto"/>
              <w:jc w:val="left"/>
            </w:pPr>
            <w:r>
              <w:rPr>
                <w:rFonts w:ascii="Times New Roman" w:hAnsi="Times New Roman" w:eastAsia="Times New Roman" w:cs="Times New Roman"/>
                <w:b w:val="0"/>
                <w:bCs w:val="0"/>
                <w:i w:val="0"/>
                <w:iCs w:val="0"/>
                <w:sz w:val="20"/>
                <w:szCs w:val="20"/>
              </w:rPr>
              <w:t>Adjusted for heart failure and ejection fraction</w:t>
            </w:r>
          </w:p>
        </w:tc>
        <w:tc>
          <w:tcPr>
            <w:tcW w:w="1200" w:type="dxa"/>
            <w:tcBorders>
              <w:top w:val="nil"/>
              <w:left w:val="nil"/>
              <w:bottom w:val="nil"/>
              <w:right w:val="nil"/>
            </w:tcBorders>
            <w:tcMar>
              <w:top w:w="30" w:type="dxa"/>
              <w:left w:w="80" w:type="dxa"/>
              <w:bottom w:w="30" w:type="dxa"/>
              <w:right w:w="80" w:type="dxa"/>
            </w:tcMar>
            <w:vAlign w:val="center"/>
          </w:tcPr>
          <w:p w14:paraId="7924939B">
            <w:pPr>
              <w:spacing w:after="0" w:line="240" w:lineRule="auto"/>
              <w:jc w:val="center"/>
            </w:pPr>
            <w:r>
              <w:rPr>
                <w:rFonts w:ascii="Times New Roman" w:hAnsi="Times New Roman" w:eastAsia="Times New Roman" w:cs="Times New Roman"/>
                <w:b w:val="0"/>
                <w:bCs w:val="0"/>
                <w:i w:val="0"/>
                <w:iCs w:val="0"/>
                <w:sz w:val="20"/>
                <w:szCs w:val="20"/>
              </w:rPr>
              <w:t>10,324</w:t>
            </w:r>
          </w:p>
        </w:tc>
        <w:tc>
          <w:tcPr>
            <w:tcW w:w="2533" w:type="dxa"/>
            <w:tcBorders>
              <w:top w:val="nil"/>
              <w:left w:val="nil"/>
              <w:bottom w:val="nil"/>
              <w:right w:val="nil"/>
            </w:tcBorders>
            <w:tcMar>
              <w:top w:w="30" w:type="dxa"/>
              <w:left w:w="80" w:type="dxa"/>
              <w:bottom w:w="30" w:type="dxa"/>
              <w:right w:w="80" w:type="dxa"/>
            </w:tcMar>
            <w:vAlign w:val="center"/>
          </w:tcPr>
          <w:p w14:paraId="4E4CC800">
            <w:pPr>
              <w:spacing w:after="0" w:line="240" w:lineRule="auto"/>
              <w:jc w:val="center"/>
            </w:pPr>
            <w:r>
              <w:rPr>
                <w:rFonts w:ascii="Times New Roman" w:hAnsi="Times New Roman" w:eastAsia="Times New Roman" w:cs="Times New Roman"/>
                <w:b w:val="0"/>
                <w:bCs w:val="0"/>
                <w:i w:val="0"/>
                <w:iCs w:val="0"/>
                <w:sz w:val="20"/>
                <w:szCs w:val="20"/>
              </w:rPr>
              <w:t>1.14 (1.03–1.26)</w:t>
            </w:r>
          </w:p>
        </w:tc>
        <w:tc>
          <w:tcPr>
            <w:tcW w:w="2533" w:type="dxa"/>
            <w:tcBorders>
              <w:top w:val="nil"/>
              <w:left w:val="nil"/>
              <w:bottom w:val="nil"/>
              <w:right w:val="nil"/>
            </w:tcBorders>
            <w:tcMar>
              <w:top w:w="30" w:type="dxa"/>
              <w:left w:w="80" w:type="dxa"/>
              <w:bottom w:w="30" w:type="dxa"/>
              <w:right w:w="80" w:type="dxa"/>
            </w:tcMar>
            <w:vAlign w:val="center"/>
          </w:tcPr>
          <w:p w14:paraId="724A72F7">
            <w:pPr>
              <w:spacing w:after="0" w:line="240" w:lineRule="auto"/>
              <w:jc w:val="center"/>
            </w:pPr>
            <w:r>
              <w:rPr>
                <w:rFonts w:ascii="Times New Roman" w:hAnsi="Times New Roman" w:eastAsia="Times New Roman" w:cs="Times New Roman"/>
                <w:b w:val="0"/>
                <w:bCs w:val="0"/>
                <w:i w:val="0"/>
                <w:iCs w:val="0"/>
                <w:sz w:val="20"/>
                <w:szCs w:val="20"/>
              </w:rPr>
              <w:t>1.26 (1.05–1.52)</w:t>
            </w:r>
          </w:p>
        </w:tc>
        <w:tc>
          <w:tcPr>
            <w:tcW w:w="2534" w:type="dxa"/>
            <w:tcBorders>
              <w:top w:val="nil"/>
              <w:left w:val="nil"/>
              <w:bottom w:val="nil"/>
              <w:right w:val="nil"/>
            </w:tcBorders>
            <w:tcMar>
              <w:top w:w="30" w:type="dxa"/>
              <w:left w:w="80" w:type="dxa"/>
              <w:bottom w:w="30" w:type="dxa"/>
              <w:right w:w="80" w:type="dxa"/>
            </w:tcMar>
            <w:vAlign w:val="center"/>
          </w:tcPr>
          <w:p w14:paraId="47B3516E">
            <w:pPr>
              <w:spacing w:after="0" w:line="240" w:lineRule="auto"/>
              <w:jc w:val="center"/>
            </w:pPr>
            <w:r>
              <w:rPr>
                <w:rFonts w:ascii="Times New Roman" w:hAnsi="Times New Roman" w:eastAsia="Times New Roman" w:cs="Times New Roman"/>
                <w:b w:val="0"/>
                <w:bCs w:val="0"/>
                <w:i w:val="0"/>
                <w:iCs w:val="0"/>
                <w:sz w:val="20"/>
                <w:szCs w:val="20"/>
              </w:rPr>
              <w:t>1.75 (1.35–2.26)</w:t>
            </w:r>
          </w:p>
        </w:tc>
      </w:tr>
      <w:tr w14:paraId="7F8EDD12">
        <w:tc>
          <w:tcPr>
            <w:tcW w:w="4160" w:type="dxa"/>
            <w:tcBorders>
              <w:top w:val="nil"/>
              <w:left w:val="nil"/>
              <w:bottom w:val="nil"/>
              <w:right w:val="nil"/>
            </w:tcBorders>
            <w:tcMar>
              <w:top w:w="30" w:type="dxa"/>
              <w:left w:w="80" w:type="dxa"/>
              <w:bottom w:w="30" w:type="dxa"/>
              <w:right w:w="80" w:type="dxa"/>
            </w:tcMar>
            <w:vAlign w:val="center"/>
          </w:tcPr>
          <w:p w14:paraId="67F4DF8D">
            <w:pPr>
              <w:spacing w:after="0" w:line="240" w:lineRule="auto"/>
              <w:jc w:val="left"/>
            </w:pPr>
            <w:r>
              <w:rPr>
                <w:rFonts w:ascii="Times New Roman" w:hAnsi="Times New Roman" w:eastAsia="Times New Roman" w:cs="Times New Roman"/>
                <w:b w:val="0"/>
                <w:bCs w:val="0"/>
                <w:i w:val="0"/>
                <w:iCs w:val="0"/>
                <w:sz w:val="20"/>
                <w:szCs w:val="20"/>
              </w:rPr>
              <w:t>Low-flow subset</w:t>
            </w:r>
          </w:p>
        </w:tc>
        <w:tc>
          <w:tcPr>
            <w:tcW w:w="1200" w:type="dxa"/>
            <w:tcBorders>
              <w:top w:val="nil"/>
              <w:left w:val="nil"/>
              <w:bottom w:val="nil"/>
              <w:right w:val="nil"/>
            </w:tcBorders>
            <w:tcMar>
              <w:top w:w="30" w:type="dxa"/>
              <w:left w:w="80" w:type="dxa"/>
              <w:bottom w:w="30" w:type="dxa"/>
              <w:right w:w="80" w:type="dxa"/>
            </w:tcMar>
            <w:vAlign w:val="center"/>
          </w:tcPr>
          <w:p w14:paraId="78E9920F">
            <w:pPr>
              <w:spacing w:after="0" w:line="240" w:lineRule="auto"/>
              <w:jc w:val="center"/>
            </w:pPr>
            <w:r>
              <w:rPr>
                <w:rFonts w:ascii="Times New Roman" w:hAnsi="Times New Roman" w:eastAsia="Times New Roman" w:cs="Times New Roman"/>
                <w:b w:val="0"/>
                <w:bCs w:val="0"/>
                <w:i w:val="0"/>
                <w:iCs w:val="0"/>
                <w:sz w:val="20"/>
                <w:szCs w:val="20"/>
              </w:rPr>
              <w:t>6,000</w:t>
            </w:r>
          </w:p>
        </w:tc>
        <w:tc>
          <w:tcPr>
            <w:tcW w:w="2533" w:type="dxa"/>
            <w:tcBorders>
              <w:top w:val="nil"/>
              <w:left w:val="nil"/>
              <w:bottom w:val="nil"/>
              <w:right w:val="nil"/>
            </w:tcBorders>
            <w:tcMar>
              <w:top w:w="30" w:type="dxa"/>
              <w:left w:w="80" w:type="dxa"/>
              <w:bottom w:w="30" w:type="dxa"/>
              <w:right w:w="80" w:type="dxa"/>
            </w:tcMar>
            <w:vAlign w:val="center"/>
          </w:tcPr>
          <w:p w14:paraId="2D86503E">
            <w:pPr>
              <w:spacing w:after="0" w:line="240" w:lineRule="auto"/>
              <w:jc w:val="center"/>
            </w:pPr>
            <w:r>
              <w:rPr>
                <w:rFonts w:ascii="Times New Roman" w:hAnsi="Times New Roman" w:eastAsia="Times New Roman" w:cs="Times New Roman"/>
                <w:b w:val="0"/>
                <w:bCs w:val="0"/>
                <w:i w:val="0"/>
                <w:iCs w:val="0"/>
                <w:sz w:val="20"/>
                <w:szCs w:val="20"/>
              </w:rPr>
              <w:t>1.17 (1.00–1.37)</w:t>
            </w:r>
          </w:p>
        </w:tc>
        <w:tc>
          <w:tcPr>
            <w:tcW w:w="2533" w:type="dxa"/>
            <w:tcBorders>
              <w:top w:val="nil"/>
              <w:left w:val="nil"/>
              <w:bottom w:val="nil"/>
              <w:right w:val="nil"/>
            </w:tcBorders>
            <w:tcMar>
              <w:top w:w="30" w:type="dxa"/>
              <w:left w:w="80" w:type="dxa"/>
              <w:bottom w:w="30" w:type="dxa"/>
              <w:right w:w="80" w:type="dxa"/>
            </w:tcMar>
            <w:vAlign w:val="center"/>
          </w:tcPr>
          <w:p w14:paraId="699A7B2A">
            <w:pPr>
              <w:spacing w:after="0" w:line="240" w:lineRule="auto"/>
              <w:jc w:val="center"/>
            </w:pPr>
            <w:r>
              <w:rPr>
                <w:rFonts w:ascii="Times New Roman" w:hAnsi="Times New Roman" w:eastAsia="Times New Roman" w:cs="Times New Roman"/>
                <w:b w:val="0"/>
                <w:bCs w:val="0"/>
                <w:i w:val="0"/>
                <w:iCs w:val="0"/>
                <w:sz w:val="20"/>
                <w:szCs w:val="20"/>
              </w:rPr>
              <w:t>1.21 (0.93–1.57)</w:t>
            </w:r>
          </w:p>
        </w:tc>
        <w:tc>
          <w:tcPr>
            <w:tcW w:w="2534" w:type="dxa"/>
            <w:tcBorders>
              <w:top w:val="nil"/>
              <w:left w:val="nil"/>
              <w:bottom w:val="nil"/>
              <w:right w:val="nil"/>
            </w:tcBorders>
            <w:tcMar>
              <w:top w:w="30" w:type="dxa"/>
              <w:left w:w="80" w:type="dxa"/>
              <w:bottom w:w="30" w:type="dxa"/>
              <w:right w:w="80" w:type="dxa"/>
            </w:tcMar>
            <w:vAlign w:val="center"/>
          </w:tcPr>
          <w:p w14:paraId="42A0A0B3">
            <w:pPr>
              <w:spacing w:after="0" w:line="240" w:lineRule="auto"/>
              <w:jc w:val="center"/>
            </w:pPr>
            <w:r>
              <w:rPr>
                <w:rFonts w:ascii="Times New Roman" w:hAnsi="Times New Roman" w:eastAsia="Times New Roman" w:cs="Times New Roman"/>
                <w:b w:val="0"/>
                <w:bCs w:val="0"/>
                <w:i w:val="0"/>
                <w:iCs w:val="0"/>
                <w:sz w:val="20"/>
                <w:szCs w:val="20"/>
              </w:rPr>
              <w:t>1.72 (1.20–2.49)</w:t>
            </w:r>
          </w:p>
        </w:tc>
      </w:tr>
      <w:tr w14:paraId="1988FFB6">
        <w:tc>
          <w:tcPr>
            <w:tcW w:w="4160" w:type="dxa"/>
            <w:tcBorders>
              <w:top w:val="nil"/>
              <w:left w:val="nil"/>
              <w:bottom w:val="nil"/>
              <w:right w:val="nil"/>
            </w:tcBorders>
            <w:tcMar>
              <w:top w:w="30" w:type="dxa"/>
              <w:left w:w="80" w:type="dxa"/>
              <w:bottom w:w="30" w:type="dxa"/>
              <w:right w:w="80" w:type="dxa"/>
            </w:tcMar>
            <w:vAlign w:val="center"/>
          </w:tcPr>
          <w:p w14:paraId="4F539725">
            <w:pPr>
              <w:spacing w:after="0" w:line="240" w:lineRule="auto"/>
              <w:jc w:val="left"/>
            </w:pPr>
            <w:r>
              <w:rPr>
                <w:rFonts w:ascii="Times New Roman" w:hAnsi="Times New Roman" w:eastAsia="Times New Roman" w:cs="Times New Roman"/>
                <w:b w:val="0"/>
                <w:bCs w:val="0"/>
                <w:i w:val="0"/>
                <w:iCs w:val="0"/>
                <w:sz w:val="20"/>
                <w:szCs w:val="20"/>
              </w:rPr>
              <w:t>Echocardiogram within 24 h of admission</w:t>
            </w:r>
          </w:p>
        </w:tc>
        <w:tc>
          <w:tcPr>
            <w:tcW w:w="1200" w:type="dxa"/>
            <w:tcBorders>
              <w:top w:val="nil"/>
              <w:left w:val="nil"/>
              <w:bottom w:val="nil"/>
              <w:right w:val="nil"/>
            </w:tcBorders>
            <w:tcMar>
              <w:top w:w="30" w:type="dxa"/>
              <w:left w:w="80" w:type="dxa"/>
              <w:bottom w:w="30" w:type="dxa"/>
              <w:right w:w="80" w:type="dxa"/>
            </w:tcMar>
            <w:vAlign w:val="center"/>
          </w:tcPr>
          <w:p w14:paraId="22193B14">
            <w:pPr>
              <w:spacing w:after="0" w:line="240" w:lineRule="auto"/>
              <w:jc w:val="center"/>
            </w:pPr>
            <w:r>
              <w:rPr>
                <w:rFonts w:ascii="Times New Roman" w:hAnsi="Times New Roman" w:eastAsia="Times New Roman" w:cs="Times New Roman"/>
                <w:b w:val="0"/>
                <w:bCs w:val="0"/>
                <w:i w:val="0"/>
                <w:iCs w:val="0"/>
                <w:sz w:val="20"/>
                <w:szCs w:val="20"/>
              </w:rPr>
              <w:t>9,513</w:t>
            </w:r>
          </w:p>
        </w:tc>
        <w:tc>
          <w:tcPr>
            <w:tcW w:w="2533" w:type="dxa"/>
            <w:tcBorders>
              <w:top w:val="nil"/>
              <w:left w:val="nil"/>
              <w:bottom w:val="nil"/>
              <w:right w:val="nil"/>
            </w:tcBorders>
            <w:tcMar>
              <w:top w:w="30" w:type="dxa"/>
              <w:left w:w="80" w:type="dxa"/>
              <w:bottom w:w="30" w:type="dxa"/>
              <w:right w:w="80" w:type="dxa"/>
            </w:tcMar>
            <w:vAlign w:val="center"/>
          </w:tcPr>
          <w:p w14:paraId="1CD8CE64">
            <w:pPr>
              <w:spacing w:after="0" w:line="240" w:lineRule="auto"/>
              <w:jc w:val="center"/>
            </w:pPr>
            <w:r>
              <w:rPr>
                <w:rFonts w:ascii="Times New Roman" w:hAnsi="Times New Roman" w:eastAsia="Times New Roman" w:cs="Times New Roman"/>
                <w:b w:val="0"/>
                <w:bCs w:val="0"/>
                <w:i w:val="0"/>
                <w:iCs w:val="0"/>
                <w:sz w:val="20"/>
                <w:szCs w:val="20"/>
              </w:rPr>
              <w:t>1.17 (1.05–1.29)</w:t>
            </w:r>
          </w:p>
        </w:tc>
        <w:tc>
          <w:tcPr>
            <w:tcW w:w="2533" w:type="dxa"/>
            <w:tcBorders>
              <w:top w:val="nil"/>
              <w:left w:val="nil"/>
              <w:bottom w:val="nil"/>
              <w:right w:val="nil"/>
            </w:tcBorders>
            <w:tcMar>
              <w:top w:w="30" w:type="dxa"/>
              <w:left w:w="80" w:type="dxa"/>
              <w:bottom w:w="30" w:type="dxa"/>
              <w:right w:w="80" w:type="dxa"/>
            </w:tcMar>
            <w:vAlign w:val="center"/>
          </w:tcPr>
          <w:p w14:paraId="79FC2A5D">
            <w:pPr>
              <w:spacing w:after="0" w:line="240" w:lineRule="auto"/>
              <w:jc w:val="center"/>
            </w:pPr>
            <w:r>
              <w:rPr>
                <w:rFonts w:ascii="Times New Roman" w:hAnsi="Times New Roman" w:eastAsia="Times New Roman" w:cs="Times New Roman"/>
                <w:b w:val="0"/>
                <w:bCs w:val="0"/>
                <w:i w:val="0"/>
                <w:iCs w:val="0"/>
                <w:sz w:val="20"/>
                <w:szCs w:val="20"/>
              </w:rPr>
              <w:t>1.30 (1.08–1.56)</w:t>
            </w:r>
          </w:p>
        </w:tc>
        <w:tc>
          <w:tcPr>
            <w:tcW w:w="2534" w:type="dxa"/>
            <w:tcBorders>
              <w:top w:val="nil"/>
              <w:left w:val="nil"/>
              <w:bottom w:val="nil"/>
              <w:right w:val="nil"/>
            </w:tcBorders>
            <w:tcMar>
              <w:top w:w="30" w:type="dxa"/>
              <w:left w:w="80" w:type="dxa"/>
              <w:bottom w:w="30" w:type="dxa"/>
              <w:right w:w="80" w:type="dxa"/>
            </w:tcMar>
            <w:vAlign w:val="center"/>
          </w:tcPr>
          <w:p w14:paraId="54E1325D">
            <w:pPr>
              <w:spacing w:after="0" w:line="240" w:lineRule="auto"/>
              <w:jc w:val="center"/>
            </w:pPr>
            <w:r>
              <w:rPr>
                <w:rFonts w:ascii="Times New Roman" w:hAnsi="Times New Roman" w:eastAsia="Times New Roman" w:cs="Times New Roman"/>
                <w:b w:val="0"/>
                <w:bCs w:val="0"/>
                <w:i w:val="0"/>
                <w:iCs w:val="0"/>
                <w:sz w:val="20"/>
                <w:szCs w:val="20"/>
              </w:rPr>
              <w:t>1.41 (1.08–1.84)</w:t>
            </w:r>
          </w:p>
        </w:tc>
      </w:tr>
      <w:tr w14:paraId="1D079407">
        <w:tc>
          <w:tcPr>
            <w:tcW w:w="4160" w:type="dxa"/>
            <w:tcBorders>
              <w:top w:val="nil"/>
              <w:left w:val="nil"/>
              <w:bottom w:val="nil"/>
              <w:right w:val="nil"/>
            </w:tcBorders>
            <w:tcMar>
              <w:top w:w="30" w:type="dxa"/>
              <w:left w:w="80" w:type="dxa"/>
              <w:bottom w:w="30" w:type="dxa"/>
              <w:right w:w="80" w:type="dxa"/>
            </w:tcMar>
            <w:vAlign w:val="center"/>
          </w:tcPr>
          <w:p w14:paraId="2FD1A168">
            <w:pPr>
              <w:spacing w:after="0" w:line="240" w:lineRule="auto"/>
              <w:jc w:val="left"/>
            </w:pPr>
            <w:r>
              <w:rPr>
                <w:rFonts w:ascii="Times New Roman" w:hAnsi="Times New Roman" w:eastAsia="Times New Roman" w:cs="Times New Roman"/>
                <w:b w:val="0"/>
                <w:bCs w:val="0"/>
                <w:i w:val="0"/>
                <w:iCs w:val="0"/>
                <w:sz w:val="20"/>
                <w:szCs w:val="20"/>
              </w:rPr>
              <w:t>Without vasopressor and ventilation terms</w:t>
            </w:r>
          </w:p>
        </w:tc>
        <w:tc>
          <w:tcPr>
            <w:tcW w:w="1200" w:type="dxa"/>
            <w:tcBorders>
              <w:top w:val="nil"/>
              <w:left w:val="nil"/>
              <w:bottom w:val="nil"/>
              <w:right w:val="nil"/>
            </w:tcBorders>
            <w:tcMar>
              <w:top w:w="30" w:type="dxa"/>
              <w:left w:w="80" w:type="dxa"/>
              <w:bottom w:w="30" w:type="dxa"/>
              <w:right w:w="80" w:type="dxa"/>
            </w:tcMar>
            <w:vAlign w:val="center"/>
          </w:tcPr>
          <w:p w14:paraId="6A611138">
            <w:pPr>
              <w:spacing w:after="0" w:line="240" w:lineRule="auto"/>
              <w:jc w:val="center"/>
            </w:pPr>
            <w:r>
              <w:rPr>
                <w:rFonts w:ascii="Times New Roman" w:hAnsi="Times New Roman" w:eastAsia="Times New Roman" w:cs="Times New Roman"/>
                <w:b w:val="0"/>
                <w:bCs w:val="0"/>
                <w:i w:val="0"/>
                <w:iCs w:val="0"/>
                <w:sz w:val="20"/>
                <w:szCs w:val="20"/>
              </w:rPr>
              <w:t>12,878</w:t>
            </w:r>
          </w:p>
        </w:tc>
        <w:tc>
          <w:tcPr>
            <w:tcW w:w="2533" w:type="dxa"/>
            <w:tcBorders>
              <w:top w:val="nil"/>
              <w:left w:val="nil"/>
              <w:bottom w:val="nil"/>
              <w:right w:val="nil"/>
            </w:tcBorders>
            <w:tcMar>
              <w:top w:w="30" w:type="dxa"/>
              <w:left w:w="80" w:type="dxa"/>
              <w:bottom w:w="30" w:type="dxa"/>
              <w:right w:w="80" w:type="dxa"/>
            </w:tcMar>
            <w:vAlign w:val="center"/>
          </w:tcPr>
          <w:p w14:paraId="167D0683">
            <w:pPr>
              <w:spacing w:after="0" w:line="240" w:lineRule="auto"/>
              <w:jc w:val="center"/>
            </w:pPr>
            <w:r>
              <w:rPr>
                <w:rFonts w:ascii="Times New Roman" w:hAnsi="Times New Roman" w:eastAsia="Times New Roman" w:cs="Times New Roman"/>
                <w:b w:val="0"/>
                <w:bCs w:val="0"/>
                <w:i w:val="0"/>
                <w:iCs w:val="0"/>
                <w:sz w:val="20"/>
                <w:szCs w:val="20"/>
              </w:rPr>
              <w:t>1.17 (1.07–1.27)</w:t>
            </w:r>
          </w:p>
        </w:tc>
        <w:tc>
          <w:tcPr>
            <w:tcW w:w="2533" w:type="dxa"/>
            <w:tcBorders>
              <w:top w:val="nil"/>
              <w:left w:val="nil"/>
              <w:bottom w:val="nil"/>
              <w:right w:val="nil"/>
            </w:tcBorders>
            <w:tcMar>
              <w:top w:w="30" w:type="dxa"/>
              <w:left w:w="80" w:type="dxa"/>
              <w:bottom w:w="30" w:type="dxa"/>
              <w:right w:w="80" w:type="dxa"/>
            </w:tcMar>
            <w:vAlign w:val="center"/>
          </w:tcPr>
          <w:p w14:paraId="07CB0AC2">
            <w:pPr>
              <w:spacing w:after="0" w:line="240" w:lineRule="auto"/>
              <w:jc w:val="center"/>
            </w:pPr>
            <w:r>
              <w:rPr>
                <w:rFonts w:ascii="Times New Roman" w:hAnsi="Times New Roman" w:eastAsia="Times New Roman" w:cs="Times New Roman"/>
                <w:b w:val="0"/>
                <w:bCs w:val="0"/>
                <w:i w:val="0"/>
                <w:iCs w:val="0"/>
                <w:sz w:val="20"/>
                <w:szCs w:val="20"/>
              </w:rPr>
              <w:t>1.31 (1.12–1.54)</w:t>
            </w:r>
          </w:p>
        </w:tc>
        <w:tc>
          <w:tcPr>
            <w:tcW w:w="2534" w:type="dxa"/>
            <w:tcBorders>
              <w:top w:val="nil"/>
              <w:left w:val="nil"/>
              <w:bottom w:val="nil"/>
              <w:right w:val="nil"/>
            </w:tcBorders>
            <w:tcMar>
              <w:top w:w="30" w:type="dxa"/>
              <w:left w:w="80" w:type="dxa"/>
              <w:bottom w:w="30" w:type="dxa"/>
              <w:right w:w="80" w:type="dxa"/>
            </w:tcMar>
            <w:vAlign w:val="center"/>
          </w:tcPr>
          <w:p w14:paraId="43567914">
            <w:pPr>
              <w:spacing w:after="0" w:line="240" w:lineRule="auto"/>
              <w:jc w:val="center"/>
            </w:pPr>
            <w:r>
              <w:rPr>
                <w:rFonts w:ascii="Times New Roman" w:hAnsi="Times New Roman" w:eastAsia="Times New Roman" w:cs="Times New Roman"/>
                <w:b w:val="0"/>
                <w:bCs w:val="0"/>
                <w:i w:val="0"/>
                <w:iCs w:val="0"/>
                <w:sz w:val="20"/>
                <w:szCs w:val="20"/>
              </w:rPr>
              <w:t>1.57 (1.24–1.98)</w:t>
            </w:r>
          </w:p>
        </w:tc>
      </w:tr>
      <w:tr w14:paraId="70247969">
        <w:tc>
          <w:tcPr>
            <w:tcW w:w="4160" w:type="dxa"/>
            <w:tcBorders>
              <w:top w:val="nil"/>
              <w:left w:val="nil"/>
              <w:bottom w:val="nil"/>
              <w:right w:val="nil"/>
            </w:tcBorders>
            <w:tcMar>
              <w:top w:w="30" w:type="dxa"/>
              <w:left w:w="80" w:type="dxa"/>
              <w:bottom w:w="30" w:type="dxa"/>
              <w:right w:w="80" w:type="dxa"/>
            </w:tcMar>
            <w:vAlign w:val="center"/>
          </w:tcPr>
          <w:p w14:paraId="201E8F20">
            <w:pPr>
              <w:spacing w:after="0" w:line="240" w:lineRule="auto"/>
              <w:jc w:val="left"/>
            </w:pPr>
            <w:r>
              <w:rPr>
                <w:rFonts w:ascii="Times New Roman" w:hAnsi="Times New Roman" w:eastAsia="Times New Roman" w:cs="Times New Roman"/>
                <w:b w:val="0"/>
                <w:bCs w:val="0"/>
                <w:i w:val="0"/>
                <w:iCs w:val="0"/>
                <w:sz w:val="20"/>
                <w:szCs w:val="20"/>
              </w:rPr>
              <w:t>Full cohort including cardiac admissions</w:t>
            </w:r>
          </w:p>
        </w:tc>
        <w:tc>
          <w:tcPr>
            <w:tcW w:w="1200" w:type="dxa"/>
            <w:tcBorders>
              <w:top w:val="nil"/>
              <w:left w:val="nil"/>
              <w:bottom w:val="nil"/>
              <w:right w:val="nil"/>
            </w:tcBorders>
            <w:tcMar>
              <w:top w:w="30" w:type="dxa"/>
              <w:left w:w="80" w:type="dxa"/>
              <w:bottom w:w="30" w:type="dxa"/>
              <w:right w:w="80" w:type="dxa"/>
            </w:tcMar>
            <w:vAlign w:val="center"/>
          </w:tcPr>
          <w:p w14:paraId="6D7642A4">
            <w:pPr>
              <w:spacing w:after="0" w:line="240" w:lineRule="auto"/>
              <w:jc w:val="center"/>
            </w:pPr>
            <w:r>
              <w:rPr>
                <w:rFonts w:ascii="Times New Roman" w:hAnsi="Times New Roman" w:eastAsia="Times New Roman" w:cs="Times New Roman"/>
                <w:b w:val="0"/>
                <w:bCs w:val="0"/>
                <w:i w:val="0"/>
                <w:iCs w:val="0"/>
                <w:sz w:val="20"/>
                <w:szCs w:val="20"/>
              </w:rPr>
              <w:t>17,679</w:t>
            </w:r>
          </w:p>
        </w:tc>
        <w:tc>
          <w:tcPr>
            <w:tcW w:w="2533" w:type="dxa"/>
            <w:tcBorders>
              <w:top w:val="nil"/>
              <w:left w:val="nil"/>
              <w:bottom w:val="nil"/>
              <w:right w:val="nil"/>
            </w:tcBorders>
            <w:tcMar>
              <w:top w:w="30" w:type="dxa"/>
              <w:left w:w="80" w:type="dxa"/>
              <w:bottom w:w="30" w:type="dxa"/>
              <w:right w:w="80" w:type="dxa"/>
            </w:tcMar>
            <w:vAlign w:val="center"/>
          </w:tcPr>
          <w:p w14:paraId="320866E6">
            <w:pPr>
              <w:spacing w:after="0" w:line="240" w:lineRule="auto"/>
              <w:jc w:val="center"/>
            </w:pPr>
            <w:r>
              <w:rPr>
                <w:rFonts w:ascii="Times New Roman" w:hAnsi="Times New Roman" w:eastAsia="Times New Roman" w:cs="Times New Roman"/>
                <w:b w:val="0"/>
                <w:bCs w:val="0"/>
                <w:i w:val="0"/>
                <w:iCs w:val="0"/>
                <w:sz w:val="20"/>
                <w:szCs w:val="20"/>
              </w:rPr>
              <w:t>1.11 (1.03–1.21)</w:t>
            </w:r>
          </w:p>
        </w:tc>
        <w:tc>
          <w:tcPr>
            <w:tcW w:w="2533" w:type="dxa"/>
            <w:tcBorders>
              <w:top w:val="nil"/>
              <w:left w:val="nil"/>
              <w:bottom w:val="nil"/>
              <w:right w:val="nil"/>
            </w:tcBorders>
            <w:tcMar>
              <w:top w:w="30" w:type="dxa"/>
              <w:left w:w="80" w:type="dxa"/>
              <w:bottom w:w="30" w:type="dxa"/>
              <w:right w:w="80" w:type="dxa"/>
            </w:tcMar>
            <w:vAlign w:val="center"/>
          </w:tcPr>
          <w:p w14:paraId="4D9AADCB">
            <w:pPr>
              <w:spacing w:after="0" w:line="240" w:lineRule="auto"/>
              <w:jc w:val="center"/>
            </w:pPr>
            <w:r>
              <w:rPr>
                <w:rFonts w:ascii="Times New Roman" w:hAnsi="Times New Roman" w:eastAsia="Times New Roman" w:cs="Times New Roman"/>
                <w:b w:val="0"/>
                <w:bCs w:val="0"/>
                <w:i w:val="0"/>
                <w:iCs w:val="0"/>
                <w:sz w:val="20"/>
                <w:szCs w:val="20"/>
              </w:rPr>
              <w:t>1.38 (1.21–1.59)</w:t>
            </w:r>
          </w:p>
        </w:tc>
        <w:tc>
          <w:tcPr>
            <w:tcW w:w="2534" w:type="dxa"/>
            <w:tcBorders>
              <w:top w:val="nil"/>
              <w:left w:val="nil"/>
              <w:bottom w:val="nil"/>
              <w:right w:val="nil"/>
            </w:tcBorders>
            <w:tcMar>
              <w:top w:w="30" w:type="dxa"/>
              <w:left w:w="80" w:type="dxa"/>
              <w:bottom w:w="30" w:type="dxa"/>
              <w:right w:w="80" w:type="dxa"/>
            </w:tcMar>
            <w:vAlign w:val="center"/>
          </w:tcPr>
          <w:p w14:paraId="32888769">
            <w:pPr>
              <w:spacing w:after="0" w:line="240" w:lineRule="auto"/>
              <w:jc w:val="center"/>
            </w:pPr>
            <w:r>
              <w:rPr>
                <w:rFonts w:ascii="Times New Roman" w:hAnsi="Times New Roman" w:eastAsia="Times New Roman" w:cs="Times New Roman"/>
                <w:b w:val="0"/>
                <w:bCs w:val="0"/>
                <w:i w:val="0"/>
                <w:iCs w:val="0"/>
                <w:sz w:val="20"/>
                <w:szCs w:val="20"/>
              </w:rPr>
              <w:t>1.52 (1.26–1.84)</w:t>
            </w:r>
          </w:p>
        </w:tc>
      </w:tr>
      <w:tr w14:paraId="0C2C8790">
        <w:tc>
          <w:tcPr>
            <w:tcW w:w="4160" w:type="dxa"/>
            <w:tcBorders>
              <w:top w:val="nil"/>
              <w:left w:val="nil"/>
              <w:bottom w:val="nil"/>
              <w:right w:val="nil"/>
            </w:tcBorders>
            <w:tcMar>
              <w:top w:w="30" w:type="dxa"/>
              <w:left w:w="80" w:type="dxa"/>
              <w:bottom w:w="30" w:type="dxa"/>
              <w:right w:w="80" w:type="dxa"/>
            </w:tcMar>
            <w:vAlign w:val="center"/>
          </w:tcPr>
          <w:p w14:paraId="201E8F30">
            <w:pPr>
              <w:spacing w:after="0" w:line="240" w:lineRule="auto"/>
              <w:jc w:val="left"/>
            </w:pPr>
            <w:r>
              <w:rPr>
                <w:rFonts w:ascii="Times New Roman" w:hAnsi="Times New Roman" w:eastAsia="Times New Roman" w:cs="Times New Roman"/>
                <w:b w:val="0"/>
                <w:bCs w:val="0"/>
                <w:i w:val="0"/>
                <w:iCs w:val="0"/>
                <w:sz w:val="20"/>
                <w:szCs w:val="20"/>
              </w:rPr>
              <w:t>Fine–Gray competing-risks model (in-hospital death, sHR)</w:t>
            </w:r>
          </w:p>
        </w:tc>
        <w:tc>
          <w:tcPr>
            <w:tcW w:w="1200" w:type="dxa"/>
            <w:tcBorders>
              <w:top w:val="nil"/>
              <w:left w:val="nil"/>
              <w:bottom w:val="nil"/>
              <w:right w:val="nil"/>
            </w:tcBorders>
            <w:tcMar>
              <w:top w:w="30" w:type="dxa"/>
              <w:left w:w="80" w:type="dxa"/>
              <w:bottom w:w="30" w:type="dxa"/>
              <w:right w:w="80" w:type="dxa"/>
            </w:tcMar>
            <w:vAlign w:val="center"/>
          </w:tcPr>
          <w:p w14:paraId="6D7642B0">
            <w:pPr>
              <w:spacing w:after="0" w:line="240" w:lineRule="auto"/>
              <w:jc w:val="center"/>
            </w:pPr>
            <w:r>
              <w:rPr>
                <w:rFonts w:ascii="Times New Roman" w:hAnsi="Times New Roman" w:eastAsia="Times New Roman" w:cs="Times New Roman"/>
                <w:b w:val="0"/>
                <w:bCs w:val="0"/>
                <w:i w:val="0"/>
                <w:iCs w:val="0"/>
                <w:sz w:val="20"/>
                <w:szCs w:val="20"/>
              </w:rPr>
              <w:t>12,878</w:t>
            </w:r>
          </w:p>
        </w:tc>
        <w:tc>
          <w:tcPr>
            <w:tcW w:w="2533" w:type="dxa"/>
            <w:tcBorders>
              <w:top w:val="nil"/>
              <w:left w:val="nil"/>
              <w:bottom w:val="nil"/>
              <w:right w:val="nil"/>
            </w:tcBorders>
            <w:tcMar>
              <w:top w:w="30" w:type="dxa"/>
              <w:left w:w="80" w:type="dxa"/>
              <w:bottom w:w="30" w:type="dxa"/>
              <w:right w:w="80" w:type="dxa"/>
            </w:tcMar>
            <w:vAlign w:val="center"/>
          </w:tcPr>
          <w:p w14:paraId="32086700">
            <w:pPr>
              <w:spacing w:after="0" w:line="240" w:lineRule="auto"/>
              <w:jc w:val="center"/>
            </w:pPr>
            <w:r>
              <w:rPr>
                <w:rFonts w:ascii="Times New Roman" w:hAnsi="Times New Roman" w:eastAsia="Times New Roman" w:cs="Times New Roman"/>
                <w:b w:val="0"/>
                <w:bCs w:val="0"/>
                <w:i w:val="0"/>
                <w:iCs w:val="0"/>
                <w:sz w:val="20"/>
                <w:szCs w:val="20"/>
              </w:rPr>
              <w:t>1.23 (1.10–1.38)</w:t>
            </w:r>
          </w:p>
        </w:tc>
        <w:tc>
          <w:tcPr>
            <w:tcW w:w="2533" w:type="dxa"/>
            <w:tcBorders>
              <w:top w:val="nil"/>
              <w:left w:val="nil"/>
              <w:bottom w:val="nil"/>
              <w:right w:val="nil"/>
            </w:tcBorders>
            <w:tcMar>
              <w:top w:w="30" w:type="dxa"/>
              <w:left w:w="80" w:type="dxa"/>
              <w:bottom w:w="30" w:type="dxa"/>
              <w:right w:w="80" w:type="dxa"/>
            </w:tcMar>
            <w:vAlign w:val="center"/>
          </w:tcPr>
          <w:p w14:paraId="4D9AADD0">
            <w:pPr>
              <w:spacing w:after="0" w:line="240" w:lineRule="auto"/>
              <w:jc w:val="center"/>
            </w:pPr>
            <w:r>
              <w:rPr>
                <w:rFonts w:ascii="Times New Roman" w:hAnsi="Times New Roman" w:eastAsia="Times New Roman" w:cs="Times New Roman"/>
                <w:b w:val="0"/>
                <w:bCs w:val="0"/>
                <w:i w:val="0"/>
                <w:iCs w:val="0"/>
                <w:sz w:val="20"/>
                <w:szCs w:val="20"/>
              </w:rPr>
              <w:t>1.47 (1.19–1.81)</w:t>
            </w:r>
          </w:p>
        </w:tc>
        <w:tc>
          <w:tcPr>
            <w:tcW w:w="2534" w:type="dxa"/>
            <w:tcBorders>
              <w:top w:val="nil"/>
              <w:left w:val="nil"/>
              <w:bottom w:val="nil"/>
              <w:right w:val="nil"/>
            </w:tcBorders>
            <w:tcMar>
              <w:top w:w="30" w:type="dxa"/>
              <w:left w:w="80" w:type="dxa"/>
              <w:bottom w:w="30" w:type="dxa"/>
              <w:right w:w="80" w:type="dxa"/>
            </w:tcMar>
            <w:vAlign w:val="center"/>
          </w:tcPr>
          <w:p w14:paraId="32888770">
            <w:pPr>
              <w:spacing w:after="0" w:line="240" w:lineRule="auto"/>
              <w:jc w:val="center"/>
            </w:pPr>
            <w:r>
              <w:rPr>
                <w:rFonts w:ascii="Times New Roman" w:hAnsi="Times New Roman" w:eastAsia="Times New Roman" w:cs="Times New Roman"/>
                <w:b w:val="0"/>
                <w:bCs w:val="0"/>
                <w:i w:val="0"/>
                <w:iCs w:val="0"/>
                <w:sz w:val="20"/>
                <w:szCs w:val="20"/>
              </w:rPr>
              <w:t>1.41 (1.00–1.99)</w:t>
            </w:r>
          </w:p>
        </w:tc>
      </w:tr>
      <w:tr w14:paraId="0C2C8787">
        <w:tc>
          <w:tcPr>
            <w:tcW w:w="12960" w:type="dxa"/>
            <w:gridSpan w:val="5"/>
            <w:tcBorders>
              <w:top w:val="nil"/>
              <w:left w:val="nil"/>
              <w:bottom w:val="nil"/>
              <w:right w:val="nil"/>
            </w:tcBorders>
            <w:tcMar>
              <w:top w:w="30" w:type="dxa"/>
              <w:left w:w="80" w:type="dxa"/>
              <w:bottom w:w="30" w:type="dxa"/>
              <w:right w:w="80" w:type="dxa"/>
            </w:tcMar>
            <w:vAlign w:val="center"/>
          </w:tcPr>
          <w:p w14:paraId="76FA2CA1">
            <w:pPr>
              <w:spacing w:after="0" w:line="240" w:lineRule="auto"/>
              <w:jc w:val="left"/>
            </w:pPr>
            <w:r>
              <w:rPr>
                <w:rFonts w:ascii="Times New Roman" w:hAnsi="Times New Roman" w:eastAsia="Times New Roman" w:cs="Times New Roman"/>
                <w:b/>
                <w:bCs/>
                <w:i/>
                <w:iCs/>
                <w:sz w:val="20"/>
                <w:szCs w:val="20"/>
              </w:rPr>
              <w:t>Pre-specified subgroups (90-day mortality, HR)</w:t>
            </w:r>
          </w:p>
        </w:tc>
      </w:tr>
      <w:tr w14:paraId="30C40267">
        <w:tc>
          <w:tcPr>
            <w:tcW w:w="4160" w:type="dxa"/>
            <w:tcBorders>
              <w:top w:val="nil"/>
              <w:left w:val="nil"/>
              <w:bottom w:val="nil"/>
              <w:right w:val="nil"/>
            </w:tcBorders>
            <w:tcMar>
              <w:top w:w="30" w:type="dxa"/>
              <w:left w:w="80" w:type="dxa"/>
              <w:bottom w:w="30" w:type="dxa"/>
              <w:right w:w="80" w:type="dxa"/>
            </w:tcMar>
            <w:vAlign w:val="center"/>
          </w:tcPr>
          <w:p w14:paraId="65B1F7B7">
            <w:pPr>
              <w:spacing w:after="0" w:line="240" w:lineRule="auto"/>
              <w:jc w:val="left"/>
            </w:pPr>
            <w:r>
              <w:rPr>
                <w:rFonts w:ascii="Times New Roman" w:hAnsi="Times New Roman" w:eastAsia="Times New Roman" w:cs="Times New Roman"/>
                <w:b w:val="0"/>
                <w:bCs w:val="0"/>
                <w:i w:val="0"/>
                <w:iCs w:val="0"/>
                <w:sz w:val="20"/>
                <w:szCs w:val="20"/>
              </w:rPr>
              <w:t>Preserved LVEF (≥50%)</w:t>
            </w:r>
          </w:p>
        </w:tc>
        <w:tc>
          <w:tcPr>
            <w:tcW w:w="1200" w:type="dxa"/>
            <w:tcBorders>
              <w:top w:val="nil"/>
              <w:left w:val="nil"/>
              <w:bottom w:val="nil"/>
              <w:right w:val="nil"/>
            </w:tcBorders>
            <w:tcMar>
              <w:top w:w="30" w:type="dxa"/>
              <w:left w:w="80" w:type="dxa"/>
              <w:bottom w:w="30" w:type="dxa"/>
              <w:right w:w="80" w:type="dxa"/>
            </w:tcMar>
            <w:vAlign w:val="center"/>
          </w:tcPr>
          <w:p w14:paraId="7B4BB3D8">
            <w:pPr>
              <w:spacing w:after="0" w:line="240" w:lineRule="auto"/>
              <w:jc w:val="center"/>
            </w:pPr>
            <w:r>
              <w:rPr>
                <w:rFonts w:ascii="Times New Roman" w:hAnsi="Times New Roman" w:eastAsia="Times New Roman" w:cs="Times New Roman"/>
                <w:b w:val="0"/>
                <w:bCs w:val="0"/>
                <w:i w:val="0"/>
                <w:iCs w:val="0"/>
                <w:sz w:val="20"/>
                <w:szCs w:val="20"/>
              </w:rPr>
              <w:t>7,841</w:t>
            </w:r>
          </w:p>
        </w:tc>
        <w:tc>
          <w:tcPr>
            <w:tcW w:w="2533" w:type="dxa"/>
            <w:tcBorders>
              <w:top w:val="nil"/>
              <w:left w:val="nil"/>
              <w:bottom w:val="nil"/>
              <w:right w:val="nil"/>
            </w:tcBorders>
            <w:tcMar>
              <w:top w:w="30" w:type="dxa"/>
              <w:left w:w="80" w:type="dxa"/>
              <w:bottom w:w="30" w:type="dxa"/>
              <w:right w:w="80" w:type="dxa"/>
            </w:tcMar>
            <w:vAlign w:val="center"/>
          </w:tcPr>
          <w:p w14:paraId="7AAFB6BE">
            <w:pPr>
              <w:spacing w:after="0" w:line="240" w:lineRule="auto"/>
              <w:jc w:val="center"/>
            </w:pPr>
            <w:r>
              <w:rPr>
                <w:rFonts w:ascii="Times New Roman" w:hAnsi="Times New Roman" w:eastAsia="Times New Roman" w:cs="Times New Roman"/>
                <w:b w:val="0"/>
                <w:bCs w:val="0"/>
                <w:i w:val="0"/>
                <w:iCs w:val="0"/>
                <w:sz w:val="20"/>
                <w:szCs w:val="20"/>
              </w:rPr>
              <w:t>1.12 (1.00–1.25)</w:t>
            </w:r>
          </w:p>
        </w:tc>
        <w:tc>
          <w:tcPr>
            <w:tcW w:w="2533" w:type="dxa"/>
            <w:tcBorders>
              <w:top w:val="nil"/>
              <w:left w:val="nil"/>
              <w:bottom w:val="nil"/>
              <w:right w:val="nil"/>
            </w:tcBorders>
            <w:tcMar>
              <w:top w:w="30" w:type="dxa"/>
              <w:left w:w="80" w:type="dxa"/>
              <w:bottom w:w="30" w:type="dxa"/>
              <w:right w:w="80" w:type="dxa"/>
            </w:tcMar>
            <w:vAlign w:val="center"/>
          </w:tcPr>
          <w:p w14:paraId="7CAC843D">
            <w:pPr>
              <w:spacing w:after="0" w:line="240" w:lineRule="auto"/>
              <w:jc w:val="center"/>
            </w:pPr>
            <w:r>
              <w:rPr>
                <w:rFonts w:ascii="Times New Roman" w:hAnsi="Times New Roman" w:eastAsia="Times New Roman" w:cs="Times New Roman"/>
                <w:b w:val="0"/>
                <w:bCs w:val="0"/>
                <w:i w:val="0"/>
                <w:iCs w:val="0"/>
                <w:sz w:val="20"/>
                <w:szCs w:val="20"/>
              </w:rPr>
              <w:t>1.10 (0.87–1.39)</w:t>
            </w:r>
          </w:p>
        </w:tc>
        <w:tc>
          <w:tcPr>
            <w:tcW w:w="2534" w:type="dxa"/>
            <w:tcBorders>
              <w:top w:val="nil"/>
              <w:left w:val="nil"/>
              <w:bottom w:val="nil"/>
              <w:right w:val="nil"/>
            </w:tcBorders>
            <w:tcMar>
              <w:top w:w="30" w:type="dxa"/>
              <w:left w:w="80" w:type="dxa"/>
              <w:bottom w:w="30" w:type="dxa"/>
              <w:right w:w="80" w:type="dxa"/>
            </w:tcMar>
            <w:vAlign w:val="center"/>
          </w:tcPr>
          <w:p w14:paraId="52E3E150">
            <w:pPr>
              <w:spacing w:after="0" w:line="240" w:lineRule="auto"/>
              <w:jc w:val="center"/>
            </w:pPr>
            <w:r>
              <w:rPr>
                <w:rFonts w:ascii="Times New Roman" w:hAnsi="Times New Roman" w:eastAsia="Times New Roman" w:cs="Times New Roman"/>
                <w:b w:val="0"/>
                <w:bCs w:val="0"/>
                <w:i w:val="0"/>
                <w:iCs w:val="0"/>
                <w:sz w:val="20"/>
                <w:szCs w:val="20"/>
              </w:rPr>
              <w:t>1.58 (1.16–2.15)</w:t>
            </w:r>
          </w:p>
        </w:tc>
      </w:tr>
      <w:tr w14:paraId="46E16717">
        <w:tc>
          <w:tcPr>
            <w:tcW w:w="4160" w:type="dxa"/>
            <w:tcBorders>
              <w:top w:val="nil"/>
              <w:left w:val="nil"/>
              <w:bottom w:val="nil"/>
              <w:right w:val="nil"/>
            </w:tcBorders>
            <w:tcMar>
              <w:top w:w="30" w:type="dxa"/>
              <w:left w:w="80" w:type="dxa"/>
              <w:bottom w:w="30" w:type="dxa"/>
              <w:right w:w="80" w:type="dxa"/>
            </w:tcMar>
            <w:vAlign w:val="center"/>
          </w:tcPr>
          <w:p w14:paraId="73E47CB8">
            <w:pPr>
              <w:spacing w:after="0" w:line="240" w:lineRule="auto"/>
              <w:jc w:val="left"/>
            </w:pPr>
            <w:r>
              <w:rPr>
                <w:rFonts w:ascii="Times New Roman" w:hAnsi="Times New Roman" w:eastAsia="Times New Roman" w:cs="Times New Roman"/>
                <w:b w:val="0"/>
                <w:bCs w:val="0"/>
                <w:i w:val="0"/>
                <w:iCs w:val="0"/>
                <w:sz w:val="20"/>
                <w:szCs w:val="20"/>
              </w:rPr>
              <w:t>Reduced LVEF (&lt;50%)</w:t>
            </w:r>
          </w:p>
        </w:tc>
        <w:tc>
          <w:tcPr>
            <w:tcW w:w="1200" w:type="dxa"/>
            <w:tcBorders>
              <w:top w:val="nil"/>
              <w:left w:val="nil"/>
              <w:bottom w:val="nil"/>
              <w:right w:val="nil"/>
            </w:tcBorders>
            <w:tcMar>
              <w:top w:w="30" w:type="dxa"/>
              <w:left w:w="80" w:type="dxa"/>
              <w:bottom w:w="30" w:type="dxa"/>
              <w:right w:w="80" w:type="dxa"/>
            </w:tcMar>
            <w:vAlign w:val="center"/>
          </w:tcPr>
          <w:p w14:paraId="7C4553F7">
            <w:pPr>
              <w:spacing w:after="0" w:line="240" w:lineRule="auto"/>
              <w:jc w:val="center"/>
            </w:pPr>
            <w:r>
              <w:rPr>
                <w:rFonts w:ascii="Times New Roman" w:hAnsi="Times New Roman" w:eastAsia="Times New Roman" w:cs="Times New Roman"/>
                <w:b w:val="0"/>
                <w:bCs w:val="0"/>
                <w:i w:val="0"/>
                <w:iCs w:val="0"/>
                <w:sz w:val="20"/>
                <w:szCs w:val="20"/>
              </w:rPr>
              <w:t>2,483</w:t>
            </w:r>
          </w:p>
        </w:tc>
        <w:tc>
          <w:tcPr>
            <w:tcW w:w="2533" w:type="dxa"/>
            <w:tcBorders>
              <w:top w:val="nil"/>
              <w:left w:val="nil"/>
              <w:bottom w:val="nil"/>
              <w:right w:val="nil"/>
            </w:tcBorders>
            <w:tcMar>
              <w:top w:w="30" w:type="dxa"/>
              <w:left w:w="80" w:type="dxa"/>
              <w:bottom w:w="30" w:type="dxa"/>
              <w:right w:w="80" w:type="dxa"/>
            </w:tcMar>
            <w:vAlign w:val="center"/>
          </w:tcPr>
          <w:p w14:paraId="012BAC96">
            <w:pPr>
              <w:spacing w:after="0" w:line="240" w:lineRule="auto"/>
              <w:jc w:val="center"/>
            </w:pPr>
            <w:r>
              <w:rPr>
                <w:rFonts w:ascii="Times New Roman" w:hAnsi="Times New Roman" w:eastAsia="Times New Roman" w:cs="Times New Roman"/>
                <w:b w:val="0"/>
                <w:bCs w:val="0"/>
                <w:i w:val="0"/>
                <w:iCs w:val="0"/>
                <w:sz w:val="20"/>
                <w:szCs w:val="20"/>
              </w:rPr>
              <w:t>1.13 (0.91–1.38)</w:t>
            </w:r>
          </w:p>
        </w:tc>
        <w:tc>
          <w:tcPr>
            <w:tcW w:w="2533" w:type="dxa"/>
            <w:tcBorders>
              <w:top w:val="nil"/>
              <w:left w:val="nil"/>
              <w:bottom w:val="nil"/>
              <w:right w:val="nil"/>
            </w:tcBorders>
            <w:tcMar>
              <w:top w:w="30" w:type="dxa"/>
              <w:left w:w="80" w:type="dxa"/>
              <w:bottom w:w="30" w:type="dxa"/>
              <w:right w:w="80" w:type="dxa"/>
            </w:tcMar>
            <w:vAlign w:val="center"/>
          </w:tcPr>
          <w:p w14:paraId="05C1BF48">
            <w:pPr>
              <w:spacing w:after="0" w:line="240" w:lineRule="auto"/>
              <w:jc w:val="center"/>
            </w:pPr>
            <w:r>
              <w:rPr>
                <w:rFonts w:ascii="Times New Roman" w:hAnsi="Times New Roman" w:eastAsia="Times New Roman" w:cs="Times New Roman"/>
                <w:b w:val="0"/>
                <w:bCs w:val="0"/>
                <w:i w:val="0"/>
                <w:iCs w:val="0"/>
                <w:sz w:val="20"/>
                <w:szCs w:val="20"/>
              </w:rPr>
              <w:t>1.47 (1.10–1.97)</w:t>
            </w:r>
          </w:p>
        </w:tc>
        <w:tc>
          <w:tcPr>
            <w:tcW w:w="2534" w:type="dxa"/>
            <w:tcBorders>
              <w:top w:val="nil"/>
              <w:left w:val="nil"/>
              <w:bottom w:val="nil"/>
              <w:right w:val="nil"/>
            </w:tcBorders>
            <w:tcMar>
              <w:top w:w="30" w:type="dxa"/>
              <w:left w:w="80" w:type="dxa"/>
              <w:bottom w:w="30" w:type="dxa"/>
              <w:right w:w="80" w:type="dxa"/>
            </w:tcMar>
            <w:vAlign w:val="center"/>
          </w:tcPr>
          <w:p w14:paraId="693CBEC4">
            <w:pPr>
              <w:spacing w:after="0" w:line="240" w:lineRule="auto"/>
              <w:jc w:val="center"/>
            </w:pPr>
            <w:r>
              <w:rPr>
                <w:rFonts w:ascii="Times New Roman" w:hAnsi="Times New Roman" w:eastAsia="Times New Roman" w:cs="Times New Roman"/>
                <w:b w:val="0"/>
                <w:bCs w:val="0"/>
                <w:i w:val="0"/>
                <w:iCs w:val="0"/>
                <w:sz w:val="20"/>
                <w:szCs w:val="20"/>
              </w:rPr>
              <w:t>1.91 (1.21–3.00)</w:t>
            </w:r>
          </w:p>
        </w:tc>
      </w:tr>
      <w:tr w14:paraId="11D34A13">
        <w:tc>
          <w:tcPr>
            <w:tcW w:w="12960" w:type="dxa"/>
            <w:gridSpan w:val="5"/>
            <w:tcBorders>
              <w:top w:val="nil"/>
              <w:left w:val="nil"/>
              <w:bottom w:val="nil"/>
              <w:right w:val="nil"/>
            </w:tcBorders>
            <w:tcMar>
              <w:top w:w="30" w:type="dxa"/>
              <w:left w:w="80" w:type="dxa"/>
              <w:bottom w:w="30" w:type="dxa"/>
              <w:right w:w="80" w:type="dxa"/>
            </w:tcMar>
            <w:vAlign w:val="center"/>
          </w:tcPr>
          <w:p w14:paraId="02344E74">
            <w:pPr>
              <w:spacing w:after="0" w:line="240" w:lineRule="auto"/>
              <w:jc w:val="left"/>
            </w:pPr>
            <w:r>
              <w:rPr>
                <w:rFonts w:ascii="Times New Roman" w:hAnsi="Times New Roman" w:eastAsia="Times New Roman" w:cs="Times New Roman"/>
                <w:b/>
                <w:bCs/>
                <w:i/>
                <w:iCs/>
                <w:sz w:val="20"/>
                <w:szCs w:val="20"/>
              </w:rPr>
              <w:t>Time-stratified analysis (post hoc, HR)</w:t>
            </w:r>
          </w:p>
        </w:tc>
      </w:tr>
      <w:tr w14:paraId="3A82A6CE">
        <w:tc>
          <w:tcPr>
            <w:tcW w:w="4160" w:type="dxa"/>
            <w:tcBorders>
              <w:top w:val="nil"/>
              <w:left w:val="nil"/>
              <w:bottom w:val="nil"/>
              <w:right w:val="nil"/>
            </w:tcBorders>
            <w:tcMar>
              <w:top w:w="30" w:type="dxa"/>
              <w:left w:w="80" w:type="dxa"/>
              <w:bottom w:w="30" w:type="dxa"/>
              <w:right w:w="80" w:type="dxa"/>
            </w:tcMar>
            <w:vAlign w:val="center"/>
          </w:tcPr>
          <w:p w14:paraId="69114F74">
            <w:pPr>
              <w:spacing w:after="0" w:line="240" w:lineRule="auto"/>
              <w:jc w:val="left"/>
            </w:pPr>
            <w:r>
              <w:rPr>
                <w:rFonts w:ascii="Times New Roman" w:hAnsi="Times New Roman" w:eastAsia="Times New Roman" w:cs="Times New Roman"/>
                <w:b w:val="0"/>
                <w:bCs w:val="0"/>
                <w:i w:val="0"/>
                <w:iCs w:val="0"/>
                <w:sz w:val="20"/>
                <w:szCs w:val="20"/>
              </w:rPr>
              <w:t>Days 0–14</w:t>
            </w:r>
          </w:p>
        </w:tc>
        <w:tc>
          <w:tcPr>
            <w:tcW w:w="1200" w:type="dxa"/>
            <w:tcBorders>
              <w:top w:val="nil"/>
              <w:left w:val="nil"/>
              <w:bottom w:val="nil"/>
              <w:right w:val="nil"/>
            </w:tcBorders>
            <w:tcMar>
              <w:top w:w="30" w:type="dxa"/>
              <w:left w:w="80" w:type="dxa"/>
              <w:bottom w:w="30" w:type="dxa"/>
              <w:right w:w="80" w:type="dxa"/>
            </w:tcMar>
            <w:vAlign w:val="center"/>
          </w:tcPr>
          <w:p w14:paraId="16788535">
            <w:pPr>
              <w:spacing w:after="0" w:line="240" w:lineRule="auto"/>
              <w:jc w:val="center"/>
            </w:pPr>
            <w:r>
              <w:rPr>
                <w:rFonts w:ascii="Times New Roman" w:hAnsi="Times New Roman" w:eastAsia="Times New Roman" w:cs="Times New Roman"/>
                <w:b w:val="0"/>
                <w:bCs w:val="0"/>
                <w:i w:val="0"/>
                <w:iCs w:val="0"/>
                <w:sz w:val="20"/>
                <w:szCs w:val="20"/>
              </w:rPr>
              <w:t>12,878</w:t>
            </w:r>
          </w:p>
        </w:tc>
        <w:tc>
          <w:tcPr>
            <w:tcW w:w="2533" w:type="dxa"/>
            <w:tcBorders>
              <w:top w:val="nil"/>
              <w:left w:val="nil"/>
              <w:bottom w:val="nil"/>
              <w:right w:val="nil"/>
            </w:tcBorders>
            <w:tcMar>
              <w:top w:w="30" w:type="dxa"/>
              <w:left w:w="80" w:type="dxa"/>
              <w:bottom w:w="30" w:type="dxa"/>
              <w:right w:w="80" w:type="dxa"/>
            </w:tcMar>
            <w:vAlign w:val="center"/>
          </w:tcPr>
          <w:p w14:paraId="203EDEA1">
            <w:pPr>
              <w:spacing w:after="0" w:line="240" w:lineRule="auto"/>
              <w:jc w:val="center"/>
            </w:pPr>
            <w:r>
              <w:rPr>
                <w:rFonts w:ascii="Times New Roman" w:hAnsi="Times New Roman" w:eastAsia="Times New Roman" w:cs="Times New Roman"/>
                <w:b w:val="0"/>
                <w:bCs w:val="0"/>
                <w:i w:val="0"/>
                <w:iCs w:val="0"/>
                <w:sz w:val="20"/>
                <w:szCs w:val="20"/>
              </w:rPr>
              <w:t>1.22 (1.09–1.37)</w:t>
            </w:r>
          </w:p>
        </w:tc>
        <w:tc>
          <w:tcPr>
            <w:tcW w:w="2533" w:type="dxa"/>
            <w:tcBorders>
              <w:top w:val="nil"/>
              <w:left w:val="nil"/>
              <w:bottom w:val="nil"/>
              <w:right w:val="nil"/>
            </w:tcBorders>
            <w:tcMar>
              <w:top w:w="30" w:type="dxa"/>
              <w:left w:w="80" w:type="dxa"/>
              <w:bottom w:w="30" w:type="dxa"/>
              <w:right w:w="80" w:type="dxa"/>
            </w:tcMar>
            <w:vAlign w:val="center"/>
          </w:tcPr>
          <w:p w14:paraId="53353336">
            <w:pPr>
              <w:spacing w:after="0" w:line="240" w:lineRule="auto"/>
              <w:jc w:val="center"/>
            </w:pPr>
            <w:r>
              <w:rPr>
                <w:rFonts w:ascii="Times New Roman" w:hAnsi="Times New Roman" w:eastAsia="Times New Roman" w:cs="Times New Roman"/>
                <w:b w:val="0"/>
                <w:bCs w:val="0"/>
                <w:i w:val="0"/>
                <w:iCs w:val="0"/>
                <w:sz w:val="20"/>
                <w:szCs w:val="20"/>
              </w:rPr>
              <w:t>1.58 (1.30–1.93)</w:t>
            </w:r>
          </w:p>
        </w:tc>
        <w:tc>
          <w:tcPr>
            <w:tcW w:w="2534" w:type="dxa"/>
            <w:tcBorders>
              <w:top w:val="nil"/>
              <w:left w:val="nil"/>
              <w:bottom w:val="nil"/>
              <w:right w:val="nil"/>
            </w:tcBorders>
            <w:tcMar>
              <w:top w:w="30" w:type="dxa"/>
              <w:left w:w="80" w:type="dxa"/>
              <w:bottom w:w="30" w:type="dxa"/>
              <w:right w:w="80" w:type="dxa"/>
            </w:tcMar>
            <w:vAlign w:val="center"/>
          </w:tcPr>
          <w:p w14:paraId="35BD9743">
            <w:pPr>
              <w:spacing w:after="0" w:line="240" w:lineRule="auto"/>
              <w:jc w:val="center"/>
            </w:pPr>
            <w:r>
              <w:rPr>
                <w:rFonts w:ascii="Times New Roman" w:hAnsi="Times New Roman" w:eastAsia="Times New Roman" w:cs="Times New Roman"/>
                <w:b w:val="0"/>
                <w:bCs w:val="0"/>
                <w:i w:val="0"/>
                <w:iCs w:val="0"/>
                <w:sz w:val="20"/>
                <w:szCs w:val="20"/>
              </w:rPr>
              <w:t>1.51 (1.10–2.08)</w:t>
            </w:r>
          </w:p>
        </w:tc>
      </w:tr>
      <w:tr w14:paraId="48D03088">
        <w:tc>
          <w:tcPr>
            <w:tcW w:w="4160" w:type="dxa"/>
            <w:tcBorders>
              <w:top w:val="nil"/>
              <w:left w:val="nil"/>
              <w:bottom w:val="single" w:color="000000" w:sz="8" w:space="0"/>
              <w:right w:val="nil"/>
            </w:tcBorders>
            <w:tcMar>
              <w:top w:w="30" w:type="dxa"/>
              <w:left w:w="80" w:type="dxa"/>
              <w:bottom w:w="30" w:type="dxa"/>
              <w:right w:w="80" w:type="dxa"/>
            </w:tcMar>
            <w:vAlign w:val="center"/>
          </w:tcPr>
          <w:p w14:paraId="627B9C34">
            <w:pPr>
              <w:spacing w:after="0" w:line="240" w:lineRule="auto"/>
              <w:jc w:val="left"/>
            </w:pPr>
            <w:r>
              <w:rPr>
                <w:rFonts w:ascii="Times New Roman" w:hAnsi="Times New Roman" w:eastAsia="Times New Roman" w:cs="Times New Roman"/>
                <w:b w:val="0"/>
                <w:bCs w:val="0"/>
                <w:i w:val="0"/>
                <w:iCs w:val="0"/>
                <w:sz w:val="20"/>
                <w:szCs w:val="20"/>
              </w:rPr>
              <w:t>Days 15–90</w:t>
            </w:r>
          </w:p>
        </w:tc>
        <w:tc>
          <w:tcPr>
            <w:tcW w:w="1200" w:type="dxa"/>
            <w:tcBorders>
              <w:top w:val="nil"/>
              <w:left w:val="nil"/>
              <w:bottom w:val="single" w:color="000000" w:sz="8" w:space="0"/>
              <w:right w:val="nil"/>
            </w:tcBorders>
            <w:tcMar>
              <w:top w:w="30" w:type="dxa"/>
              <w:left w:w="80" w:type="dxa"/>
              <w:bottom w:w="30" w:type="dxa"/>
              <w:right w:w="80" w:type="dxa"/>
            </w:tcMar>
            <w:vAlign w:val="center"/>
          </w:tcPr>
          <w:p w14:paraId="56C8A72C">
            <w:pPr>
              <w:spacing w:after="0" w:line="240" w:lineRule="auto"/>
              <w:jc w:val="center"/>
            </w:pPr>
            <w:r>
              <w:rPr>
                <w:rFonts w:ascii="Times New Roman" w:hAnsi="Times New Roman" w:eastAsia="Times New Roman" w:cs="Times New Roman"/>
                <w:b w:val="0"/>
                <w:bCs w:val="0"/>
                <w:i w:val="0"/>
                <w:iCs w:val="0"/>
                <w:sz w:val="20"/>
                <w:szCs w:val="20"/>
              </w:rPr>
              <w:t>10,865</w:t>
            </w:r>
          </w:p>
        </w:tc>
        <w:tc>
          <w:tcPr>
            <w:tcW w:w="2533" w:type="dxa"/>
            <w:tcBorders>
              <w:top w:val="nil"/>
              <w:left w:val="nil"/>
              <w:bottom w:val="single" w:color="000000" w:sz="8" w:space="0"/>
              <w:right w:val="nil"/>
            </w:tcBorders>
            <w:tcMar>
              <w:top w:w="30" w:type="dxa"/>
              <w:left w:w="80" w:type="dxa"/>
              <w:bottom w:w="30" w:type="dxa"/>
              <w:right w:w="80" w:type="dxa"/>
            </w:tcMar>
            <w:vAlign w:val="center"/>
          </w:tcPr>
          <w:p w14:paraId="0C23DF1E">
            <w:pPr>
              <w:spacing w:after="0" w:line="240" w:lineRule="auto"/>
              <w:jc w:val="center"/>
            </w:pPr>
            <w:r>
              <w:rPr>
                <w:rFonts w:ascii="Times New Roman" w:hAnsi="Times New Roman" w:eastAsia="Times New Roman" w:cs="Times New Roman"/>
                <w:b w:val="0"/>
                <w:bCs w:val="0"/>
                <w:i w:val="0"/>
                <w:iCs w:val="0"/>
                <w:sz w:val="20"/>
                <w:szCs w:val="20"/>
              </w:rPr>
              <w:t>1.09 (0.95–1.25)</w:t>
            </w:r>
          </w:p>
        </w:tc>
        <w:tc>
          <w:tcPr>
            <w:tcW w:w="2533" w:type="dxa"/>
            <w:tcBorders>
              <w:top w:val="nil"/>
              <w:left w:val="nil"/>
              <w:bottom w:val="single" w:color="000000" w:sz="8" w:space="0"/>
              <w:right w:val="nil"/>
            </w:tcBorders>
            <w:tcMar>
              <w:top w:w="30" w:type="dxa"/>
              <w:left w:w="80" w:type="dxa"/>
              <w:bottom w:w="30" w:type="dxa"/>
              <w:right w:w="80" w:type="dxa"/>
            </w:tcMar>
            <w:vAlign w:val="center"/>
          </w:tcPr>
          <w:p w14:paraId="18535418">
            <w:pPr>
              <w:spacing w:after="0" w:line="240" w:lineRule="auto"/>
              <w:jc w:val="center"/>
            </w:pPr>
            <w:r>
              <w:rPr>
                <w:rFonts w:ascii="Times New Roman" w:hAnsi="Times New Roman" w:eastAsia="Times New Roman" w:cs="Times New Roman"/>
                <w:b w:val="0"/>
                <w:bCs w:val="0"/>
                <w:i w:val="0"/>
                <w:iCs w:val="0"/>
                <w:sz w:val="20"/>
                <w:szCs w:val="20"/>
              </w:rPr>
              <w:t>1.04 (0.80–1.36)</w:t>
            </w:r>
          </w:p>
        </w:tc>
        <w:tc>
          <w:tcPr>
            <w:tcW w:w="2534" w:type="dxa"/>
            <w:tcBorders>
              <w:top w:val="nil"/>
              <w:left w:val="nil"/>
              <w:bottom w:val="single" w:color="000000" w:sz="8" w:space="0"/>
              <w:right w:val="nil"/>
            </w:tcBorders>
            <w:tcMar>
              <w:top w:w="30" w:type="dxa"/>
              <w:left w:w="80" w:type="dxa"/>
              <w:bottom w:w="30" w:type="dxa"/>
              <w:right w:w="80" w:type="dxa"/>
            </w:tcMar>
            <w:vAlign w:val="center"/>
          </w:tcPr>
          <w:p w14:paraId="631735FA">
            <w:pPr>
              <w:spacing w:after="0" w:line="240" w:lineRule="auto"/>
              <w:jc w:val="center"/>
            </w:pPr>
            <w:r>
              <w:rPr>
                <w:rFonts w:ascii="Times New Roman" w:hAnsi="Times New Roman" w:eastAsia="Times New Roman" w:cs="Times New Roman"/>
                <w:b w:val="0"/>
                <w:bCs w:val="0"/>
                <w:i w:val="0"/>
                <w:iCs w:val="0"/>
                <w:sz w:val="20"/>
                <w:szCs w:val="20"/>
              </w:rPr>
              <w:t>1.69 (1.20–2.37)</w:t>
            </w:r>
          </w:p>
        </w:tc>
      </w:tr>
    </w:tbl>
    <w:p w14:paraId="4995F01E">
      <w:pPr>
        <w:spacing w:before="0" w:after="20" w:line="240" w:lineRule="auto"/>
      </w:pPr>
      <w:r>
        <w:rPr>
          <w:rFonts w:ascii="Times New Roman" w:hAnsi="Times New Roman" w:eastAsia="Times New Roman" w:cs="Times New Roman"/>
          <w:b w:val="0"/>
          <w:bCs w:val="0"/>
          <w:i/>
          <w:iCs/>
          <w:sz w:val="20"/>
          <w:szCs w:val="20"/>
        </w:rPr>
        <w:t>All estimates are hazard ratios from Cox proportional-hazards models adjusted for the covariates listed in the Methods, with no stenosis as the reference; em dashes denote categories not defined for a given analysis. The gradient-available stratum compares concordantly graded moderate and severe stenosis with concordant no stenosis among patients with a recorded gradient; the full no-stenosis reference compares the same concordant groups with all patients without stenosis. The full-cohort analysis adds the cardiac-diagnosis covariate, and the without-support analysis omits the vasopressor and mechanical-ventilation covariates. The Fine–Gray row reports covariate-adjusted subdistribution hazard ratios (sHR) for in-hospital death, with live hospital discharge treated as a competing event; severe stenosis was based on few in-hospital events and its confidence interval reaches the null. The time-stratified analysis characterizes the grade-specific time-course of risk (the Schoenfeld test for aortic stenosis grade was not significant, P = 0.32): the days 15–90 estimate is left-truncated at day 14. The moderate-stenosis hazard was concentrated in days 0–14, whereas the severe-stenosis hazard was sustained. The parsimonious model included age, sex, the SOFA score, and the Charlson index; the heart-failure and ejection-fraction models added those covariates to the primary model. The ejection-fraction subgroups were restricted to the 10,324 patients with a recorded ejection fraction (ejection fraction was unavailable in 2,554). Within the preserved-ejection-fraction stratum the numbers of patients (and 90-day deaths) by grade were: no stenosis 6,282 (1,494), aortic sclerosis 1,218 (380), moderate stenosis 243 (77), and severe stenosis 98 (42); within the reduced-ejection-fraction stratum they were: no stenosis 2,082 (726), aortic sclerosis 271 (106), moderate stenosis 94 (50), and severe stenosis 36 (20). The multiplicative interaction between aortic-stenosis grade and ejection-fraction category was not statistically significant (P = 0.21, likelihood-ratio test, 3 degrees of freedom). All sensitivity and subgroup analyses were exploratory and unadjusted for multiple comparisons. CI, confidence interval; HR, hazard ratio; LVEF, left-ventricular ejection fraction.</w:t>
      </w:r>
    </w:p>
    <w:p w14:paraId="5F01A8A0">
      <w:pPr>
        <w:spacing w:before="120" w:after="120"/>
      </w:pPr>
      <w:r>
        <w:rPr>
          <w:rFonts w:ascii="Times New Roman" w:hAnsi="Times New Roman" w:eastAsia="Times New Roman" w:cs="Times New Roman"/>
          <w:b/>
          <w:bCs/>
          <w:i w:val="0"/>
          <w:iCs w:val="0"/>
          <w:sz w:val="24"/>
          <w:szCs w:val="24"/>
        </w:rPr>
        <w:t xml:space="preserve">Table S5. </w:t>
      </w:r>
      <w:r>
        <w:rPr>
          <w:rFonts w:ascii="Times New Roman" w:hAnsi="Times New Roman" w:eastAsia="Times New Roman" w:cs="Times New Roman"/>
          <w:b w:val="0"/>
          <w:bCs w:val="0"/>
          <w:i w:val="0"/>
          <w:iCs w:val="0"/>
          <w:sz w:val="24"/>
          <w:szCs w:val="24"/>
        </w:rPr>
        <w:t>Data sources and definitions of study variables.</w:t>
      </w:r>
    </w:p>
    <w:tbl>
      <w:tblPr>
        <w:tblStyle w:val="11"/>
        <w:tblW w:w="12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600"/>
        <w:gridCol w:w="9360"/>
      </w:tblGrid>
      <w:tr w14:paraId="559FFC82">
        <w:trPr>
          <w:tblHeader/>
        </w:trPr>
        <w:tc>
          <w:tcPr>
            <w:tcW w:w="3600" w:type="dxa"/>
            <w:tcBorders>
              <w:top w:val="single" w:color="000000" w:sz="8" w:space="0"/>
              <w:left w:val="nil"/>
              <w:bottom w:val="single" w:color="000000" w:sz="4" w:space="0"/>
              <w:right w:val="nil"/>
            </w:tcBorders>
            <w:tcMar>
              <w:top w:w="30" w:type="dxa"/>
              <w:left w:w="80" w:type="dxa"/>
              <w:bottom w:w="30" w:type="dxa"/>
              <w:right w:w="80" w:type="dxa"/>
            </w:tcMar>
            <w:vAlign w:val="center"/>
          </w:tcPr>
          <w:p w14:paraId="3B8F0FBC">
            <w:pPr>
              <w:spacing w:after="0" w:line="240" w:lineRule="auto"/>
              <w:jc w:val="left"/>
            </w:pPr>
            <w:r>
              <w:rPr>
                <w:rFonts w:ascii="Times New Roman" w:hAnsi="Times New Roman" w:eastAsia="Times New Roman" w:cs="Times New Roman"/>
                <w:b/>
                <w:bCs/>
                <w:i w:val="0"/>
                <w:iCs w:val="0"/>
                <w:sz w:val="20"/>
                <w:szCs w:val="20"/>
              </w:rPr>
              <w:t>Item</w:t>
            </w:r>
          </w:p>
        </w:tc>
        <w:tc>
          <w:tcPr>
            <w:tcW w:w="9360" w:type="dxa"/>
            <w:tcBorders>
              <w:top w:val="single" w:color="000000" w:sz="8" w:space="0"/>
              <w:left w:val="nil"/>
              <w:bottom w:val="single" w:color="000000" w:sz="4" w:space="0"/>
              <w:right w:val="nil"/>
            </w:tcBorders>
            <w:tcMar>
              <w:top w:w="30" w:type="dxa"/>
              <w:left w:w="80" w:type="dxa"/>
              <w:bottom w:w="30" w:type="dxa"/>
              <w:right w:w="80" w:type="dxa"/>
            </w:tcMar>
            <w:vAlign w:val="center"/>
          </w:tcPr>
          <w:p w14:paraId="648FA93C">
            <w:pPr>
              <w:spacing w:after="0" w:line="240" w:lineRule="auto"/>
              <w:jc w:val="center"/>
            </w:pPr>
            <w:r>
              <w:rPr>
                <w:rFonts w:ascii="Times New Roman" w:hAnsi="Times New Roman" w:eastAsia="Times New Roman" w:cs="Times New Roman"/>
                <w:b/>
                <w:bCs/>
                <w:i w:val="0"/>
                <w:iCs w:val="0"/>
                <w:sz w:val="20"/>
                <w:szCs w:val="20"/>
              </w:rPr>
              <w:t>Source and definition</w:t>
            </w:r>
          </w:p>
        </w:tc>
      </w:tr>
      <w:tr w14:paraId="20E1A68B">
        <w:tc>
          <w:tcPr>
            <w:tcW w:w="3600" w:type="dxa"/>
            <w:tcBorders>
              <w:top w:val="nil"/>
              <w:left w:val="nil"/>
              <w:bottom w:val="nil"/>
              <w:right w:val="nil"/>
            </w:tcBorders>
            <w:tcMar>
              <w:top w:w="30" w:type="dxa"/>
              <w:left w:w="80" w:type="dxa"/>
              <w:bottom w:w="30" w:type="dxa"/>
              <w:right w:w="80" w:type="dxa"/>
            </w:tcMar>
            <w:vAlign w:val="center"/>
          </w:tcPr>
          <w:p w14:paraId="466F704F">
            <w:pPr>
              <w:spacing w:after="0" w:line="240" w:lineRule="auto"/>
              <w:jc w:val="left"/>
            </w:pPr>
            <w:r>
              <w:rPr>
                <w:rFonts w:ascii="Times New Roman" w:hAnsi="Times New Roman" w:eastAsia="Times New Roman" w:cs="Times New Roman"/>
                <w:b w:val="0"/>
                <w:bCs w:val="0"/>
                <w:i w:val="0"/>
                <w:iCs w:val="0"/>
                <w:sz w:val="20"/>
                <w:szCs w:val="20"/>
              </w:rPr>
              <w:t>Clinical database</w:t>
            </w:r>
          </w:p>
        </w:tc>
        <w:tc>
          <w:tcPr>
            <w:tcW w:w="9360" w:type="dxa"/>
            <w:tcBorders>
              <w:top w:val="nil"/>
              <w:left w:val="nil"/>
              <w:bottom w:val="nil"/>
              <w:right w:val="nil"/>
            </w:tcBorders>
            <w:tcMar>
              <w:top w:w="30" w:type="dxa"/>
              <w:left w:w="80" w:type="dxa"/>
              <w:bottom w:w="30" w:type="dxa"/>
              <w:right w:w="80" w:type="dxa"/>
            </w:tcMar>
            <w:vAlign w:val="center"/>
          </w:tcPr>
          <w:p w14:paraId="4F8872FB">
            <w:pPr>
              <w:spacing w:after="0" w:line="240" w:lineRule="auto"/>
              <w:jc w:val="center"/>
            </w:pPr>
            <w:r>
              <w:rPr>
                <w:rFonts w:ascii="Times New Roman" w:hAnsi="Times New Roman" w:eastAsia="Times New Roman" w:cs="Times New Roman"/>
                <w:b w:val="0"/>
                <w:bCs w:val="0"/>
                <w:i w:val="0"/>
                <w:iCs w:val="0"/>
                <w:sz w:val="20"/>
                <w:szCs w:val="20"/>
              </w:rPr>
              <w:t>MIMIC-IV version 3.1 (hospital, ICU, and derived modules), Beth Israel Deaconess Medical Center.</w:t>
            </w:r>
          </w:p>
        </w:tc>
      </w:tr>
      <w:tr w14:paraId="683A0E0B">
        <w:tc>
          <w:tcPr>
            <w:tcW w:w="3600" w:type="dxa"/>
            <w:tcBorders>
              <w:top w:val="nil"/>
              <w:left w:val="nil"/>
              <w:bottom w:val="nil"/>
              <w:right w:val="nil"/>
            </w:tcBorders>
            <w:tcMar>
              <w:top w:w="30" w:type="dxa"/>
              <w:left w:w="80" w:type="dxa"/>
              <w:bottom w:w="30" w:type="dxa"/>
              <w:right w:w="80" w:type="dxa"/>
            </w:tcMar>
            <w:vAlign w:val="center"/>
          </w:tcPr>
          <w:p w14:paraId="1D1FD6F9">
            <w:pPr>
              <w:spacing w:after="0" w:line="240" w:lineRule="auto"/>
              <w:jc w:val="left"/>
            </w:pPr>
            <w:r>
              <w:rPr>
                <w:rFonts w:ascii="Times New Roman" w:hAnsi="Times New Roman" w:eastAsia="Times New Roman" w:cs="Times New Roman"/>
                <w:b w:val="0"/>
                <w:bCs w:val="0"/>
                <w:i w:val="0"/>
                <w:iCs w:val="0"/>
                <w:sz w:val="20"/>
                <w:szCs w:val="20"/>
              </w:rPr>
              <w:t>Echocardiographic database</w:t>
            </w:r>
          </w:p>
        </w:tc>
        <w:tc>
          <w:tcPr>
            <w:tcW w:w="9360" w:type="dxa"/>
            <w:tcBorders>
              <w:top w:val="nil"/>
              <w:left w:val="nil"/>
              <w:bottom w:val="nil"/>
              <w:right w:val="nil"/>
            </w:tcBorders>
            <w:tcMar>
              <w:top w:w="30" w:type="dxa"/>
              <w:left w:w="80" w:type="dxa"/>
              <w:bottom w:w="30" w:type="dxa"/>
              <w:right w:w="80" w:type="dxa"/>
            </w:tcMar>
            <w:vAlign w:val="center"/>
          </w:tcPr>
          <w:p w14:paraId="10A9BFCF">
            <w:pPr>
              <w:spacing w:after="0" w:line="240" w:lineRule="auto"/>
              <w:jc w:val="center"/>
            </w:pPr>
            <w:r>
              <w:rPr>
                <w:rFonts w:ascii="Times New Roman" w:hAnsi="Times New Roman" w:eastAsia="Times New Roman" w:cs="Times New Roman"/>
                <w:b w:val="0"/>
                <w:bCs w:val="0"/>
                <w:i w:val="0"/>
                <w:iCs w:val="0"/>
                <w:sz w:val="20"/>
                <w:szCs w:val="20"/>
              </w:rPr>
              <w:t>MIMIC-IV-ECHO version 1.0, a structured echocardiogram-matched module containing measurements from echocardiograms performed between 2008 and 2022 in patients matched to the MIMIC-IV Clinical Database; provides peak aortic jet velocity, mean transvalvular gradient, and left-ventricular ejection fraction.</w:t>
            </w:r>
          </w:p>
        </w:tc>
      </w:tr>
      <w:tr w14:paraId="072A9C2C">
        <w:tc>
          <w:tcPr>
            <w:tcW w:w="3600" w:type="dxa"/>
            <w:tcBorders>
              <w:top w:val="nil"/>
              <w:left w:val="nil"/>
              <w:bottom w:val="nil"/>
              <w:right w:val="nil"/>
            </w:tcBorders>
            <w:tcMar>
              <w:top w:w="30" w:type="dxa"/>
              <w:left w:w="80" w:type="dxa"/>
              <w:bottom w:w="30" w:type="dxa"/>
              <w:right w:w="80" w:type="dxa"/>
            </w:tcMar>
            <w:vAlign w:val="center"/>
          </w:tcPr>
          <w:p w14:paraId="7E54A21A">
            <w:pPr>
              <w:spacing w:after="0" w:line="240" w:lineRule="auto"/>
              <w:jc w:val="left"/>
            </w:pPr>
            <w:r>
              <w:rPr>
                <w:rFonts w:ascii="Times New Roman" w:hAnsi="Times New Roman" w:eastAsia="Times New Roman" w:cs="Times New Roman"/>
                <w:b w:val="0"/>
                <w:bCs w:val="0"/>
                <w:i w:val="0"/>
                <w:iCs w:val="0"/>
                <w:sz w:val="20"/>
                <w:szCs w:val="20"/>
              </w:rPr>
              <w:t>Non-cardiac primary cohort</w:t>
            </w:r>
          </w:p>
        </w:tc>
        <w:tc>
          <w:tcPr>
            <w:tcW w:w="9360" w:type="dxa"/>
            <w:tcBorders>
              <w:top w:val="nil"/>
              <w:left w:val="nil"/>
              <w:bottom w:val="nil"/>
              <w:right w:val="nil"/>
            </w:tcBorders>
            <w:tcMar>
              <w:top w:w="30" w:type="dxa"/>
              <w:left w:w="80" w:type="dxa"/>
              <w:bottom w:w="30" w:type="dxa"/>
              <w:right w:w="80" w:type="dxa"/>
            </w:tcMar>
            <w:vAlign w:val="center"/>
          </w:tcPr>
          <w:p w14:paraId="3C490724">
            <w:pPr>
              <w:spacing w:after="0" w:line="240" w:lineRule="auto"/>
              <w:jc w:val="center"/>
            </w:pPr>
            <w:r>
              <w:rPr>
                <w:rFonts w:ascii="Times New Roman" w:hAnsi="Times New Roman" w:eastAsia="Times New Roman" w:cs="Times New Roman"/>
                <w:b w:val="0"/>
                <w:bCs w:val="0"/>
                <w:i w:val="0"/>
                <w:iCs w:val="0"/>
                <w:sz w:val="20"/>
                <w:szCs w:val="20"/>
              </w:rPr>
              <w:t>Patients whose primary hospital diagnosis fell outside the heart-specific ICD categories—ischaemic heart disease, heart failure, cardiac arrhythmia, valvular and rheumatic heart disease, pericardial and myocardial disease, and cardiac arrest. Cerebrovascular and other vascular diagnoses were classified as non-cardiac.</w:t>
            </w:r>
          </w:p>
        </w:tc>
      </w:tr>
      <w:tr w14:paraId="7937040A">
        <w:tc>
          <w:tcPr>
            <w:tcW w:w="3600" w:type="dxa"/>
            <w:tcBorders>
              <w:top w:val="nil"/>
              <w:left w:val="nil"/>
              <w:bottom w:val="nil"/>
              <w:right w:val="nil"/>
            </w:tcBorders>
            <w:tcMar>
              <w:top w:w="30" w:type="dxa"/>
              <w:left w:w="80" w:type="dxa"/>
              <w:bottom w:w="30" w:type="dxa"/>
              <w:right w:w="80" w:type="dxa"/>
            </w:tcMar>
            <w:vAlign w:val="center"/>
          </w:tcPr>
          <w:p w14:paraId="673999AA">
            <w:pPr>
              <w:spacing w:after="0" w:line="240" w:lineRule="auto"/>
              <w:jc w:val="left"/>
            </w:pPr>
            <w:r>
              <w:rPr>
                <w:rFonts w:ascii="Times New Roman" w:hAnsi="Times New Roman" w:eastAsia="Times New Roman" w:cs="Times New Roman"/>
                <w:b w:val="0"/>
                <w:bCs w:val="0"/>
                <w:i w:val="0"/>
                <w:iCs w:val="0"/>
                <w:sz w:val="20"/>
                <w:szCs w:val="20"/>
              </w:rPr>
              <w:t>Aortic stenosis severity</w:t>
            </w:r>
          </w:p>
        </w:tc>
        <w:tc>
          <w:tcPr>
            <w:tcW w:w="9360" w:type="dxa"/>
            <w:tcBorders>
              <w:top w:val="nil"/>
              <w:left w:val="nil"/>
              <w:bottom w:val="nil"/>
              <w:right w:val="nil"/>
            </w:tcBorders>
            <w:tcMar>
              <w:top w:w="30" w:type="dxa"/>
              <w:left w:w="80" w:type="dxa"/>
              <w:bottom w:w="30" w:type="dxa"/>
              <w:right w:w="80" w:type="dxa"/>
            </w:tcMar>
            <w:vAlign w:val="center"/>
          </w:tcPr>
          <w:p w14:paraId="0A403A7B">
            <w:pPr>
              <w:spacing w:after="0" w:line="240" w:lineRule="auto"/>
              <w:jc w:val="center"/>
            </w:pPr>
            <w:r>
              <w:rPr>
                <w:rFonts w:ascii="Times New Roman" w:hAnsi="Times New Roman" w:eastAsia="Times New Roman" w:cs="Times New Roman"/>
                <w:b w:val="0"/>
                <w:bCs w:val="0"/>
                <w:i w:val="0"/>
                <w:iCs w:val="0"/>
                <w:sz w:val="20"/>
                <w:szCs w:val="20"/>
              </w:rPr>
              <w:t>Graded from peak aortic jet velocity per the American Society of Echocardiography and the European Association of Cardiovascular Imaging: none &lt;2.0, aortic sclerosis or mild stenosis 2.0–2.9, moderate 3.0–3.9, severe ≥4.0 m/s. Velocities outside 0.5–8.0 m/s were treated as invalid.</w:t>
            </w:r>
          </w:p>
        </w:tc>
      </w:tr>
      <w:tr w14:paraId="73B522F5">
        <w:tc>
          <w:tcPr>
            <w:tcW w:w="3600" w:type="dxa"/>
            <w:tcBorders>
              <w:top w:val="nil"/>
              <w:left w:val="nil"/>
              <w:bottom w:val="nil"/>
              <w:right w:val="nil"/>
            </w:tcBorders>
            <w:tcMar>
              <w:top w:w="30" w:type="dxa"/>
              <w:left w:w="80" w:type="dxa"/>
              <w:bottom w:w="30" w:type="dxa"/>
              <w:right w:w="80" w:type="dxa"/>
            </w:tcMar>
            <w:vAlign w:val="center"/>
          </w:tcPr>
          <w:p w14:paraId="6C320217">
            <w:pPr>
              <w:spacing w:after="0" w:line="240" w:lineRule="auto"/>
              <w:jc w:val="left"/>
            </w:pPr>
            <w:r>
              <w:rPr>
                <w:rFonts w:ascii="Times New Roman" w:hAnsi="Times New Roman" w:eastAsia="Times New Roman" w:cs="Times New Roman"/>
                <w:b w:val="0"/>
                <w:bCs w:val="0"/>
                <w:i w:val="0"/>
                <w:iCs w:val="0"/>
                <w:sz w:val="20"/>
                <w:szCs w:val="20"/>
              </w:rPr>
              <w:t>Mean transvalvular gradient</w:t>
            </w:r>
          </w:p>
        </w:tc>
        <w:tc>
          <w:tcPr>
            <w:tcW w:w="9360" w:type="dxa"/>
            <w:tcBorders>
              <w:top w:val="nil"/>
              <w:left w:val="nil"/>
              <w:bottom w:val="nil"/>
              <w:right w:val="nil"/>
            </w:tcBorders>
            <w:tcMar>
              <w:top w:w="30" w:type="dxa"/>
              <w:left w:w="80" w:type="dxa"/>
              <w:bottom w:w="30" w:type="dxa"/>
              <w:right w:w="80" w:type="dxa"/>
            </w:tcMar>
            <w:vAlign w:val="center"/>
          </w:tcPr>
          <w:p w14:paraId="4B29D6C2">
            <w:pPr>
              <w:spacing w:after="0" w:line="240" w:lineRule="auto"/>
              <w:jc w:val="center"/>
            </w:pPr>
            <w:r>
              <w:rPr>
                <w:rFonts w:ascii="Times New Roman" w:hAnsi="Times New Roman" w:eastAsia="Times New Roman" w:cs="Times New Roman"/>
                <w:b w:val="0"/>
                <w:bCs w:val="0"/>
                <w:i w:val="0"/>
                <w:iCs w:val="0"/>
                <w:sz w:val="20"/>
                <w:szCs w:val="20"/>
              </w:rPr>
              <w:t>Used for the concordance analysis; grade bands none/mild &lt;20, moderate 20–39, severe ≥40 mmHg, within a plausible range of 0–150 mmHg.</w:t>
            </w:r>
          </w:p>
        </w:tc>
      </w:tr>
      <w:tr w14:paraId="76867EEA">
        <w:tc>
          <w:tcPr>
            <w:tcW w:w="3600" w:type="dxa"/>
            <w:tcBorders>
              <w:top w:val="nil"/>
              <w:left w:val="nil"/>
              <w:bottom w:val="nil"/>
              <w:right w:val="nil"/>
            </w:tcBorders>
            <w:tcMar>
              <w:top w:w="30" w:type="dxa"/>
              <w:left w:w="80" w:type="dxa"/>
              <w:bottom w:w="30" w:type="dxa"/>
              <w:right w:w="80" w:type="dxa"/>
            </w:tcMar>
            <w:vAlign w:val="center"/>
          </w:tcPr>
          <w:p w14:paraId="6D100263">
            <w:pPr>
              <w:spacing w:after="0" w:line="240" w:lineRule="auto"/>
              <w:jc w:val="left"/>
            </w:pPr>
            <w:r>
              <w:rPr>
                <w:rFonts w:ascii="Times New Roman" w:hAnsi="Times New Roman" w:eastAsia="Times New Roman" w:cs="Times New Roman"/>
                <w:b w:val="0"/>
                <w:bCs w:val="0"/>
                <w:i w:val="0"/>
                <w:iCs w:val="0"/>
                <w:sz w:val="20"/>
                <w:szCs w:val="20"/>
              </w:rPr>
              <w:t>Prior aortic valve replacement</w:t>
            </w:r>
          </w:p>
        </w:tc>
        <w:tc>
          <w:tcPr>
            <w:tcW w:w="9360" w:type="dxa"/>
            <w:tcBorders>
              <w:top w:val="nil"/>
              <w:left w:val="nil"/>
              <w:bottom w:val="nil"/>
              <w:right w:val="nil"/>
            </w:tcBorders>
            <w:tcMar>
              <w:top w:w="30" w:type="dxa"/>
              <w:left w:w="80" w:type="dxa"/>
              <w:bottom w:w="30" w:type="dxa"/>
              <w:right w:w="80" w:type="dxa"/>
            </w:tcMar>
            <w:vAlign w:val="center"/>
          </w:tcPr>
          <w:p w14:paraId="5FCC98A5">
            <w:pPr>
              <w:spacing w:after="0" w:line="240" w:lineRule="auto"/>
              <w:jc w:val="center"/>
            </w:pPr>
            <w:r>
              <w:rPr>
                <w:rFonts w:ascii="Times New Roman" w:hAnsi="Times New Roman" w:eastAsia="Times New Roman" w:cs="Times New Roman"/>
                <w:b w:val="0"/>
                <w:bCs w:val="0"/>
                <w:i w:val="0"/>
                <w:iCs w:val="0"/>
                <w:sz w:val="20"/>
                <w:szCs w:val="20"/>
              </w:rPr>
              <w:t>Identified from procedure or diagnosis codes for surgical or transcatheter aortic valve replacement, or from a prosthetic-valve descriptor on the echocardiographic report; such patients were excluded.</w:t>
            </w:r>
          </w:p>
        </w:tc>
      </w:tr>
      <w:tr w14:paraId="4B9C3DD1">
        <w:tc>
          <w:tcPr>
            <w:tcW w:w="3600" w:type="dxa"/>
            <w:tcBorders>
              <w:top w:val="nil"/>
              <w:left w:val="nil"/>
              <w:bottom w:val="nil"/>
              <w:right w:val="nil"/>
            </w:tcBorders>
            <w:tcMar>
              <w:top w:w="30" w:type="dxa"/>
              <w:left w:w="80" w:type="dxa"/>
              <w:bottom w:w="30" w:type="dxa"/>
              <w:right w:w="80" w:type="dxa"/>
            </w:tcMar>
            <w:vAlign w:val="center"/>
          </w:tcPr>
          <w:p w14:paraId="147F2B72">
            <w:pPr>
              <w:spacing w:after="0" w:line="240" w:lineRule="auto"/>
              <w:jc w:val="left"/>
            </w:pPr>
            <w:r>
              <w:rPr>
                <w:rFonts w:ascii="Times New Roman" w:hAnsi="Times New Roman" w:eastAsia="Times New Roman" w:cs="Times New Roman"/>
                <w:b w:val="0"/>
                <w:bCs w:val="0"/>
                <w:i w:val="0"/>
                <w:iCs w:val="0"/>
                <w:sz w:val="20"/>
                <w:szCs w:val="20"/>
              </w:rPr>
              <w:t>SOFA score</w:t>
            </w:r>
          </w:p>
        </w:tc>
        <w:tc>
          <w:tcPr>
            <w:tcW w:w="9360" w:type="dxa"/>
            <w:tcBorders>
              <w:top w:val="nil"/>
              <w:left w:val="nil"/>
              <w:bottom w:val="nil"/>
              <w:right w:val="nil"/>
            </w:tcBorders>
            <w:tcMar>
              <w:top w:w="30" w:type="dxa"/>
              <w:left w:w="80" w:type="dxa"/>
              <w:bottom w:w="30" w:type="dxa"/>
              <w:right w:w="80" w:type="dxa"/>
            </w:tcMar>
            <w:vAlign w:val="center"/>
          </w:tcPr>
          <w:p w14:paraId="4594D35D">
            <w:pPr>
              <w:spacing w:after="0" w:line="240" w:lineRule="auto"/>
              <w:jc w:val="center"/>
            </w:pPr>
            <w:r>
              <w:rPr>
                <w:rFonts w:ascii="Times New Roman" w:hAnsi="Times New Roman" w:eastAsia="Times New Roman" w:cs="Times New Roman"/>
                <w:b w:val="0"/>
                <w:bCs w:val="0"/>
                <w:i w:val="0"/>
                <w:iCs w:val="0"/>
                <w:sz w:val="20"/>
                <w:szCs w:val="20"/>
              </w:rPr>
              <w:t>First-day Sequential Organ Failure Assessment score from the MIMIC-IV derived first-day severity tables.</w:t>
            </w:r>
          </w:p>
        </w:tc>
      </w:tr>
      <w:tr w14:paraId="0854DBE1">
        <w:tc>
          <w:tcPr>
            <w:tcW w:w="3600" w:type="dxa"/>
            <w:tcBorders>
              <w:top w:val="nil"/>
              <w:left w:val="nil"/>
              <w:bottom w:val="nil"/>
              <w:right w:val="nil"/>
            </w:tcBorders>
            <w:tcMar>
              <w:top w:w="30" w:type="dxa"/>
              <w:left w:w="80" w:type="dxa"/>
              <w:bottom w:w="30" w:type="dxa"/>
              <w:right w:w="80" w:type="dxa"/>
            </w:tcMar>
            <w:vAlign w:val="center"/>
          </w:tcPr>
          <w:p w14:paraId="5319F7DA">
            <w:pPr>
              <w:spacing w:after="0" w:line="240" w:lineRule="auto"/>
              <w:jc w:val="left"/>
            </w:pPr>
            <w:r>
              <w:rPr>
                <w:rFonts w:ascii="Times New Roman" w:hAnsi="Times New Roman" w:eastAsia="Times New Roman" w:cs="Times New Roman"/>
                <w:b w:val="0"/>
                <w:bCs w:val="0"/>
                <w:i w:val="0"/>
                <w:iCs w:val="0"/>
                <w:sz w:val="20"/>
                <w:szCs w:val="20"/>
              </w:rPr>
              <w:t>Charlson comorbidity index</w:t>
            </w:r>
          </w:p>
        </w:tc>
        <w:tc>
          <w:tcPr>
            <w:tcW w:w="9360" w:type="dxa"/>
            <w:tcBorders>
              <w:top w:val="nil"/>
              <w:left w:val="nil"/>
              <w:bottom w:val="nil"/>
              <w:right w:val="nil"/>
            </w:tcBorders>
            <w:tcMar>
              <w:top w:w="30" w:type="dxa"/>
              <w:left w:w="80" w:type="dxa"/>
              <w:bottom w:w="30" w:type="dxa"/>
              <w:right w:w="80" w:type="dxa"/>
            </w:tcMar>
            <w:vAlign w:val="center"/>
          </w:tcPr>
          <w:p w14:paraId="680FED30">
            <w:pPr>
              <w:spacing w:after="0" w:line="240" w:lineRule="auto"/>
              <w:jc w:val="center"/>
            </w:pPr>
            <w:r>
              <w:rPr>
                <w:rFonts w:ascii="Times New Roman" w:hAnsi="Times New Roman" w:eastAsia="Times New Roman" w:cs="Times New Roman"/>
                <w:b w:val="0"/>
                <w:bCs w:val="0"/>
                <w:i w:val="0"/>
                <w:iCs w:val="0"/>
                <w:sz w:val="20"/>
                <w:szCs w:val="20"/>
              </w:rPr>
              <w:t>From the MIMIC-IV derived comorbidity table.</w:t>
            </w:r>
          </w:p>
        </w:tc>
      </w:tr>
      <w:tr w14:paraId="6444E84A">
        <w:tc>
          <w:tcPr>
            <w:tcW w:w="3600" w:type="dxa"/>
            <w:tcBorders>
              <w:top w:val="nil"/>
              <w:left w:val="nil"/>
              <w:bottom w:val="nil"/>
              <w:right w:val="nil"/>
            </w:tcBorders>
            <w:tcMar>
              <w:top w:w="30" w:type="dxa"/>
              <w:left w:w="80" w:type="dxa"/>
              <w:bottom w:w="30" w:type="dxa"/>
              <w:right w:w="80" w:type="dxa"/>
            </w:tcMar>
            <w:vAlign w:val="center"/>
          </w:tcPr>
          <w:p w14:paraId="4C970DC2">
            <w:pPr>
              <w:spacing w:after="0" w:line="240" w:lineRule="auto"/>
              <w:jc w:val="left"/>
            </w:pPr>
            <w:r>
              <w:rPr>
                <w:rFonts w:ascii="Times New Roman" w:hAnsi="Times New Roman" w:eastAsia="Times New Roman" w:cs="Times New Roman"/>
                <w:b w:val="0"/>
                <w:bCs w:val="0"/>
                <w:i w:val="0"/>
                <w:iCs w:val="0"/>
                <w:sz w:val="20"/>
                <w:szCs w:val="20"/>
              </w:rPr>
              <w:t>Comorbidities</w:t>
            </w:r>
          </w:p>
        </w:tc>
        <w:tc>
          <w:tcPr>
            <w:tcW w:w="9360" w:type="dxa"/>
            <w:tcBorders>
              <w:top w:val="nil"/>
              <w:left w:val="nil"/>
              <w:bottom w:val="nil"/>
              <w:right w:val="nil"/>
            </w:tcBorders>
            <w:tcMar>
              <w:top w:w="30" w:type="dxa"/>
              <w:left w:w="80" w:type="dxa"/>
              <w:bottom w:w="30" w:type="dxa"/>
              <w:right w:w="80" w:type="dxa"/>
            </w:tcMar>
            <w:vAlign w:val="center"/>
          </w:tcPr>
          <w:p w14:paraId="23C0A3F0">
            <w:pPr>
              <w:spacing w:after="0" w:line="240" w:lineRule="auto"/>
              <w:jc w:val="center"/>
            </w:pPr>
            <w:r>
              <w:rPr>
                <w:rFonts w:ascii="Times New Roman" w:hAnsi="Times New Roman" w:eastAsia="Times New Roman" w:cs="Times New Roman"/>
                <w:b w:val="0"/>
                <w:bCs w:val="0"/>
                <w:i w:val="0"/>
                <w:iCs w:val="0"/>
                <w:sz w:val="20"/>
                <w:szCs w:val="20"/>
              </w:rPr>
              <w:t>Hypertension, atrial fibrillation, diabetes mellitus, chronic kidney disease, heart failure, and chronic pulmonary disease, defined from recorded ICD-9/ICD-10 diagnoses and the standard MIMIC-IV derived comorbidity definitions.</w:t>
            </w:r>
          </w:p>
        </w:tc>
      </w:tr>
      <w:tr w14:paraId="3C6A6143">
        <w:tc>
          <w:tcPr>
            <w:tcW w:w="3600" w:type="dxa"/>
            <w:tcBorders>
              <w:top w:val="nil"/>
              <w:left w:val="nil"/>
              <w:bottom w:val="nil"/>
              <w:right w:val="nil"/>
            </w:tcBorders>
            <w:tcMar>
              <w:top w:w="30" w:type="dxa"/>
              <w:left w:w="80" w:type="dxa"/>
              <w:bottom w:w="30" w:type="dxa"/>
              <w:right w:w="80" w:type="dxa"/>
            </w:tcMar>
            <w:vAlign w:val="center"/>
          </w:tcPr>
          <w:p w14:paraId="75CB0D7E">
            <w:pPr>
              <w:spacing w:after="0" w:line="240" w:lineRule="auto"/>
              <w:jc w:val="left"/>
            </w:pPr>
            <w:r>
              <w:rPr>
                <w:rFonts w:ascii="Times New Roman" w:hAnsi="Times New Roman" w:eastAsia="Times New Roman" w:cs="Times New Roman"/>
                <w:b w:val="0"/>
                <w:bCs w:val="0"/>
                <w:i w:val="0"/>
                <w:iCs w:val="0"/>
                <w:sz w:val="20"/>
                <w:szCs w:val="20"/>
              </w:rPr>
              <w:t>Organ support</w:t>
            </w:r>
          </w:p>
        </w:tc>
        <w:tc>
          <w:tcPr>
            <w:tcW w:w="9360" w:type="dxa"/>
            <w:tcBorders>
              <w:top w:val="nil"/>
              <w:left w:val="nil"/>
              <w:bottom w:val="nil"/>
              <w:right w:val="nil"/>
            </w:tcBorders>
            <w:tcMar>
              <w:top w:w="30" w:type="dxa"/>
              <w:left w:w="80" w:type="dxa"/>
              <w:bottom w:w="30" w:type="dxa"/>
              <w:right w:w="80" w:type="dxa"/>
            </w:tcMar>
            <w:vAlign w:val="center"/>
          </w:tcPr>
          <w:p w14:paraId="37854657">
            <w:pPr>
              <w:spacing w:after="0" w:line="240" w:lineRule="auto"/>
              <w:jc w:val="center"/>
            </w:pPr>
            <w:r>
              <w:rPr>
                <w:rFonts w:ascii="Times New Roman" w:hAnsi="Times New Roman" w:eastAsia="Times New Roman" w:cs="Times New Roman"/>
                <w:b w:val="0"/>
                <w:bCs w:val="0"/>
                <w:i w:val="0"/>
                <w:iCs w:val="0"/>
                <w:sz w:val="20"/>
                <w:szCs w:val="20"/>
              </w:rPr>
              <w:t>Vasopressor administration and invasive mechanical ventilation on the first ICU day from the MIMIC-IV derived treatment tables.</w:t>
            </w:r>
          </w:p>
        </w:tc>
      </w:tr>
      <w:tr w14:paraId="7A8752C7">
        <w:tc>
          <w:tcPr>
            <w:tcW w:w="3600" w:type="dxa"/>
            <w:tcBorders>
              <w:top w:val="nil"/>
              <w:left w:val="nil"/>
              <w:bottom w:val="nil"/>
              <w:right w:val="nil"/>
            </w:tcBorders>
            <w:tcMar>
              <w:top w:w="30" w:type="dxa"/>
              <w:left w:w="80" w:type="dxa"/>
              <w:bottom w:w="30" w:type="dxa"/>
              <w:right w:w="80" w:type="dxa"/>
            </w:tcMar>
            <w:vAlign w:val="center"/>
          </w:tcPr>
          <w:p w14:paraId="65319E61">
            <w:pPr>
              <w:spacing w:after="0" w:line="240" w:lineRule="auto"/>
              <w:jc w:val="left"/>
            </w:pPr>
            <w:r>
              <w:rPr>
                <w:rFonts w:ascii="Times New Roman" w:hAnsi="Times New Roman" w:eastAsia="Times New Roman" w:cs="Times New Roman"/>
                <w:b w:val="0"/>
                <w:bCs w:val="0"/>
                <w:i w:val="0"/>
                <w:iCs w:val="0"/>
                <w:sz w:val="20"/>
                <w:szCs w:val="20"/>
              </w:rPr>
              <w:t>Flow-state proxies</w:t>
            </w:r>
          </w:p>
        </w:tc>
        <w:tc>
          <w:tcPr>
            <w:tcW w:w="9360" w:type="dxa"/>
            <w:tcBorders>
              <w:top w:val="nil"/>
              <w:left w:val="nil"/>
              <w:bottom w:val="nil"/>
              <w:right w:val="nil"/>
            </w:tcBorders>
            <w:tcMar>
              <w:top w:w="30" w:type="dxa"/>
              <w:left w:w="80" w:type="dxa"/>
              <w:bottom w:w="30" w:type="dxa"/>
              <w:right w:w="80" w:type="dxa"/>
            </w:tcMar>
            <w:vAlign w:val="center"/>
          </w:tcPr>
          <w:p w14:paraId="3DA39137">
            <w:pPr>
              <w:spacing w:after="0" w:line="240" w:lineRule="auto"/>
              <w:jc w:val="center"/>
            </w:pPr>
            <w:r>
              <w:rPr>
                <w:rFonts w:ascii="Times New Roman" w:hAnsi="Times New Roman" w:eastAsia="Times New Roman" w:cs="Times New Roman"/>
                <w:b w:val="0"/>
                <w:bCs w:val="0"/>
                <w:i w:val="0"/>
                <w:iCs w:val="0"/>
                <w:sz w:val="20"/>
                <w:szCs w:val="20"/>
              </w:rPr>
              <w:t>First-day minimum haemoglobin, mean heart rate, and maximum temperature from the MIMIC-IV derived first-day laboratory and vital-sign tables.</w:t>
            </w:r>
          </w:p>
        </w:tc>
      </w:tr>
      <w:tr w14:paraId="4A028BDB">
        <w:tc>
          <w:tcPr>
            <w:tcW w:w="3600" w:type="dxa"/>
            <w:tcBorders>
              <w:top w:val="nil"/>
              <w:left w:val="nil"/>
              <w:bottom w:val="single" w:color="000000" w:sz="8" w:space="0"/>
              <w:right w:val="nil"/>
            </w:tcBorders>
            <w:tcMar>
              <w:top w:w="30" w:type="dxa"/>
              <w:left w:w="80" w:type="dxa"/>
              <w:bottom w:w="30" w:type="dxa"/>
              <w:right w:w="80" w:type="dxa"/>
            </w:tcMar>
            <w:vAlign w:val="center"/>
          </w:tcPr>
          <w:p w14:paraId="0F7244F7">
            <w:pPr>
              <w:spacing w:after="0" w:line="240" w:lineRule="auto"/>
              <w:jc w:val="left"/>
            </w:pPr>
            <w:r>
              <w:rPr>
                <w:rFonts w:ascii="Times New Roman" w:hAnsi="Times New Roman" w:eastAsia="Times New Roman" w:cs="Times New Roman"/>
                <w:b w:val="0"/>
                <w:bCs w:val="0"/>
                <w:i w:val="0"/>
                <w:iCs w:val="0"/>
                <w:sz w:val="20"/>
                <w:szCs w:val="20"/>
              </w:rPr>
              <w:t>Mortality</w:t>
            </w:r>
          </w:p>
        </w:tc>
        <w:tc>
          <w:tcPr>
            <w:tcW w:w="9360" w:type="dxa"/>
            <w:tcBorders>
              <w:top w:val="nil"/>
              <w:left w:val="nil"/>
              <w:bottom w:val="single" w:color="000000" w:sz="8" w:space="0"/>
              <w:right w:val="nil"/>
            </w:tcBorders>
            <w:tcMar>
              <w:top w:w="30" w:type="dxa"/>
              <w:left w:w="80" w:type="dxa"/>
              <w:bottom w:w="30" w:type="dxa"/>
              <w:right w:w="80" w:type="dxa"/>
            </w:tcMar>
            <w:vAlign w:val="center"/>
          </w:tcPr>
          <w:p w14:paraId="020C3BB6">
            <w:pPr>
              <w:spacing w:after="0" w:line="240" w:lineRule="auto"/>
              <w:jc w:val="center"/>
            </w:pPr>
            <w:r>
              <w:rPr>
                <w:rFonts w:ascii="Times New Roman" w:hAnsi="Times New Roman" w:eastAsia="Times New Roman" w:cs="Times New Roman"/>
                <w:b w:val="0"/>
                <w:bCs w:val="0"/>
                <w:i w:val="0"/>
                <w:iCs w:val="0"/>
                <w:sz w:val="20"/>
                <w:szCs w:val="20"/>
              </w:rPr>
              <w:t>All-cause death from the recorded date of death; the primary outcome was death within 90 days of the baseline echocardiogram over a fixed follow-up window.</w:t>
            </w:r>
          </w:p>
        </w:tc>
      </w:tr>
    </w:tbl>
    <w:p w14:paraId="7C47DE29">
      <w:pPr>
        <w:spacing w:before="0" w:after="20" w:line="240" w:lineRule="auto"/>
      </w:pPr>
      <w:r>
        <w:rPr>
          <w:rFonts w:ascii="Times New Roman" w:hAnsi="Times New Roman" w:eastAsia="Times New Roman" w:cs="Times New Roman"/>
          <w:b w:val="0"/>
          <w:bCs w:val="0"/>
          <w:i/>
          <w:iCs/>
          <w:sz w:val="20"/>
          <w:szCs w:val="20"/>
        </w:rPr>
        <w:t>ICD, International Classification of Diseases; ICU, intensive care unit; LVEF, left-ventricular ejection fraction; SOFA, Sequential Organ Failure Assessment. Comorbidity and organ-support variables follow the standard MIMIC-IV derived-table definitions; the exact code lists used in cohort extraction are available from the corresponding author on request.</w:t>
      </w:r>
    </w:p>
    <w:sectPr>
      <w:pgSz w:w="15840" w:h="12240" w:orient="landscape"/>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Songti SC">
    <w:panose1 w:val="02010800040101010101"/>
    <w:charset w:val="86"/>
    <w:family w:val="auto"/>
    <w:pitch w:val="default"/>
    <w:sig w:usb0="00000001" w:usb1="080F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宋体-简">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documentProtection w:enforcement="0"/>
  <w:compat>
    <w:useFELayout/>
    <w:compatSetting w:name="compatibilityMode" w:uri="http://schemas.microsoft.com/office/word" w:val="15"/>
  </w:compat>
  <w:rsids>
    <w:rsidRoot w:val="00000000"/>
    <w:rsid w:val="F7D5B2D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iPriority="99" w:name="endnote reference"/>
    <w:lsdException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imes New Roman" w:cs="Times New Roman"/>
      <w:sz w:val="24"/>
      <w:szCs w:val="24"/>
    </w:rPr>
  </w:style>
  <w:style w:type="paragraph" w:styleId="2">
    <w:name w:val="heading 1"/>
    <w:next w:val="1"/>
    <w:qFormat/>
    <w:uiPriority w:val="0"/>
    <w:rPr>
      <w:rFonts w:ascii="Times New Roman" w:hAnsi="Times New Roman" w:eastAsia="Times New Roman" w:cs="Times New Roman"/>
      <w:color w:val="2E74B5"/>
      <w:sz w:val="32"/>
      <w:szCs w:val="32"/>
    </w:rPr>
  </w:style>
  <w:style w:type="paragraph" w:styleId="3">
    <w:name w:val="heading 2"/>
    <w:next w:val="1"/>
    <w:qFormat/>
    <w:uiPriority w:val="0"/>
    <w:rPr>
      <w:rFonts w:ascii="Times New Roman" w:hAnsi="Times New Roman" w:eastAsia="Times New Roman" w:cs="Times New Roman"/>
      <w:color w:val="2E74B5"/>
      <w:sz w:val="26"/>
      <w:szCs w:val="26"/>
    </w:rPr>
  </w:style>
  <w:style w:type="paragraph" w:styleId="4">
    <w:name w:val="heading 3"/>
    <w:next w:val="1"/>
    <w:qFormat/>
    <w:uiPriority w:val="0"/>
    <w:rPr>
      <w:rFonts w:ascii="Times New Roman" w:hAnsi="Times New Roman" w:eastAsia="Times New Roman" w:cs="Times New Roman"/>
      <w:color w:val="1F4D78"/>
      <w:sz w:val="24"/>
      <w:szCs w:val="24"/>
    </w:rPr>
  </w:style>
  <w:style w:type="paragraph" w:styleId="5">
    <w:name w:val="heading 4"/>
    <w:next w:val="1"/>
    <w:qFormat/>
    <w:uiPriority w:val="0"/>
    <w:rPr>
      <w:rFonts w:ascii="Times New Roman" w:hAnsi="Times New Roman" w:eastAsia="Times New Roman" w:cs="Times New Roman"/>
      <w:i/>
      <w:iCs/>
      <w:color w:val="2E74B5"/>
      <w:sz w:val="24"/>
      <w:szCs w:val="24"/>
    </w:rPr>
  </w:style>
  <w:style w:type="paragraph" w:styleId="6">
    <w:name w:val="heading 5"/>
    <w:next w:val="1"/>
    <w:qFormat/>
    <w:uiPriority w:val="0"/>
    <w:rPr>
      <w:rFonts w:ascii="Times New Roman" w:hAnsi="Times New Roman" w:eastAsia="Times New Roman" w:cs="Times New Roman"/>
      <w:color w:val="2E74B5"/>
      <w:sz w:val="24"/>
      <w:szCs w:val="24"/>
    </w:rPr>
  </w:style>
  <w:style w:type="paragraph" w:styleId="7">
    <w:name w:val="heading 6"/>
    <w:next w:val="1"/>
    <w:qFormat/>
    <w:uiPriority w:val="0"/>
    <w:rPr>
      <w:rFonts w:ascii="Times New Roman" w:hAnsi="Times New Roman" w:eastAsia="Times New Roman" w:cs="Times New Roman"/>
      <w:color w:val="1F4D78"/>
      <w:sz w:val="24"/>
      <w:szCs w:val="24"/>
    </w:rPr>
  </w:style>
  <w:style w:type="character" w:default="1" w:styleId="12">
    <w:name w:val="Default Paragraph Font"/>
    <w:semiHidden/>
    <w:uiPriority w:val="0"/>
  </w:style>
  <w:style w:type="table" w:default="1" w:styleId="11">
    <w:name w:val="Normal Table"/>
    <w:semiHidden/>
    <w:uiPriority w:val="0"/>
    <w:tblPr>
      <w:tblCellMar>
        <w:top w:w="0" w:type="dxa"/>
        <w:left w:w="108" w:type="dxa"/>
        <w:bottom w:w="0" w:type="dxa"/>
        <w:right w:w="108" w:type="dxa"/>
      </w:tblCellMar>
    </w:tblPr>
  </w:style>
  <w:style w:type="paragraph" w:styleId="8">
    <w:name w:val="endnote text"/>
    <w:link w:val="18"/>
    <w:semiHidden/>
    <w:unhideWhenUsed/>
    <w:uiPriority w:val="99"/>
    <w:pPr>
      <w:spacing w:after="0" w:line="240" w:lineRule="auto"/>
    </w:pPr>
    <w:rPr>
      <w:rFonts w:ascii="Times New Roman" w:hAnsi="Times New Roman" w:eastAsia="Times New Roman" w:cs="Times New Roman"/>
      <w:sz w:val="20"/>
      <w:szCs w:val="20"/>
    </w:rPr>
  </w:style>
  <w:style w:type="paragraph" w:styleId="9">
    <w:name w:val="footnote text"/>
    <w:link w:val="17"/>
    <w:semiHidden/>
    <w:unhideWhenUsed/>
    <w:uiPriority w:val="99"/>
    <w:pPr>
      <w:spacing w:after="0" w:line="240" w:lineRule="auto"/>
    </w:pPr>
    <w:rPr>
      <w:rFonts w:ascii="Times New Roman" w:hAnsi="Times New Roman" w:eastAsia="Times New Roman" w:cs="Times New Roman"/>
      <w:sz w:val="20"/>
      <w:szCs w:val="20"/>
    </w:rPr>
  </w:style>
  <w:style w:type="paragraph" w:styleId="10">
    <w:name w:val="Title"/>
    <w:qFormat/>
    <w:uiPriority w:val="0"/>
    <w:rPr>
      <w:rFonts w:ascii="Times New Roman" w:hAnsi="Times New Roman" w:eastAsia="Times New Roman" w:cs="Times New Roman"/>
      <w:sz w:val="56"/>
      <w:szCs w:val="56"/>
    </w:rPr>
  </w:style>
  <w:style w:type="character" w:styleId="13">
    <w:name w:val="endnote reference"/>
    <w:semiHidden/>
    <w:unhideWhenUsed/>
    <w:uiPriority w:val="99"/>
    <w:rPr>
      <w:vertAlign w:val="superscript"/>
    </w:rPr>
  </w:style>
  <w:style w:type="character" w:styleId="14">
    <w:name w:val="Hyperlink"/>
    <w:unhideWhenUsed/>
    <w:uiPriority w:val="99"/>
    <w:rPr>
      <w:color w:val="0563C1"/>
      <w:u w:val="single"/>
    </w:rPr>
  </w:style>
  <w:style w:type="character" w:styleId="15">
    <w:name w:val="footnote reference"/>
    <w:semiHidden/>
    <w:unhideWhenUsed/>
    <w:uiPriority w:val="99"/>
    <w:rPr>
      <w:vertAlign w:val="superscript"/>
    </w:rPr>
  </w:style>
  <w:style w:type="paragraph" w:styleId="16">
    <w:name w:val="List Paragraph"/>
    <w:qFormat/>
    <w:uiPriority w:val="0"/>
    <w:rPr>
      <w:rFonts w:ascii="Times New Roman" w:hAnsi="Times New Roman" w:eastAsia="Times New Roman" w:cs="Times New Roman"/>
      <w:sz w:val="24"/>
      <w:szCs w:val="24"/>
    </w:rPr>
  </w:style>
  <w:style w:type="character" w:customStyle="1" w:styleId="17">
    <w:name w:val="Footnote Text Char"/>
    <w:link w:val="9"/>
    <w:semiHidden/>
    <w:unhideWhenUsed/>
    <w:uiPriority w:val="99"/>
    <w:rPr>
      <w:sz w:val="20"/>
      <w:szCs w:val="20"/>
    </w:rPr>
  </w:style>
  <w:style w:type="character" w:customStyle="1" w:styleId="18">
    <w:name w:val="Endnote Text Char"/>
    <w:link w:val="8"/>
    <w:semiHidden/>
    <w:unhideWhenUsed/>
    <w:uiPriority w:val="99"/>
    <w:rPr>
      <w:sz w:val="20"/>
      <w:szCs w:val="20"/>
    </w:rPr>
  </w:style>
</w:styles>
</file>

<file path=word/_rels/document.xml.rels><?xml version="1.0" encoding="UTF-8"?><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33</Pages>
  <TotalTime>0</TotalTime>
  <ScaleCrop>false</ScaleCrop>
  <LinksUpToDate>false</LinksUpToDate>
  <Application>WPS Office_7.3.1.8967_F1E327BC-269C-435d-A152-05C5408002CA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邵录军</cp:lastModifiedBy>
  <dcterms:modified xsi:type="dcterms:W3CDTF">2026-06-07T00:07:49Z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2052-7.3.1.8967</vt:lpwstr>
  </property>
  <property fmtid="{D5CDD505-2E9C-101B-9397-08002B2CF9AE}" pid="3" name="ICV">
    <vt:lpwstr>080FF20D0929C8F0C537246A678D3A2B_42</vt:lpwstr>
  </property>
</Properties>
</file>