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36D" w:rsidRPr="00AF7426" w:rsidRDefault="009B2C34" w:rsidP="00C2336D">
      <w:pPr>
        <w:widowControl w:val="0"/>
        <w:autoSpaceDE w:val="0"/>
        <w:autoSpaceDN w:val="0"/>
        <w:spacing w:before="240" w:line="480" w:lineRule="auto"/>
        <w:jc w:val="center"/>
        <w:rPr>
          <w:rFonts w:asciiTheme="minorHAnsi" w:eastAsia="Arial Unicode MS" w:hAnsiTheme="minorHAnsi" w:cs="Arial Unicode MS"/>
          <w:bCs/>
          <w:sz w:val="24"/>
          <w:szCs w:val="24"/>
        </w:rPr>
      </w:pPr>
      <w:bookmarkStart w:id="0" w:name="_GoBack"/>
      <w:r w:rsidRPr="00AF7426">
        <w:rPr>
          <w:rFonts w:asciiTheme="minorHAnsi" w:eastAsia="Arial Unicode MS" w:hAnsiTheme="minorHAnsi" w:cs="Arial Unicode MS"/>
          <w:bCs/>
          <w:sz w:val="24"/>
          <w:szCs w:val="24"/>
        </w:rPr>
        <w:t>Supplement1</w:t>
      </w:r>
      <w:r w:rsidR="00C2336D" w:rsidRPr="00AF7426">
        <w:rPr>
          <w:rFonts w:asciiTheme="minorHAnsi" w:eastAsia="Arial Unicode MS" w:hAnsiTheme="minorHAnsi" w:cs="Arial Unicode MS"/>
          <w:bCs/>
          <w:sz w:val="24"/>
          <w:szCs w:val="24"/>
        </w:rPr>
        <w:t>. Etiologies of Pr-AKI in different phases of pregnancy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1296"/>
        <w:gridCol w:w="1297"/>
        <w:gridCol w:w="1297"/>
        <w:gridCol w:w="1371"/>
      </w:tblGrid>
      <w:tr w:rsidR="00C2336D" w:rsidRPr="00AF7426" w:rsidTr="00C2336D">
        <w:trPr>
          <w:trHeight w:val="1034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Causes of Pr-AKI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Total</w:t>
            </w:r>
          </w:p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N=136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</w:t>
            </w: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  <w:vertAlign w:val="superscript"/>
              </w:rPr>
              <w:t>st</w:t>
            </w: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 xml:space="preserve"> trimester</w:t>
            </w:r>
          </w:p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N=24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</w:t>
            </w: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  <w:vertAlign w:val="superscript"/>
              </w:rPr>
              <w:t>nd</w:t>
            </w: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 xml:space="preserve"> trimester</w:t>
            </w:r>
          </w:p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N=10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</w:t>
            </w: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  <w:vertAlign w:val="superscript"/>
              </w:rPr>
              <w:t>rd</w:t>
            </w: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 xml:space="preserve"> trimester</w:t>
            </w:r>
          </w:p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N=91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Puerperium</w:t>
            </w:r>
          </w:p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N=11</w:t>
            </w:r>
          </w:p>
        </w:tc>
      </w:tr>
      <w:tr w:rsidR="00C2336D" w:rsidRPr="00AF7426" w:rsidTr="00C2336D">
        <w:tc>
          <w:tcPr>
            <w:tcW w:w="1843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HDP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48(35.3%)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2(1.5%)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46(33.8%)</w:t>
            </w:r>
          </w:p>
        </w:tc>
        <w:tc>
          <w:tcPr>
            <w:tcW w:w="1371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Sepsis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33(24.3%)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16(11.8%)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8(5.9%)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9(6.6%)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Antepartum hemorrhage</w:t>
            </w:r>
          </w:p>
        </w:tc>
        <w:tc>
          <w:tcPr>
            <w:tcW w:w="1418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9(6.6%)</w:t>
            </w:r>
          </w:p>
        </w:tc>
        <w:tc>
          <w:tcPr>
            <w:tcW w:w="1296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4(2.9%)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5(3.7%)</w:t>
            </w:r>
          </w:p>
        </w:tc>
        <w:tc>
          <w:tcPr>
            <w:tcW w:w="1371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Postpartum hemorrhage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14(10.3%)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1(0.7%)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11(8.1%)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2(1.5%)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Ectopic pregnancy</w:t>
            </w:r>
          </w:p>
        </w:tc>
        <w:tc>
          <w:tcPr>
            <w:tcW w:w="1418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9(6.6%)</w:t>
            </w:r>
          </w:p>
        </w:tc>
        <w:tc>
          <w:tcPr>
            <w:tcW w:w="1296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7(5.1%)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2(1.5%)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371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Acute fatty liver of pregnancy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4(2.9%)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4(2.9%)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Dehydration</w:t>
            </w:r>
          </w:p>
        </w:tc>
        <w:tc>
          <w:tcPr>
            <w:tcW w:w="1418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3(2.2%)</w:t>
            </w:r>
          </w:p>
        </w:tc>
        <w:tc>
          <w:tcPr>
            <w:tcW w:w="1296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1(0.7%)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2(1.5%)</w:t>
            </w:r>
          </w:p>
        </w:tc>
        <w:tc>
          <w:tcPr>
            <w:tcW w:w="1371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Amniotic fluid embolism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1(0.7%)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1(0.7%)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lastRenderedPageBreak/>
              <w:t>Hydronephrosis</w:t>
            </w:r>
          </w:p>
        </w:tc>
        <w:tc>
          <w:tcPr>
            <w:tcW w:w="1418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3(2.2%)</w:t>
            </w:r>
          </w:p>
        </w:tc>
        <w:tc>
          <w:tcPr>
            <w:tcW w:w="1296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1(0.7%)</w:t>
            </w:r>
          </w:p>
        </w:tc>
        <w:tc>
          <w:tcPr>
            <w:tcW w:w="1297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2(1.5%)</w:t>
            </w:r>
          </w:p>
        </w:tc>
        <w:tc>
          <w:tcPr>
            <w:tcW w:w="1371" w:type="dxa"/>
            <w:shd w:val="clear" w:color="auto" w:fill="F2F2F2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  <w:tr w:rsidR="00C2336D" w:rsidRPr="00AF7426" w:rsidTr="00C2336D">
        <w:tc>
          <w:tcPr>
            <w:tcW w:w="1843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Others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12(8.8%)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  <w:tc>
          <w:tcPr>
            <w:tcW w:w="1297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12(8.8%)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C2336D" w:rsidRPr="00AF7426" w:rsidRDefault="00C2336D" w:rsidP="00A33EB6">
            <w:pPr>
              <w:widowControl w:val="0"/>
              <w:autoSpaceDE w:val="0"/>
              <w:autoSpaceDN w:val="0"/>
              <w:spacing w:before="120" w:line="480" w:lineRule="auto"/>
              <w:jc w:val="center"/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</w:pPr>
            <w:r w:rsidRPr="00AF7426">
              <w:rPr>
                <w:rFonts w:asciiTheme="minorHAnsi" w:eastAsia="Arial Unicode MS" w:hAnsiTheme="minorHAnsi" w:cs="Arial Unicode MS"/>
                <w:bCs/>
                <w:sz w:val="24"/>
                <w:szCs w:val="24"/>
              </w:rPr>
              <w:t>0</w:t>
            </w:r>
          </w:p>
        </w:tc>
      </w:tr>
    </w:tbl>
    <w:p w:rsidR="00C2336D" w:rsidRPr="00AF7426" w:rsidRDefault="00C2336D" w:rsidP="00C2336D">
      <w:pPr>
        <w:widowControl w:val="0"/>
        <w:autoSpaceDE w:val="0"/>
        <w:autoSpaceDN w:val="0"/>
        <w:spacing w:line="480" w:lineRule="auto"/>
        <w:rPr>
          <w:rFonts w:asciiTheme="minorHAnsi" w:eastAsia="Arial Unicode MS" w:hAnsiTheme="minorHAnsi" w:cs="Arial Unicode MS"/>
          <w:bCs/>
          <w:sz w:val="24"/>
          <w:szCs w:val="24"/>
        </w:rPr>
      </w:pPr>
      <w:r w:rsidRPr="00AF7426">
        <w:rPr>
          <w:rFonts w:asciiTheme="minorHAnsi" w:eastAsia="Arial Unicode MS" w:hAnsiTheme="minorHAnsi" w:cs="Arial Unicode MS"/>
          <w:bCs/>
          <w:sz w:val="24"/>
          <w:szCs w:val="24"/>
        </w:rPr>
        <w:t>HDP: hypertensive disorders of pregnancy</w:t>
      </w:r>
      <w:bookmarkEnd w:id="0"/>
    </w:p>
    <w:sectPr w:rsidR="00C2336D" w:rsidRPr="00AF74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3582" w:rsidRDefault="002A3582" w:rsidP="00C2336D">
      <w:pPr>
        <w:spacing w:after="0"/>
      </w:pPr>
      <w:r>
        <w:separator/>
      </w:r>
    </w:p>
  </w:endnote>
  <w:endnote w:type="continuationSeparator" w:id="0">
    <w:p w:rsidR="002A3582" w:rsidRDefault="002A3582" w:rsidP="00C233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3582" w:rsidRDefault="002A3582" w:rsidP="00C2336D">
      <w:pPr>
        <w:spacing w:after="0"/>
      </w:pPr>
      <w:r>
        <w:separator/>
      </w:r>
    </w:p>
  </w:footnote>
  <w:footnote w:type="continuationSeparator" w:id="0">
    <w:p w:rsidR="002A3582" w:rsidRDefault="002A3582" w:rsidP="00C2336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425"/>
    <w:rsid w:val="002A3582"/>
    <w:rsid w:val="004009DE"/>
    <w:rsid w:val="0049297C"/>
    <w:rsid w:val="006306E4"/>
    <w:rsid w:val="006E0425"/>
    <w:rsid w:val="009B2C34"/>
    <w:rsid w:val="00AF7426"/>
    <w:rsid w:val="00C2336D"/>
    <w:rsid w:val="00D60E06"/>
    <w:rsid w:val="00E0083E"/>
    <w:rsid w:val="00EA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607220-9174-450F-B728-4A6ED5B49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36D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36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3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36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3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100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6</cp:revision>
  <dcterms:created xsi:type="dcterms:W3CDTF">2020-05-12T14:19:00Z</dcterms:created>
  <dcterms:modified xsi:type="dcterms:W3CDTF">2020-09-01T14:49:00Z</dcterms:modified>
</cp:coreProperties>
</file>