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913" w:rsidRPr="00F36339" w:rsidRDefault="00B86913" w:rsidP="00BE2BB8">
      <w:pPr>
        <w:widowControl w:val="0"/>
        <w:autoSpaceDE w:val="0"/>
        <w:autoSpaceDN w:val="0"/>
        <w:snapToGrid/>
        <w:spacing w:before="240" w:line="480" w:lineRule="auto"/>
        <w:jc w:val="center"/>
        <w:rPr>
          <w:rFonts w:asciiTheme="minorHAnsi" w:eastAsia="Arial Unicode MS" w:hAnsiTheme="minorHAnsi" w:cs="Arial Unicode MS"/>
          <w:bCs/>
          <w:sz w:val="24"/>
          <w:szCs w:val="24"/>
        </w:rPr>
      </w:pPr>
      <w:bookmarkStart w:id="0" w:name="_GoBack"/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 xml:space="preserve">Supplement </w:t>
      </w:r>
      <w:r w:rsidR="00BE2BB8" w:rsidRPr="00F36339">
        <w:rPr>
          <w:rFonts w:asciiTheme="minorHAnsi" w:eastAsia="Arial Unicode MS" w:hAnsiTheme="minorHAnsi" w:cs="Arial Unicode MS"/>
          <w:bCs/>
          <w:sz w:val="24"/>
          <w:szCs w:val="24"/>
        </w:rPr>
        <w:t>2</w:t>
      </w: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.Comparison of clinical features and pregnancy outcomes between Pr-AKI patients from low and high altitude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07"/>
        <w:gridCol w:w="1861"/>
        <w:gridCol w:w="2235"/>
        <w:gridCol w:w="903"/>
      </w:tblGrid>
      <w:tr w:rsidR="00B86913" w:rsidRPr="00F36339" w:rsidTr="00A33EB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Variables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Low altitude</w:t>
            </w:r>
          </w:p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N=49 (50 fetuses)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High altitude</w:t>
            </w:r>
          </w:p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N=49 (50 fetuses)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color w:val="000000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B86913" w:rsidRPr="00F36339" w:rsidTr="00A33EB6">
        <w:tc>
          <w:tcPr>
            <w:tcW w:w="3369" w:type="dxa"/>
            <w:tcBorders>
              <w:top w:val="single" w:sz="4" w:space="0" w:color="auto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Age (years)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27.7±6.2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27.4±4.9</w:t>
            </w:r>
          </w:p>
        </w:tc>
        <w:tc>
          <w:tcPr>
            <w:tcW w:w="906" w:type="dxa"/>
            <w:tcBorders>
              <w:top w:val="single" w:sz="4" w:space="0" w:color="auto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0.746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BMI (kg/m2)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25.8±4.1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26.0±3.6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0.791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Residential altitude(m)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2266.3±297.4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3371.7±198.5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-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SBP (mmHg)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130.2±27.6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134.8±27.0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0.401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DBP (mmHg)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83.6±20.9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87.5±21.8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0.366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Hemoglobin (g/L)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113.9±25.4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112.2±33.7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0.784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Serum ALB (g/L)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26.7±5.6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25.3±5.8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0.252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SCr (umol/L)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  <w:t>90(76-101)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  <w:t>86(79-103)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0.484</w:t>
            </w: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Serum UA (umol/L)</w:t>
            </w:r>
          </w:p>
        </w:tc>
        <w:tc>
          <w:tcPr>
            <w:tcW w:w="18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451.7±213.2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455.4±102.7</w:t>
            </w:r>
          </w:p>
        </w:tc>
        <w:tc>
          <w:tcPr>
            <w:tcW w:w="9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0.913</w:t>
            </w:r>
          </w:p>
        </w:tc>
      </w:tr>
      <w:tr w:rsidR="00B86913" w:rsidRPr="00F36339" w:rsidTr="00A33EB6">
        <w:tc>
          <w:tcPr>
            <w:tcW w:w="3369" w:type="dxa"/>
            <w:tcBorders>
              <w:top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Maternal death (n%)</w:t>
            </w:r>
          </w:p>
        </w:tc>
        <w:tc>
          <w:tcPr>
            <w:tcW w:w="1876" w:type="dxa"/>
            <w:tcBorders>
              <w:top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2(4.1%)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2(4.1%)</w:t>
            </w:r>
          </w:p>
        </w:tc>
        <w:tc>
          <w:tcPr>
            <w:tcW w:w="906" w:type="dxa"/>
            <w:tcBorders>
              <w:top w:val="nil"/>
            </w:tcBorders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1.000</w:t>
            </w: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Gestational age at delivery</w:t>
            </w:r>
          </w:p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lastRenderedPageBreak/>
              <w:t>(in weeks)</w:t>
            </w:r>
          </w:p>
        </w:tc>
        <w:tc>
          <w:tcPr>
            <w:tcW w:w="1876" w:type="dxa"/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lastRenderedPageBreak/>
              <w:t>37.4±2.9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36.7±3.8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0.280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Delivery by cesarean section (n%)</w:t>
            </w:r>
          </w:p>
        </w:tc>
        <w:tc>
          <w:tcPr>
            <w:tcW w:w="187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18(38.3%)</w:t>
            </w:r>
          </w:p>
        </w:tc>
        <w:tc>
          <w:tcPr>
            <w:tcW w:w="2268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24(49.0%)</w:t>
            </w:r>
          </w:p>
        </w:tc>
        <w:tc>
          <w:tcPr>
            <w:tcW w:w="90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0.292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Pre-term birth (n%)</w:t>
            </w:r>
          </w:p>
        </w:tc>
        <w:tc>
          <w:tcPr>
            <w:tcW w:w="187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12(25.5%)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17(36.2%)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0.264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Stillbirth/neonatal death (n%)</w:t>
            </w:r>
          </w:p>
        </w:tc>
        <w:tc>
          <w:tcPr>
            <w:tcW w:w="187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6(13.3%)</w:t>
            </w:r>
          </w:p>
        </w:tc>
        <w:tc>
          <w:tcPr>
            <w:tcW w:w="2268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10(21.7%)</w:t>
            </w:r>
          </w:p>
        </w:tc>
        <w:tc>
          <w:tcPr>
            <w:tcW w:w="90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0.292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Neonatal weight (g)</w:t>
            </w:r>
          </w:p>
        </w:tc>
        <w:tc>
          <w:tcPr>
            <w:tcW w:w="1876" w:type="dxa"/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2993.8±554.9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2798.8±632.6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0.143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Apgar score at 1 min</w:t>
            </w:r>
          </w:p>
        </w:tc>
        <w:tc>
          <w:tcPr>
            <w:tcW w:w="187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8.1±3.2</w:t>
            </w:r>
          </w:p>
        </w:tc>
        <w:tc>
          <w:tcPr>
            <w:tcW w:w="2268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kern w:val="2"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7.4±3.7</w:t>
            </w:r>
          </w:p>
        </w:tc>
        <w:tc>
          <w:tcPr>
            <w:tcW w:w="90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0.326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IUGR (n%)</w:t>
            </w:r>
          </w:p>
        </w:tc>
        <w:tc>
          <w:tcPr>
            <w:tcW w:w="187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3(7.1%)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9(20.0%)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0.082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Admission to NICU (n%)</w:t>
            </w:r>
          </w:p>
        </w:tc>
        <w:tc>
          <w:tcPr>
            <w:tcW w:w="187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7(15.9%)</w:t>
            </w:r>
          </w:p>
        </w:tc>
        <w:tc>
          <w:tcPr>
            <w:tcW w:w="2268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7(15.6%)</w:t>
            </w:r>
          </w:p>
        </w:tc>
        <w:tc>
          <w:tcPr>
            <w:tcW w:w="90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0.963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LBWI (n%)</w:t>
            </w:r>
          </w:p>
        </w:tc>
        <w:tc>
          <w:tcPr>
            <w:tcW w:w="187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10(22.7%)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14(31.1%)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0.373</w:t>
            </w:r>
          </w:p>
        </w:tc>
      </w:tr>
      <w:tr w:rsidR="00B86913" w:rsidRPr="00F36339" w:rsidTr="00A33EB6">
        <w:tc>
          <w:tcPr>
            <w:tcW w:w="3369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Renal recovery on discharge (n%)</w:t>
            </w:r>
          </w:p>
        </w:tc>
        <w:tc>
          <w:tcPr>
            <w:tcW w:w="187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31(81.6%)</w:t>
            </w:r>
          </w:p>
        </w:tc>
        <w:tc>
          <w:tcPr>
            <w:tcW w:w="2268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33(80.5%)</w:t>
            </w:r>
          </w:p>
        </w:tc>
        <w:tc>
          <w:tcPr>
            <w:tcW w:w="906" w:type="dxa"/>
            <w:shd w:val="clear" w:color="auto" w:fill="F2F2F2"/>
            <w:vAlign w:val="center"/>
          </w:tcPr>
          <w:p w:rsidR="00B86913" w:rsidRPr="00F36339" w:rsidRDefault="00B86913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F36339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0.902</w:t>
            </w:r>
          </w:p>
        </w:tc>
      </w:tr>
    </w:tbl>
    <w:p w:rsidR="00B86913" w:rsidRPr="00F36339" w:rsidRDefault="00B86913" w:rsidP="00B86913">
      <w:pPr>
        <w:widowControl w:val="0"/>
        <w:autoSpaceDE w:val="0"/>
        <w:autoSpaceDN w:val="0"/>
        <w:spacing w:after="0" w:line="480" w:lineRule="auto"/>
        <w:rPr>
          <w:rFonts w:asciiTheme="minorHAnsi" w:eastAsia="Arial Unicode MS" w:hAnsiTheme="minorHAnsi" w:cs="Arial Unicode MS"/>
          <w:bCs/>
          <w:sz w:val="24"/>
          <w:szCs w:val="24"/>
        </w:rPr>
      </w:pP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AKI: acute kidney injury; BMI: body mass index;SBP:</w:t>
      </w:r>
      <w:r w:rsidRPr="00F36339">
        <w:rPr>
          <w:rFonts w:asciiTheme="minorHAnsi" w:eastAsia="Arial Unicode MS" w:hAnsiTheme="minorHAnsi" w:cs="Arial Unicode MS"/>
          <w:sz w:val="24"/>
          <w:szCs w:val="24"/>
        </w:rPr>
        <w:t xml:space="preserve"> systolic blood pressure;</w:t>
      </w: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 xml:space="preserve"> DBP: </w:t>
      </w:r>
      <w:r w:rsidRPr="00F36339">
        <w:rPr>
          <w:rFonts w:asciiTheme="minorHAnsi" w:eastAsia="Arial Unicode MS" w:hAnsiTheme="minorHAnsi" w:cs="Arial Unicode MS"/>
          <w:sz w:val="24"/>
          <w:szCs w:val="24"/>
        </w:rPr>
        <w:t>diastolic blood pressure;</w:t>
      </w: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 xml:space="preserve"> ALB: albumin; SCr: serum creatinine; UA: uric acid; </w:t>
      </w:r>
      <w:r w:rsidRPr="00F36339">
        <w:rPr>
          <w:rFonts w:asciiTheme="minorHAnsi" w:eastAsia="Arial Unicode MS" w:hAnsiTheme="minorHAnsi" w:cs="Arial Unicode MS"/>
          <w:sz w:val="24"/>
          <w:szCs w:val="24"/>
        </w:rPr>
        <w:t xml:space="preserve">IUGR: intrauterine growth restriction; LBWI: low birth weight infant; </w:t>
      </w: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NICU: neonatal intensive care unit</w:t>
      </w:r>
    </w:p>
    <w:p w:rsidR="00B86913" w:rsidRPr="00F36339" w:rsidRDefault="00B86913" w:rsidP="00B86913">
      <w:pPr>
        <w:widowControl w:val="0"/>
        <w:autoSpaceDE w:val="0"/>
        <w:autoSpaceDN w:val="0"/>
        <w:spacing w:after="0" w:line="480" w:lineRule="auto"/>
        <w:rPr>
          <w:rFonts w:asciiTheme="minorHAnsi" w:eastAsia="Arial Unicode MS" w:hAnsiTheme="minorHAnsi" w:cs="Arial Unicode MS"/>
          <w:bCs/>
          <w:sz w:val="24"/>
          <w:szCs w:val="24"/>
        </w:rPr>
      </w:pP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Values for categorical variables were given as number (percentage); values for continuous variables were given as mean ± standard deviation or median (interquartile range)</w:t>
      </w:r>
    </w:p>
    <w:p w:rsidR="00B86913" w:rsidRPr="00F36339" w:rsidRDefault="00B86913" w:rsidP="00B86913">
      <w:pPr>
        <w:widowControl w:val="0"/>
        <w:autoSpaceDE w:val="0"/>
        <w:autoSpaceDN w:val="0"/>
        <w:spacing w:after="0" w:line="480" w:lineRule="auto"/>
        <w:rPr>
          <w:rFonts w:asciiTheme="minorHAnsi" w:eastAsia="Arial Unicode MS" w:hAnsiTheme="minorHAnsi" w:cs="Arial Unicode MS"/>
          <w:bCs/>
          <w:sz w:val="24"/>
          <w:szCs w:val="24"/>
        </w:rPr>
      </w:pP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lastRenderedPageBreak/>
        <w:t>P&lt;0.05 was considered to be statistically significant</w:t>
      </w:r>
    </w:p>
    <w:p w:rsidR="00B86913" w:rsidRPr="00F36339" w:rsidRDefault="00B86913" w:rsidP="00B86913">
      <w:pPr>
        <w:widowControl w:val="0"/>
        <w:autoSpaceDE w:val="0"/>
        <w:autoSpaceDN w:val="0"/>
        <w:spacing w:after="0" w:line="480" w:lineRule="auto"/>
        <w:rPr>
          <w:rFonts w:asciiTheme="minorHAnsi" w:eastAsia="Arial Unicode MS" w:hAnsiTheme="minorHAnsi" w:cs="Arial Unicode MS"/>
          <w:bCs/>
          <w:sz w:val="24"/>
          <w:szCs w:val="24"/>
        </w:rPr>
      </w:pP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a:</w:t>
      </w:r>
      <w:r w:rsidRPr="00F36339">
        <w:rPr>
          <w:rFonts w:asciiTheme="minorHAnsi" w:eastAsia="Arial Unicode MS" w:hAnsiTheme="minorHAnsi" w:cs="Arial Unicode MS"/>
          <w:color w:val="131413"/>
          <w:sz w:val="24"/>
          <w:szCs w:val="24"/>
        </w:rPr>
        <w:t xml:space="preserve"> </w:t>
      </w: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Wilcoxon 2-sample tests</w:t>
      </w:r>
    </w:p>
    <w:p w:rsidR="00EA774C" w:rsidRPr="00F36339" w:rsidRDefault="00B86913" w:rsidP="00B86913">
      <w:pPr>
        <w:widowControl w:val="0"/>
        <w:autoSpaceDE w:val="0"/>
        <w:autoSpaceDN w:val="0"/>
        <w:spacing w:line="480" w:lineRule="auto"/>
        <w:rPr>
          <w:rFonts w:asciiTheme="minorHAnsi" w:eastAsia="Arial Unicode MS" w:hAnsiTheme="minorHAnsi" w:cs="Arial Unicode MS"/>
          <w:bCs/>
          <w:sz w:val="24"/>
          <w:szCs w:val="24"/>
        </w:rPr>
      </w:pPr>
      <w:r w:rsidRPr="00F36339">
        <w:rPr>
          <w:rFonts w:asciiTheme="minorHAnsi" w:eastAsia="Arial Unicode MS" w:hAnsiTheme="minorHAnsi" w:cs="Arial Unicode MS"/>
          <w:bCs/>
          <w:sz w:val="24"/>
          <w:szCs w:val="24"/>
        </w:rPr>
        <w:t>b: Fisher exact test</w:t>
      </w:r>
      <w:bookmarkEnd w:id="0"/>
    </w:p>
    <w:sectPr w:rsidR="00EA774C" w:rsidRPr="00F36339" w:rsidSect="00424DCE">
      <w:headerReference w:type="even" r:id="rId6"/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DBB" w:rsidRDefault="00571DBB" w:rsidP="00B86913">
      <w:pPr>
        <w:spacing w:after="0"/>
      </w:pPr>
      <w:r>
        <w:separator/>
      </w:r>
    </w:p>
  </w:endnote>
  <w:endnote w:type="continuationSeparator" w:id="0">
    <w:p w:rsidR="00571DBB" w:rsidRDefault="00571DBB" w:rsidP="00B869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CE" w:rsidRDefault="007017A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F36339" w:rsidRPr="00F36339">
      <w:rPr>
        <w:noProof/>
        <w:lang w:val="zh-CN"/>
      </w:rPr>
      <w:t>2</w:t>
    </w:r>
    <w:r>
      <w:fldChar w:fldCharType="end"/>
    </w:r>
  </w:p>
  <w:p w:rsidR="00424DCE" w:rsidRDefault="00571DB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DBB" w:rsidRDefault="00571DBB" w:rsidP="00B86913">
      <w:pPr>
        <w:spacing w:after="0"/>
      </w:pPr>
      <w:r>
        <w:separator/>
      </w:r>
    </w:p>
  </w:footnote>
  <w:footnote w:type="continuationSeparator" w:id="0">
    <w:p w:rsidR="00571DBB" w:rsidRDefault="00571DBB" w:rsidP="00B869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CE" w:rsidRDefault="00571DBB" w:rsidP="00424DC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CE" w:rsidRDefault="00571DBB" w:rsidP="00424DC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7D6"/>
    <w:rsid w:val="000F100C"/>
    <w:rsid w:val="00571DBB"/>
    <w:rsid w:val="007017A1"/>
    <w:rsid w:val="007E27D6"/>
    <w:rsid w:val="00B86913"/>
    <w:rsid w:val="00BE2BB8"/>
    <w:rsid w:val="00EA774C"/>
    <w:rsid w:val="00F3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15036E-F8A8-4358-93AA-2CBE6D385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913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91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9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913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9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1424</Characters>
  <Application>Microsoft Office Word</Application>
  <DocSecurity>0</DocSecurity>
  <Lines>11</Lines>
  <Paragraphs>3</Paragraphs>
  <ScaleCrop>false</ScaleCrop>
  <Company>Microsoft</Company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4</cp:revision>
  <dcterms:created xsi:type="dcterms:W3CDTF">2020-05-12T14:26:00Z</dcterms:created>
  <dcterms:modified xsi:type="dcterms:W3CDTF">2020-09-01T14:49:00Z</dcterms:modified>
</cp:coreProperties>
</file>