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9EA47">
      <w:pPr>
        <w:pStyle w:val="164"/>
      </w:pPr>
      <w:r>
        <w:rPr>
          <w:rFonts w:ascii="Times New Roman" w:hAnsi="Times New Roman" w:eastAsia="Times New Roman"/>
          <w:b/>
          <w:sz w:val="30"/>
        </w:rPr>
        <w:t>Online Resource 1: Supplementary Tables and Figures</w:t>
      </w:r>
    </w:p>
    <w:p w14:paraId="60822CEE">
      <w:r>
        <w:rPr>
          <w:rFonts w:ascii="Times New Roman" w:hAnsi="Times New Roman" w:eastAsia="Times New Roman"/>
          <w:i/>
          <w:sz w:val="22"/>
        </w:rPr>
        <w:t>Accuracy of 11 intraocular lens power calculation formulas in short eyes</w:t>
      </w:r>
    </w:p>
    <w:p w14:paraId="154A7399">
      <w:pPr>
        <w:pStyle w:val="169"/>
        <w:rPr>
          <w:rFonts w:hint="eastAsia" w:ascii="Times New Roman" w:hAnsi="Times New Roman" w:eastAsia="Times New Roman"/>
          <w:b w:val="0"/>
          <w:bCs w:val="0"/>
          <w:color w:val="auto"/>
          <w:sz w:val="20"/>
          <w:shd w:val="clear" w:color="auto" w:fill="auto"/>
        </w:rPr>
      </w:pPr>
      <w:r>
        <w:rPr>
          <w:rFonts w:hint="eastAsia" w:ascii="Times New Roman" w:hAnsi="Times New Roman" w:eastAsia="Times New Roman"/>
          <w:b w:val="0"/>
          <w:bCs w:val="0"/>
          <w:color w:val="auto"/>
          <w:sz w:val="20"/>
          <w:shd w:val="clear" w:color="auto" w:fill="auto"/>
        </w:rPr>
        <w:t>Tingting Pan, Xue Ding, Weikang Bi, Daguang Bi, Chenxi Hu, Qian Zhao, Yan Gao, Ping Zhao, Yan</w:t>
      </w:r>
      <w:r>
        <w:rPr>
          <w:rFonts w:hint="eastAsia" w:eastAsia="宋体"/>
          <w:b w:val="0"/>
          <w:bCs w:val="0"/>
          <w:color w:val="auto"/>
          <w:sz w:val="20"/>
          <w:shd w:val="clear" w:color="auto" w:fill="auto"/>
          <w:lang w:val="en-US" w:eastAsia="zh-CN"/>
        </w:rPr>
        <w:t xml:space="preserve"> Wen</w:t>
      </w:r>
      <w:r>
        <w:rPr>
          <w:rFonts w:hint="eastAsia" w:ascii="Times New Roman" w:hAnsi="Times New Roman" w:eastAsia="Times New Roman"/>
          <w:b w:val="0"/>
          <w:bCs w:val="0"/>
          <w:color w:val="auto"/>
          <w:sz w:val="20"/>
          <w:shd w:val="clear" w:color="auto" w:fill="auto"/>
        </w:rPr>
        <w:t>, and Shaowei Li*</w:t>
      </w:r>
    </w:p>
    <w:p w14:paraId="4D282B5D">
      <w:pPr>
        <w:pStyle w:val="169"/>
        <w:rPr>
          <w:b w:val="0"/>
          <w:bCs w:val="0"/>
          <w:color w:val="auto"/>
          <w:shd w:val="clear" w:color="auto" w:fill="auto"/>
        </w:rPr>
      </w:pPr>
      <w:r>
        <w:rPr>
          <w:rFonts w:hint="eastAsia" w:ascii="Times New Roman" w:hAnsi="Times New Roman" w:eastAsia="Times New Roman"/>
          <w:b w:val="0"/>
          <w:bCs w:val="0"/>
          <w:color w:val="auto"/>
          <w:sz w:val="20"/>
          <w:shd w:val="clear" w:color="auto" w:fill="auto"/>
        </w:rPr>
        <w:t>*Corresponding author: Shaowei Li; E-mail: lishaowei@aierchina.com</w:t>
      </w:r>
    </w:p>
    <w:p w14:paraId="0A75E243">
      <w:pPr>
        <w:pStyle w:val="167"/>
        <w:keepNext/>
      </w:pPr>
      <w:r>
        <w:rPr>
          <w:rFonts w:ascii="Times New Roman" w:hAnsi="Times New Roman" w:eastAsia="Times New Roman"/>
          <w:b/>
          <w:sz w:val="18"/>
        </w:rPr>
        <w:t>Table S1 Predictive outcomes of intraocular lens calculation formulas based on axial-length subgroups</w:t>
      </w:r>
    </w:p>
    <w:tbl>
      <w:tblPr>
        <w:tblStyle w:val="32"/>
        <w:tblW w:w="14740" w:type="dxa"/>
        <w:jc w:val="center"/>
        <w:tblBorders>
          <w:top w:val="single" w:color="7E7E7E" w:themeColor="text1" w:themeTint="80" w:sz="8" w:space="0"/>
          <w:left w:val="single" w:color="808080" w:sz="8" w:space="0"/>
          <w:bottom w:val="single" w:color="7E7E7E" w:themeColor="text1" w:themeTint="80" w:sz="8" w:space="0"/>
          <w:right w:val="single" w:color="808080" w:sz="8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244"/>
        <w:gridCol w:w="1002"/>
        <w:gridCol w:w="1179"/>
        <w:gridCol w:w="1370"/>
        <w:gridCol w:w="1942"/>
        <w:gridCol w:w="2193"/>
        <w:gridCol w:w="1975"/>
        <w:gridCol w:w="1860"/>
        <w:gridCol w:w="12"/>
      </w:tblGrid>
      <w:tr w14:paraId="3633D5FE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27AFA9">
            <w:pPr>
              <w:widowControl/>
              <w:suppressAutoHyphens/>
              <w:snapToGrid w:val="0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Table S1. Predictive outcomes of intraocular lens calculation formulas based on axial-length subgroups</w:t>
            </w:r>
          </w:p>
        </w:tc>
      </w:tr>
      <w:tr w14:paraId="0511D074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blHeader/>
          <w:jc w:val="center"/>
        </w:trPr>
        <w:tc>
          <w:tcPr>
            <w:tcW w:w="6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A5447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bookmarkStart w:id="0" w:name="_Hlk229995584"/>
            <w:bookmarkStart w:id="1" w:name="_Hlk230543857"/>
            <w:bookmarkStart w:id="2" w:name="_Hlk229993176"/>
            <w:bookmarkStart w:id="3" w:name="_Hlk229995571"/>
            <w:bookmarkStart w:id="4" w:name="OLE_LINK98"/>
            <w:r>
              <w:rPr>
                <w:rFonts w:ascii="Times New Roman" w:hAnsi="Times New Roman" w:eastAsia="Times New Roman" w:cs="Times New Roman"/>
                <w:b/>
                <w:color w:val="000000"/>
                <w:sz w:val="13"/>
              </w:rPr>
              <w:t>Formula</w:t>
            </w:r>
          </w:p>
        </w:tc>
        <w:tc>
          <w:tcPr>
            <w:tcW w:w="42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3F94B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ME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  <w:vertAlign w:val="superscript"/>
              </w:rPr>
              <w:t>a</w:t>
            </w:r>
          </w:p>
        </w:tc>
        <w:tc>
          <w:tcPr>
            <w:tcW w:w="34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391F7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SD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</w:p>
        </w:tc>
        <w:tc>
          <w:tcPr>
            <w:tcW w:w="40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7858F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MAE</w:t>
            </w:r>
          </w:p>
        </w:tc>
        <w:tc>
          <w:tcPr>
            <w:tcW w:w="46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FAD66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MedAE</w:t>
            </w:r>
          </w:p>
        </w:tc>
        <w:tc>
          <w:tcPr>
            <w:tcW w:w="65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00D86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±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0.25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D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color w:val="000000"/>
                <w:sz w:val="13"/>
              </w:rPr>
              <w:t>(%)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</w:p>
        </w:tc>
        <w:tc>
          <w:tcPr>
            <w:tcW w:w="74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79F7B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±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0.50 D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color w:val="000000"/>
                <w:sz w:val="13"/>
              </w:rPr>
              <w:t>(%)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</w:p>
        </w:tc>
        <w:tc>
          <w:tcPr>
            <w:tcW w:w="67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206E8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±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0.75 D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color w:val="000000"/>
                <w:sz w:val="13"/>
              </w:rPr>
              <w:t>(%)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</w:p>
        </w:tc>
        <w:tc>
          <w:tcPr>
            <w:tcW w:w="63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3D55D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±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>1.0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color w:val="000000"/>
                <w:sz w:val="13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13"/>
              </w:rPr>
              <w:t xml:space="preserve"> D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color w:val="000000"/>
                <w:sz w:val="13"/>
              </w:rPr>
              <w:t>(%)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/>
                <w:sz w:val="13"/>
              </w:rPr>
              <w:t xml:space="preserve"> </w:t>
            </w:r>
          </w:p>
          <w:bookmarkEnd w:id="0"/>
        </w:tc>
      </w:tr>
      <w:tr w14:paraId="2B006DE1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8D986E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bookmarkStart w:id="5" w:name="OLE_LINK64"/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AL ≤ 21.0 mm</w:t>
            </w:r>
            <w:bookmarkEnd w:id="5"/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 xml:space="preserve"> (n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=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28)</w:t>
            </w:r>
            <w:r>
              <w:rPr>
                <w:rFonts w:ascii="Times New Roman" w:hAnsi="Times New Roman" w:eastAsia="Times New Roman" w:cs="Times New Roman"/>
                <w:b w:val="0"/>
                <w:sz w:val="13"/>
              </w:rPr>
              <w:t xml:space="preserve"> </w:t>
            </w:r>
          </w:p>
        </w:tc>
      </w:tr>
      <w:tr w14:paraId="0D72581A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333681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New-generation formulas</w:t>
            </w:r>
          </w:p>
        </w:tc>
      </w:tr>
      <w:tr w14:paraId="41736BF1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F6C34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BUII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AEC68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-0.29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A4A3E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C442F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DBADD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BF52BF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25.00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B3C54F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46.43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2204D4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75.00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5F526A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85.71</w:t>
            </w:r>
          </w:p>
        </w:tc>
      </w:tr>
      <w:tr w14:paraId="30B8A8A4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936F1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Kane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CDCE1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0.01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FE264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BE5DF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895A0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AAF623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32.14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61EF89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53.57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441D2A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64.29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9644CA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89.29</w:t>
            </w:r>
          </w:p>
        </w:tc>
      </w:tr>
      <w:tr w14:paraId="000FE620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C150D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EVO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2CA4A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-0.06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22A9B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38DAA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2DD36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0.53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A18154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28.57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7D4150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46.43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4CC4E0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64.29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13D563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82.14</w:t>
            </w:r>
          </w:p>
        </w:tc>
      </w:tr>
      <w:tr w14:paraId="1F531264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81591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T2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45D94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-0.05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C68FA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0.80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F7815A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7D962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807ADA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25.00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3BC7BB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46.43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B938B0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53.57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D1B4C8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78.57</w:t>
            </w:r>
          </w:p>
        </w:tc>
      </w:tr>
      <w:tr w14:paraId="1ADCF155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AF326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Pearl-DGS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53619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-0.20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09010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C6B39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2FF24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BBB504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21.43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34AEDE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46.43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4A2D15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67.86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78576D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85.71</w:t>
            </w:r>
          </w:p>
        </w:tc>
      </w:tr>
      <w:tr w14:paraId="4C9BA8A1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77BFE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K6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D31C7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0.05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2ED95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101FD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D0949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0.38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754C4B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28.57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1D178E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60.71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126C5E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67.86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7A9238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82.14</w:t>
            </w:r>
          </w:p>
        </w:tc>
      </w:tr>
      <w:tr w14:paraId="4CA63E33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97D2F3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Traditional formulas</w:t>
            </w:r>
          </w:p>
        </w:tc>
      </w:tr>
      <w:tr w14:paraId="3D3D9392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7A2DE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Holladay 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4E6D2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-0.04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8A6B2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F4478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056BF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FF702F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28.57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56B794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50.00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5E6CCA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71.43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284F6A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85.71</w:t>
            </w:r>
          </w:p>
        </w:tc>
      </w:tr>
      <w:tr w14:paraId="3338987C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E8969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SRK/T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1FAE2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-0.04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C322D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0.83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6623E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3B8CD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3C00B6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28.57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0C0B8C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50.00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8E8742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64.29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CAED7A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71.43</w:t>
            </w:r>
          </w:p>
        </w:tc>
      </w:tr>
      <w:tr w14:paraId="228E3610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5A010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Hoffer Q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CDA83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-0.26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2BE84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58591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D6360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0.55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0394D6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35.71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A62A92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50.00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B8ED19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64.29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F1B924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82.14</w:t>
            </w:r>
          </w:p>
        </w:tc>
      </w:tr>
      <w:tr w14:paraId="3E48BB4B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FB612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Haigis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50B69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-0.14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84A38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0.55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5E19D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0.44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16BB9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0.36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1E557D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46.43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E78814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57.14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A4813B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75.00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CD452E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92.86</w:t>
            </w:r>
          </w:p>
        </w:tc>
      </w:tr>
      <w:tr w14:paraId="3172A611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FF942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szCs w:val="21"/>
              </w:rPr>
              <w:t>SRK-II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CE2D2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0.13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5EA8F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0.95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AE486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0.77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79BB9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color w:val="000000"/>
                <w:sz w:val="13"/>
                <w:szCs w:val="21"/>
              </w:rPr>
              <w:t>0.67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B4F965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17.86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6E0B5D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42.86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41E7D2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50.00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97A7A6">
            <w:pPr>
              <w:widowControl/>
              <w:snapToGrid w:val="0"/>
              <w:spacing w:before="0" w:after="0" w:line="240" w:lineRule="auto"/>
              <w:jc w:val="center"/>
              <w:textAlignment w:val="bottom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kern w:val="0"/>
                <w:sz w:val="13"/>
                <w:szCs w:val="21"/>
                <w:lang w:bidi="ar"/>
              </w:rPr>
              <w:t>60.71</w:t>
            </w:r>
          </w:p>
        </w:tc>
      </w:tr>
      <w:bookmarkEnd w:id="1"/>
      <w:tr w14:paraId="3B3E4CC8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7694FC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21.0 mm &lt; AL ≤ 21.5 mm (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n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=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3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63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)</w:t>
            </w:r>
          </w:p>
        </w:tc>
      </w:tr>
      <w:tr w14:paraId="09EE5AAD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146833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New-generation formulas</w:t>
            </w:r>
          </w:p>
          <w:bookmarkEnd w:id="2"/>
        </w:tc>
      </w:tr>
      <w:tr w14:paraId="039B03F3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1952C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bookmarkStart w:id="6" w:name="_Hlk229993752"/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BUII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894B0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-0.1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10F26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2F907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0.50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C4F5A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11B14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6.51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CB034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5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3.97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4998D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6.19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78D54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7.30</w:t>
            </w:r>
          </w:p>
        </w:tc>
      </w:tr>
      <w:tr w14:paraId="639F3343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F33E1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Kane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A2F19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-0.16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1C29D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0.66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7D149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8B9A4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0.35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AA833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6.51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77A9C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55.56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B8C28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74.60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0BBEB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82.54</w:t>
            </w:r>
          </w:p>
        </w:tc>
      </w:tr>
      <w:tr w14:paraId="6F27486E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7E7C8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EVO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7D776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-0.14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59A09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73F28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2C7ED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0B98E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41.27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F5039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61.90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96E05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74.60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293D7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4.13</w:t>
            </w:r>
          </w:p>
        </w:tc>
      </w:tr>
      <w:tr w14:paraId="7B9F653E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12942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T2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C98CA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-0.1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26CF1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E49EE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B1823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DDB14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30.16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E6D23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57.14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1ACD7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80.95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49070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88.89</w:t>
            </w:r>
          </w:p>
        </w:tc>
      </w:tr>
      <w:tr w14:paraId="7B5A7F09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FBE33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Pearl-DGS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48EA8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-0.18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5A41A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9603E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0.53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218DE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4D21C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36.51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164AE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61.90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4457D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77.78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E97C8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84.13</w:t>
            </w:r>
          </w:p>
        </w:tc>
      </w:tr>
      <w:tr w14:paraId="482B5044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C8671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K6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28C47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-0.11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06BA0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1BE82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A6D85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0.37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C590B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39.68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4C940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60.32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D8374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77.78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CC502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82.54</w:t>
            </w:r>
          </w:p>
          <w:bookmarkEnd w:id="6"/>
        </w:tc>
      </w:tr>
      <w:tr w14:paraId="3261746B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B31CB7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color w:val="000000"/>
              </w:rPr>
            </w:pPr>
            <w:bookmarkStart w:id="7" w:name="_Hlk230002137"/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Traditional formulas</w:t>
            </w:r>
          </w:p>
          <w:bookmarkEnd w:id="7"/>
        </w:tc>
      </w:tr>
      <w:tr w14:paraId="1E975330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BC01D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bookmarkStart w:id="8" w:name="_Hlk229993785"/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Holladay 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9F6E3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15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534CE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0.68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B92FF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72544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18D69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34.92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ECC5F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61.90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74134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80.95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13CC7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88.89</w:t>
            </w:r>
          </w:p>
        </w:tc>
      </w:tr>
      <w:tr w14:paraId="12472DDF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5F123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SRK/T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4A56D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-0.1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F1686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0.83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3F983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BED9B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B3C8C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23.81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2A5F1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49.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21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8E1B2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7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9.37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B4199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5.71</w:t>
            </w:r>
          </w:p>
          <w:bookmarkEnd w:id="8"/>
        </w:tc>
      </w:tr>
      <w:tr w14:paraId="261524D0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B7805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Hoffer Q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C2F8D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18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D0761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0.6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5030F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736C4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0.36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0E36B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4.92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54D5A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63.49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96429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80.95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854E2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87.30</w:t>
            </w:r>
          </w:p>
        </w:tc>
      </w:tr>
      <w:tr w14:paraId="37090201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31FAD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bookmarkStart w:id="9" w:name="_Hlk229999778"/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Haigis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708AD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0.1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8BC65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455FE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0.52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7C3E3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0.41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6C7B8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0.16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CBF44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60.32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67733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76.19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BC68B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85.71</w:t>
            </w:r>
          </w:p>
          <w:bookmarkEnd w:id="9"/>
        </w:tc>
      </w:tr>
      <w:tr w14:paraId="40C6F57A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9EA09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SRK-II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831AC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0.09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A7AD1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0.95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A8594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0.56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7586F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0.47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C7252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2.22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E8C28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52.38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7A7BF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73.02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F2C04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84.13</w:t>
            </w:r>
          </w:p>
        </w:tc>
      </w:tr>
      <w:tr w14:paraId="1DC2365D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C41E11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color w:val="000000"/>
              </w:rPr>
            </w:pPr>
            <w:bookmarkStart w:id="10" w:name="OLE_LINK70"/>
            <w:bookmarkStart w:id="11" w:name="_Hlk230542803"/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21.5 mm &lt; AL ≤ 22.0 mm (n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=</w:t>
            </w:r>
            <w:r>
              <w:rPr>
                <w:rFonts w:hint="eastAsia" w:ascii="Times New Roman" w:hAnsi="Times New Roman" w:cs="Times New Roman" w:eastAsiaTheme="minorEastAsia"/>
                <w:b w:val="0"/>
                <w:color w:val="000000"/>
                <w:sz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206)</w:t>
            </w:r>
            <w:bookmarkEnd w:id="10"/>
          </w:p>
        </w:tc>
      </w:tr>
      <w:bookmarkEnd w:id="11"/>
      <w:tr w14:paraId="72FFA59C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AC4C80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New-generation formulas</w:t>
            </w:r>
          </w:p>
        </w:tc>
      </w:tr>
      <w:tr w14:paraId="27EA166D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814D1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BUII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76D86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0.17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589C9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0.57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7D31E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EFBF2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855EB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35.44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90402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62.62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F989D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80.10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2A7C2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92.23</w:t>
            </w:r>
          </w:p>
        </w:tc>
      </w:tr>
      <w:tr w14:paraId="2E982F61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6B0BD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Kane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B32D4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0.20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DD9AC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0.58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8843F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A391D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0.38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1E2F9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37.38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1532F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64.08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51DA0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81.07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26B26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90.78</w:t>
            </w:r>
          </w:p>
        </w:tc>
      </w:tr>
      <w:tr w14:paraId="69E093D1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5E7B0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EVO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A2666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0.18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3F535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0.57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6DD75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EC476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7B355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39.81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BA5A6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66.99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2A9DF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80.10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FB25A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90.29</w:t>
            </w:r>
          </w:p>
        </w:tc>
      </w:tr>
      <w:tr w14:paraId="0EB5D198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93A77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T2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8B972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0.06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33A69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0.58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8AB16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C42E8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3AE6A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36.41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AEC80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63.11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3C224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81.55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FB31E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89.32</w:t>
            </w:r>
          </w:p>
        </w:tc>
      </w:tr>
      <w:tr w14:paraId="4051AEEB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367EE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color w:val="000000"/>
                <w:sz w:val="13"/>
              </w:rPr>
              <w:t>Pearl-DGS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B0013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0.33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2C9BB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0.58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5F710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7F415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0.37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FAFB8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33.50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91329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64.08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4F2AD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78.64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2A6AD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89.81</w:t>
            </w:r>
          </w:p>
        </w:tc>
      </w:tr>
      <w:tr w14:paraId="236CD94F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B04E0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K6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AE488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0.38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20F85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E3521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D1BA5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E7527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36.89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542A9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65.53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F226D7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78.16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C8CCF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89.81</w:t>
            </w:r>
          </w:p>
        </w:tc>
      </w:tr>
      <w:tr w14:paraId="2C196807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D9658C">
            <w:pPr>
              <w:widowControl/>
              <w:suppressAutoHyphens/>
              <w:snapToGrid w:val="0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Traditional formulas</w:t>
            </w:r>
          </w:p>
        </w:tc>
      </w:tr>
      <w:tr w14:paraId="60DE5BD2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B8A8E9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Holladay 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34E0B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0.09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9D9FC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0.57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0854B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A6B0C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0.36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D8498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39.21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8AE48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63.59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6E6A0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81.07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E798D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89.32</w:t>
            </w:r>
          </w:p>
        </w:tc>
      </w:tr>
      <w:tr w14:paraId="50F6B7C7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75759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SRK/T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2CBD5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0.07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6918F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EE709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0.48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628D5F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0.38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D6760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33.98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7A3EB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61.17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C49BF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80.58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A12AE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88.83</w:t>
            </w:r>
          </w:p>
        </w:tc>
      </w:tr>
      <w:tr w14:paraId="792B9142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F5366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Hoffer Q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357AA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0.01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AEC24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0.58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5F78A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A38EBC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0.38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A77866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34.47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C29A1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61.17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9DAD8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81.07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162F9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88.83</w:t>
            </w:r>
          </w:p>
        </w:tc>
      </w:tr>
      <w:tr w14:paraId="614AA90B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708B0A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Haigis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92AE1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0.27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2C74D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0.61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8ABAC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2BAB3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538DA1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33.50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6D4C0D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61.17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0B8495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78.64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EA3D9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87.38</w:t>
            </w:r>
          </w:p>
        </w:tc>
      </w:tr>
      <w:tr w14:paraId="048D348C">
        <w:tblPrEx>
          <w:tblBorders>
            <w:top w:val="single" w:color="7E7E7E" w:themeColor="text1" w:themeTint="80" w:sz="8" w:space="0"/>
            <w:left w:val="single" w:color="808080" w:sz="8" w:space="0"/>
            <w:bottom w:val="single" w:color="7E7E7E" w:themeColor="text1" w:themeTint="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jc w:val="center"/>
        </w:trPr>
        <w:tc>
          <w:tcPr>
            <w:tcW w:w="6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43F240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SRK-II</w:t>
            </w:r>
          </w:p>
        </w:tc>
        <w:tc>
          <w:tcPr>
            <w:tcW w:w="42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B1404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0.39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  <w:vertAlign w:val="superscript"/>
              </w:rPr>
              <w:t>b</w:t>
            </w:r>
          </w:p>
        </w:tc>
        <w:tc>
          <w:tcPr>
            <w:tcW w:w="34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FB4153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0.67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05F81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0.52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0AD288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0.44</w:t>
            </w:r>
          </w:p>
        </w:tc>
        <w:tc>
          <w:tcPr>
            <w:tcW w:w="6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3B9F52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31.07</w:t>
            </w:r>
          </w:p>
        </w:tc>
        <w:tc>
          <w:tcPr>
            <w:tcW w:w="744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5BE68E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59.22</w:t>
            </w:r>
          </w:p>
        </w:tc>
        <w:tc>
          <w:tcPr>
            <w:tcW w:w="67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A8A04B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75.24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1A1464">
            <w:pPr>
              <w:widowControl/>
              <w:suppressAutoHyphens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3"/>
              </w:rPr>
              <w:t>85.92</w:t>
            </w:r>
          </w:p>
          <w:bookmarkEnd w:id="3"/>
        </w:tc>
      </w:tr>
      <w:bookmarkEnd w:id="4"/>
    </w:tbl>
    <w:p w14:paraId="0FB44EAF">
      <w:pPr>
        <w:spacing w:before="40" w:after="80" w:line="240" w:lineRule="auto"/>
      </w:pPr>
      <w:r>
        <w:rPr>
          <w:rFonts w:ascii="Times New Roman" w:hAnsi="Times New Roman" w:eastAsia="Times New Roman"/>
          <w:sz w:val="16"/>
        </w:rPr>
        <w:t>AL = axial length; BUII = Barrett Universal II formula; EVO = Emmetropia Verifying Optical formula version 2.0; ME = mean prediction error; SD = standard deviation of prediction error; MAE = mean absolute prediction error; MedAE = median absolute prediction error; ± 0.25 D (%), ± 0.50 D (%), ± 0.75 D (%), ± 1.00 D (%) = percentage of eyes within ± 0.25 D, ± 0.50 D, ± 0.75 D, or ± 1.00D of prediction error; D = diopters. All values were calculated using prediction errors after overall zero-centered optimization. ME represents the residual mean prediction error within each subgroup after overall optimization. Superscript letters indicate whether subgroup-specific ME differed significantly from zero.</w:t>
      </w:r>
    </w:p>
    <w:p w14:paraId="5A59AD7F">
      <w:pPr>
        <w:spacing w:before="40" w:after="80" w:line="240" w:lineRule="auto"/>
      </w:pPr>
      <w:r>
        <w:rPr>
          <w:rFonts w:ascii="Times New Roman" w:hAnsi="Times New Roman" w:eastAsia="Times New Roman"/>
          <w:sz w:val="16"/>
        </w:rPr>
        <w:t>a Comparison between prediction error and zero.</w:t>
      </w:r>
    </w:p>
    <w:p w14:paraId="29004C42">
      <w:pPr>
        <w:spacing w:before="40" w:after="80" w:line="240" w:lineRule="auto"/>
      </w:pPr>
      <w:r>
        <w:rPr>
          <w:rFonts w:ascii="Times New Roman" w:hAnsi="Times New Roman" w:eastAsia="Times New Roman"/>
          <w:sz w:val="16"/>
        </w:rPr>
        <w:t>b Statistically significant (P &lt; 0.05).</w:t>
      </w:r>
    </w:p>
    <w:p w14:paraId="6E14BC53">
      <w:r>
        <w:br w:type="page"/>
      </w:r>
    </w:p>
    <w:p w14:paraId="1FBF31B4">
      <w:pPr>
        <w:pStyle w:val="167"/>
        <w:keepNext/>
      </w:pPr>
      <w:r>
        <w:rPr>
          <w:rFonts w:ascii="Times New Roman" w:hAnsi="Times New Roman" w:eastAsia="Times New Roman"/>
          <w:b/>
          <w:sz w:val="18"/>
        </w:rPr>
        <w:t>Table S2 Predictive outcomes of intraocular lens calculation formulas based on mean-keratometry subgroups</w:t>
      </w:r>
    </w:p>
    <w:tbl>
      <w:tblPr>
        <w:tblStyle w:val="32"/>
        <w:tblW w:w="14740" w:type="dxa"/>
        <w:jc w:val="center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single" w:color="808080" w:sz="4" w:space="0"/>
          <w:insideV w:val="single" w:color="80808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1247"/>
        <w:gridCol w:w="1008"/>
        <w:gridCol w:w="1179"/>
        <w:gridCol w:w="1521"/>
        <w:gridCol w:w="1901"/>
        <w:gridCol w:w="1883"/>
        <w:gridCol w:w="1883"/>
        <w:gridCol w:w="1768"/>
        <w:gridCol w:w="19"/>
      </w:tblGrid>
      <w:tr w14:paraId="71315AD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000" w:type="pct"/>
            <w:gridSpan w:val="10"/>
            <w:tcBorders>
              <w:top w:val="nil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E995E4">
            <w:pPr>
              <w:snapToGrid w:val="0"/>
              <w:spacing w:before="0" w:after="0" w:line="240" w:lineRule="auto"/>
              <w:jc w:val="left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/>
                <w:b/>
                <w:i w:val="0"/>
                <w:sz w:val="14"/>
              </w:rPr>
              <w:t>Table S2. Predictive outcomes of intraocular lens calculation formulas based on mean-keratometry subgroups</w:t>
            </w:r>
          </w:p>
        </w:tc>
      </w:tr>
      <w:tr w14:paraId="4576DD61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blHeader/>
          <w:jc w:val="center"/>
        </w:trPr>
        <w:tc>
          <w:tcPr>
            <w:tcW w:w="791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E5C56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bCs w:val="0"/>
                <w:kern w:val="0"/>
                <w:sz w:val="12"/>
                <w:szCs w:val="21"/>
              </w:rPr>
              <w:t>Formula</w:t>
            </w:r>
          </w:p>
        </w:tc>
        <w:tc>
          <w:tcPr>
            <w:tcW w:w="423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D2F109">
            <w:pPr>
              <w:widowControl/>
              <w:snapToGrid w:val="0"/>
              <w:spacing w:before="0" w:after="0" w:line="240" w:lineRule="auto"/>
              <w:ind w:right="-132" w:rightChars="-66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ME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  <w:vertAlign w:val="superscript"/>
              </w:rPr>
              <w:t>a</w:t>
            </w:r>
          </w:p>
        </w:tc>
        <w:tc>
          <w:tcPr>
            <w:tcW w:w="342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75C05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SD</w:t>
            </w:r>
          </w:p>
        </w:tc>
        <w:tc>
          <w:tcPr>
            <w:tcW w:w="400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D44C9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MAE</w:t>
            </w:r>
          </w:p>
        </w:tc>
        <w:tc>
          <w:tcPr>
            <w:tcW w:w="516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8BACA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MedAE</w:t>
            </w:r>
          </w:p>
        </w:tc>
        <w:tc>
          <w:tcPr>
            <w:tcW w:w="645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6A598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±</w:t>
            </w:r>
            <w:r>
              <w:rPr>
                <w:rFonts w:hint="eastAsia"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0.25</w:t>
            </w:r>
            <w:r>
              <w:rPr>
                <w:rFonts w:hint="eastAsia"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D (%)</w:t>
            </w:r>
          </w:p>
        </w:tc>
        <w:tc>
          <w:tcPr>
            <w:tcW w:w="639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FA77D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±</w:t>
            </w:r>
            <w:r>
              <w:rPr>
                <w:rFonts w:hint="eastAsia"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0.50 D (%)</w:t>
            </w:r>
          </w:p>
        </w:tc>
        <w:tc>
          <w:tcPr>
            <w:tcW w:w="639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44E62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±</w:t>
            </w:r>
            <w:r>
              <w:rPr>
                <w:rFonts w:hint="eastAsia"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0.75 D (%)</w:t>
            </w:r>
          </w:p>
        </w:tc>
        <w:tc>
          <w:tcPr>
            <w:tcW w:w="600" w:type="pct"/>
            <w:tcBorders>
              <w:top w:val="single" w:color="000000" w:sz="12" w:space="0"/>
              <w:bottom w:val="single" w:color="auto" w:sz="4" w:space="0"/>
            </w:tcBorders>
            <w:shd w:val="clear" w:color="auto" w:fill="E7E6E6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D4A2D0">
            <w:pPr>
              <w:widowControl/>
              <w:tabs>
                <w:tab w:val="left" w:pos="1680"/>
              </w:tabs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±</w:t>
            </w:r>
            <w:r>
              <w:rPr>
                <w:rFonts w:hint="eastAsia"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1.0</w:t>
            </w:r>
            <w:r>
              <w:rPr>
                <w:rFonts w:hint="eastAsia"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 xml:space="preserve"> D</w:t>
            </w:r>
            <w:r>
              <w:rPr>
                <w:rFonts w:hint="eastAsia"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kern w:val="0"/>
                <w:sz w:val="12"/>
                <w:szCs w:val="21"/>
              </w:rPr>
              <w:t>(%)</w:t>
            </w:r>
          </w:p>
        </w:tc>
      </w:tr>
      <w:tr w14:paraId="297EAD45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A3E46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12" w:name="OLE_LINK71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Km ≤ 44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D</w:t>
            </w:r>
            <w:bookmarkEnd w:id="12"/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(n = 20)</w:t>
            </w:r>
          </w:p>
        </w:tc>
      </w:tr>
      <w:tr w14:paraId="36FFB9B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74918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13" w:name="_Hlk230011435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New-generation formulas</w:t>
            </w:r>
          </w:p>
        </w:tc>
      </w:tr>
      <w:tr w14:paraId="131F8211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3E30AB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14" w:name="_Hlk230003139"/>
            <w:bookmarkStart w:id="15" w:name="_Hlk230007464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BUII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DDE58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-0.08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BBBBA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0.65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76817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0.53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50A7C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0.50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40CA4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9C782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32D64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85.00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BA6E2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85.00 </w:t>
            </w:r>
          </w:p>
        </w:tc>
      </w:tr>
      <w:bookmarkEnd w:id="14"/>
      <w:tr w14:paraId="7F2AEB9E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CD81BF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16" w:name="_Hlk230007486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Kane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F73F5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0.10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47083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0.61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448CC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D8DC6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0.41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8C081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1EA4A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268B4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9EABA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85.00 </w:t>
            </w:r>
          </w:p>
        </w:tc>
      </w:tr>
      <w:bookmarkEnd w:id="16"/>
      <w:tr w14:paraId="528E015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9E0C14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EVO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42228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0.10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333E8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0.64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48AAE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0.53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D1C31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0.44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368C1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A951D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5309E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B60FE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90.00 </w:t>
            </w:r>
          </w:p>
        </w:tc>
      </w:tr>
      <w:tr w14:paraId="6034673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D64551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17" w:name="_Hlk230009172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T2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2DFEA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0.32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90334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0.72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4378C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7C537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0.44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9ABD6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F618CC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B982E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61D4F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80.00 </w:t>
            </w:r>
          </w:p>
        </w:tc>
      </w:tr>
      <w:bookmarkEnd w:id="15"/>
      <w:bookmarkEnd w:id="17"/>
      <w:tr w14:paraId="48D4D5C0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6988F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Pearl-DGS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B95F7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0.04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8F9D2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0.63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E9425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0.52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A2A2E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0.44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51353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15.00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74489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30F99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11A43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85.00 </w:t>
            </w:r>
          </w:p>
        </w:tc>
      </w:tr>
      <w:tr w14:paraId="3502C76C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18FA72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K6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4CBD2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0.09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00936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0.64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D58EB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0.53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D0F67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0.45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8C3A5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A66F1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E0E87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00EFF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90.00 </w:t>
            </w:r>
          </w:p>
        </w:tc>
      </w:tr>
      <w:bookmarkEnd w:id="13"/>
      <w:tr w14:paraId="38D0E7E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1C2C0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Traditional formulas</w:t>
            </w:r>
          </w:p>
        </w:tc>
      </w:tr>
      <w:tr w14:paraId="17D62EF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A95B44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Holladay 1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1F222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0.13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6E4C4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0.68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965AA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0.55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1FD5B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0.49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559CC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30.00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6D327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55.00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6A388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70.00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36292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80.00 </w:t>
            </w:r>
          </w:p>
        </w:tc>
      </w:tr>
      <w:tr w14:paraId="445A2A35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CA83BD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SRK/T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2CD5D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>0.44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  <w:vertAlign w:val="superscript"/>
              </w:rPr>
              <w:t>b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15177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0.72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51CEE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0.65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7C475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0.49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C9CE5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30.00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FEA5F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55.00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577F3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70.00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32E3C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75.00 </w:t>
            </w:r>
          </w:p>
        </w:tc>
      </w:tr>
      <w:tr w14:paraId="4CFB6E1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11FAF6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Hoffer Q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D582B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-0.03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03732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0.65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4A0FF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5474D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0.33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142A3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35.00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A430F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55.00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56803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70.00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F8059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85.00 </w:t>
            </w:r>
          </w:p>
        </w:tc>
      </w:tr>
      <w:tr w14:paraId="79A6518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BB21F9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Haigis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13417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-0.17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C2932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0.54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F096B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0.47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D2FD9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0.39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566CA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20.00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933FB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55.00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FA1B0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80.00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007C1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95.00 </w:t>
            </w:r>
          </w:p>
        </w:tc>
      </w:tr>
      <w:tr w14:paraId="672A7A4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939970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SRK-II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724A6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>0.57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  <w:vertAlign w:val="superscript"/>
              </w:rPr>
              <w:t>b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9D673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0.73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74263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0.71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EB461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0.51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ED34C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25.00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0E8E4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45.00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ACE16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70.00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745D4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12"/>
                <w:szCs w:val="21"/>
              </w:rPr>
              <w:t xml:space="preserve">70.00 </w:t>
            </w:r>
          </w:p>
        </w:tc>
      </w:tr>
      <w:tr w14:paraId="42D1589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70E36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18" w:name="OLE_LINK72"/>
            <w:bookmarkStart w:id="19" w:name="_Hlk230011499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44 D &lt; Km ≤ 45 D (n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=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45)</w:t>
            </w:r>
            <w:bookmarkEnd w:id="18"/>
          </w:p>
        </w:tc>
      </w:tr>
      <w:bookmarkEnd w:id="19"/>
      <w:tr w14:paraId="5F3E5A23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DEBE7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New-generation formulas</w:t>
            </w:r>
          </w:p>
        </w:tc>
      </w:tr>
      <w:tr w14:paraId="61636C70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177AFE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BUII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D612C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0.03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9A3D9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0.59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AD203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BAA9B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0CAF0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31.11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A25DE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55.56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7AD46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82.22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FA3F8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91.11 </w:t>
            </w:r>
          </w:p>
        </w:tc>
      </w:tr>
      <w:tr w14:paraId="3E910D0E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43FB99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Kane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18008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0.04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D96D7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6BB71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5B83B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0.43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D7AF5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24.44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6F2DA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57.78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96A46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82.22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36E8E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91.11 </w:t>
            </w:r>
          </w:p>
        </w:tc>
      </w:tr>
      <w:tr w14:paraId="0190191F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AE9BBD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EVO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9990B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0.04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512A9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854E7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20B79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0.44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31412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28.89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9E433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4FBB3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77.78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84CBE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88.89 </w:t>
            </w:r>
          </w:p>
        </w:tc>
      </w:tr>
      <w:tr w14:paraId="041FB25A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205B76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T2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61686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0.10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EE771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0.60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9755B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C053C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0.42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59D9C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043F7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57.78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D3500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84.44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04B85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91.11 </w:t>
            </w:r>
          </w:p>
        </w:tc>
      </w:tr>
      <w:tr w14:paraId="29559B12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09DFA4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Pearl-DGS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D5723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8B877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0.64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848A8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C453E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0.43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D3E1E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28.89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8DD64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57.78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08DB8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77.78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620B3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88.89 </w:t>
            </w:r>
          </w:p>
        </w:tc>
      </w:tr>
      <w:tr w14:paraId="3B167830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2AC3B3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K6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A29E4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0.08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9EEFB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0.67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ECA797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A2AE6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09C65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37.78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0BBDE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48.89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24C95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73.33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81BC0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86.67 </w:t>
            </w:r>
          </w:p>
        </w:tc>
      </w:tr>
      <w:tr w14:paraId="39969FFA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A57C1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Traditional formulas</w:t>
            </w:r>
          </w:p>
        </w:tc>
      </w:tr>
      <w:tr w14:paraId="65AFF56A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1490B8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Holladay 1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00B14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-0.01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F9E6AE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0.59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87043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B8E27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D56D5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31.11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CF6DB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11D27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77.78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B1665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93.33 </w:t>
            </w:r>
          </w:p>
        </w:tc>
      </w:tr>
      <w:tr w14:paraId="0B4E0CE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66CD3C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SRK/T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DC359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0.18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009D9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0.59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360D9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B4049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0.41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1FF6B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47606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57.78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E5832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82.22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4A3E8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91.11 </w:t>
            </w:r>
          </w:p>
        </w:tc>
      </w:tr>
      <w:tr w14:paraId="3CF382E1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529CF0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Hoffer Q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5B8FE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ACA6A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0.60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8817D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07336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4BB4E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31.11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6814D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4CB6A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82.22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F4D09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93.33 </w:t>
            </w:r>
          </w:p>
        </w:tc>
      </w:tr>
      <w:tr w14:paraId="44E351B2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F0D0E5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Haigis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8AD54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-0.09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A24065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0.68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EEC9B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0.55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BDAB6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6474A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DC821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51.11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FE5A2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75.56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77682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91.11 </w:t>
            </w:r>
          </w:p>
        </w:tc>
      </w:tr>
      <w:tr w14:paraId="34CB2F08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00CA78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SRK-II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64378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0.18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1B24ED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0.61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886FE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0.52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3A58F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0.45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7410B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28.89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B10DA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55.56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66623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75.56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D3A76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86.67 </w:t>
            </w:r>
          </w:p>
        </w:tc>
      </w:tr>
      <w:tr w14:paraId="22C4429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9377F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20" w:name="OLE_LINK73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45 D &lt; Km ≤ 46 D (n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=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79)</w:t>
            </w:r>
            <w:bookmarkEnd w:id="20"/>
          </w:p>
        </w:tc>
      </w:tr>
      <w:tr w14:paraId="4D3ADB2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3FDF4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New-generation formulas</w:t>
            </w:r>
          </w:p>
        </w:tc>
      </w:tr>
      <w:tr w14:paraId="1004370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3907CA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BUII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FD34C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0.11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49A1C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0.63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0051D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FB688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F3C83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34.18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A338A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55.70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9CEDE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74.68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616C1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89.87 </w:t>
            </w:r>
          </w:p>
        </w:tc>
      </w:tr>
      <w:tr w14:paraId="53BE348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7B0F82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Kane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DD30F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0.05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A946D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0.64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02648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769B9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0.42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ED866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39.24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DD5973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56.96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9B96E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75.95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5669C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88.61 </w:t>
            </w:r>
          </w:p>
        </w:tc>
      </w:tr>
      <w:tr w14:paraId="0CD7C835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BDADCA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EVO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82EF7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0.05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4B67C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0.61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F2CAD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6F4E4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0.38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C5492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41.77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F1D4E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60.76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B87FA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77.22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4EDA0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89.87 </w:t>
            </w:r>
          </w:p>
        </w:tc>
      </w:tr>
      <w:tr w14:paraId="09428081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E1414B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T2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D66CF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0.09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6F2ED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0.63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409FF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43EC8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0.37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D5261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40.51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9A73B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56.96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F5D4B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75.95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28CE8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86.08 </w:t>
            </w:r>
          </w:p>
        </w:tc>
      </w:tr>
      <w:tr w14:paraId="1F90D93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8320F6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Pearl-DGS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817B9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0.10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C0A96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AE7AB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EA518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0.37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BB2CF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31.65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AA1DC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56.96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85674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72.15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B4D44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88.61 </w:t>
            </w:r>
          </w:p>
        </w:tc>
      </w:tr>
      <w:tr w14:paraId="41DD46C8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6A5F39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K6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43672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991C78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0.66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0D3EE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637DF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0.40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531B6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37.97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4D3359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62.03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64679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72.15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2AD01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86.08 </w:t>
            </w:r>
          </w:p>
        </w:tc>
      </w:tr>
      <w:tr w14:paraId="6247A851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BAA40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Traditional formulas</w:t>
            </w:r>
          </w:p>
        </w:tc>
      </w:tr>
      <w:tr w14:paraId="0BFE1B45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A8BB1B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Holladay 1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55D9B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0.05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4BF57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0.63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07A8E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2C3EC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0.39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3379E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39.24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1FE93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60.76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E66DC7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77.22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33BAA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86.08 </w:t>
            </w:r>
          </w:p>
        </w:tc>
      </w:tr>
      <w:tr w14:paraId="41AE6F08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1C074F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SRK/T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A3189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>0.12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  <w:vertAlign w:val="superscript"/>
              </w:rPr>
              <w:t>b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D2674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0.64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F64D7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1350E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BCC3A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34.18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1788F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53.16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69DB1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73.42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716FE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84.81 </w:t>
            </w:r>
          </w:p>
        </w:tc>
      </w:tr>
      <w:tr w14:paraId="0E8CFCBE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EE56E0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Hoffer Q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EF6AB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15217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0.63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68046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E770F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0.39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2602F5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34.18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3511C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62.03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268DB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75.95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A0EFB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86.08 </w:t>
            </w:r>
          </w:p>
        </w:tc>
      </w:tr>
      <w:tr w14:paraId="79A27450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5BD0690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Haigis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B7A55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0.04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7D911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0.63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D11E6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B6F74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0.38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61C04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36.71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A7794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62.03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7A788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75.95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D2E08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84.81 </w:t>
            </w:r>
          </w:p>
        </w:tc>
      </w:tr>
      <w:tr w14:paraId="046A19B2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BD3AB0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SRK-II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93AC0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0.13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455B0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0.67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C3598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0.54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80099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0.45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7DB05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31.65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78BA2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58.23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1DA9F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68.35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1C072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81.01 </w:t>
            </w:r>
          </w:p>
        </w:tc>
      </w:tr>
      <w:tr w14:paraId="478AD9FA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5BE45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21" w:name="OLE_LINK74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46 D &lt; Km ≤ 47 D (n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=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76)</w:t>
            </w:r>
            <w:bookmarkEnd w:id="21"/>
          </w:p>
        </w:tc>
      </w:tr>
      <w:tr w14:paraId="321415DB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7DB43F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New-generation formulas</w:t>
            </w:r>
          </w:p>
        </w:tc>
      </w:tr>
      <w:tr w14:paraId="7749585B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22433D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BUII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42B00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>-0.02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A98697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0.60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6469A2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F1AF5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0.40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32337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31.58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E95E5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61.84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54936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77.63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40B8B0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89.47 </w:t>
            </w:r>
          </w:p>
        </w:tc>
      </w:tr>
      <w:tr w14:paraId="766B5DC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4FE62C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Kane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22F9E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-0.04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3148D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0.61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5C40E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6C078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0.37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BAE72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42.11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B7619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59.21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61DC0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77.63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27BBC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88.16 </w:t>
            </w:r>
          </w:p>
        </w:tc>
      </w:tr>
      <w:tr w14:paraId="3F79948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13B10F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EVO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5DCCA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-0.07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76823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3F3987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7746C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0.39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13BE6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42.11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9A554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63.16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C0902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73.68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E04E5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85.53 </w:t>
            </w:r>
          </w:p>
        </w:tc>
      </w:tr>
      <w:tr w14:paraId="116C1559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8B7AC8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T2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7838C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-0.08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35068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0.60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18B32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3C6EC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0.40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90392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31.58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5EB65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59.21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7D5AA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80.26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774AA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88.16 </w:t>
            </w:r>
          </w:p>
        </w:tc>
      </w:tr>
      <w:tr w14:paraId="786DA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0FED17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Pearl-DGS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944B4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-0.04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31274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4EB75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6C34F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2A3EA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36.84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3EF81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60.53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EF5A6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76.32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91C3B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86.84 </w:t>
            </w:r>
          </w:p>
        </w:tc>
      </w:tr>
      <w:tr w14:paraId="33974A72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6AFC4E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K6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8A2E0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F6677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0.63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B4368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76696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0.38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5CFDC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38.16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9A9F6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61.84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1F74F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76.32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E73AD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86.84 </w:t>
            </w:r>
          </w:p>
        </w:tc>
      </w:tr>
      <w:tr w14:paraId="0DDD7A0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16FF5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Traditional formulas</w:t>
            </w:r>
          </w:p>
        </w:tc>
      </w:tr>
      <w:tr w14:paraId="182F102F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049C055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Holladay 1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2BA7B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30A23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0.59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1C37F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6B5A9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0.40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EBF4AB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32.89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1C2B9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63.16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DAEC7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80.26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0EAE3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89.47 </w:t>
            </w:r>
          </w:p>
        </w:tc>
      </w:tr>
      <w:tr w14:paraId="00C8AC4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1620EC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SRK/T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6F710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-0.08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F10845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0.61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EC9F4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D26413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0.41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CDBF1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32.89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35E41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59.21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8774F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81.58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3834F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88.16 </w:t>
            </w:r>
          </w:p>
        </w:tc>
      </w:tr>
      <w:tr w14:paraId="182D605C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D36AB8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Hoffer Q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18F56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-0.02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D2AFC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0.60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40F57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6EECD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0.42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A2D96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32.89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F2163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61.84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70E9E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84.21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6E670F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86.84 </w:t>
            </w:r>
          </w:p>
        </w:tc>
      </w:tr>
      <w:tr w14:paraId="484119FA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C3E169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Haigis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582C7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-0.02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0D8E2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0.66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73D7E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00171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0.41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8B0C0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35.53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B2BCEE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59.21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9695C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76.32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EA036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86.84 </w:t>
            </w:r>
          </w:p>
        </w:tc>
      </w:tr>
      <w:tr w14:paraId="25B3C60B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131872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SRK-II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91307D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-0.10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9F702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0.69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10FAD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0.55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E035C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0.45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D6455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31.58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FEEA3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55.26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0BE79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69.74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457B4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82.89 </w:t>
            </w:r>
          </w:p>
        </w:tc>
      </w:tr>
      <w:tr w14:paraId="4861A265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902AF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22" w:name="OLE_LINK75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47 D &lt; Km </w:t>
            </w:r>
            <w:bookmarkStart w:id="23" w:name="OLE_LINK60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≤ 48 </w:t>
            </w:r>
            <w:bookmarkEnd w:id="23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D (n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=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47)</w:t>
            </w:r>
            <w:bookmarkEnd w:id="22"/>
          </w:p>
        </w:tc>
      </w:tr>
      <w:tr w14:paraId="1FCCF63B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C55414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New-generation formulas</w:t>
            </w:r>
          </w:p>
        </w:tc>
      </w:tr>
      <w:tr w14:paraId="7D58C7EA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AB77898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BUII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0D66E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>0.03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4C165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0.56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6BE24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0.46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E555D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0.39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E94C2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34.04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67875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59.57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17CB50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78.72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48159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93.62 </w:t>
            </w:r>
          </w:p>
        </w:tc>
      </w:tr>
      <w:tr w14:paraId="75DC90E4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F26B8A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Kane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FD2DA2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-0.07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A9397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0.72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D3252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B3DFA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0.43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93003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31.91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B924B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65.96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6E287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6AC18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89.36 </w:t>
            </w:r>
          </w:p>
        </w:tc>
      </w:tr>
      <w:tr w14:paraId="49878D17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03049B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EVO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D73FF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-0.07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98164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6CD81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0.46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EB949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0.38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33307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40.43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08D4F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68.09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48AF1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82.98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54BEA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91.49 </w:t>
            </w:r>
          </w:p>
        </w:tc>
      </w:tr>
      <w:tr w14:paraId="78397573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167B47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T2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88B00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-0.07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6CA9F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0.61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AD1F6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927FC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03B25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40.43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AF19B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61.70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F95C6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D500F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89.36 </w:t>
            </w:r>
          </w:p>
        </w:tc>
      </w:tr>
      <w:tr w14:paraId="6AA62F0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8B91AEB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Pearl-DGS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95FFE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-0.07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398CA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0.67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16549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25324E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0.43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E3095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34.04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0744F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65.96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11D6B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85.11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761A6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91.49 </w:t>
            </w:r>
          </w:p>
        </w:tc>
      </w:tr>
      <w:tr w14:paraId="59A67144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A66618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K6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7A19E3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-0.09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67D4D0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0.72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2DAC8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37341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0.34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C85EA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31.91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47E4E6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74.47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9D228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87.23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8397A7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91.49 </w:t>
            </w:r>
          </w:p>
        </w:tc>
      </w:tr>
      <w:tr w14:paraId="144A1DF8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39F89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Traditional formulas</w:t>
            </w:r>
          </w:p>
        </w:tc>
      </w:tr>
      <w:tr w14:paraId="2E05DB94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B579979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Holladay 1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13951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0.01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C0078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0.61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97AF4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0.46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9F2495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0.33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522DD2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46.81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02C96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59.57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69518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82.98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CDE20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89.36 </w:t>
            </w:r>
          </w:p>
        </w:tc>
      </w:tr>
      <w:tr w14:paraId="660B896F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42B6752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SRK/T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25F610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-0.12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E72BA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0.58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6B4406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0.45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96C6CB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0.31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FB7E2A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42.55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61020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63.83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304D3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80.85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BC1407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89.36 </w:t>
            </w:r>
          </w:p>
        </w:tc>
      </w:tr>
      <w:tr w14:paraId="5E50191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F1E3A39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Hoffer Q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7E426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68A7C5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0.65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2FE82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7A5E9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0.40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634EF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34.04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0EF0D7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55.32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C3266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2D1AFE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85.11 </w:t>
            </w:r>
          </w:p>
        </w:tc>
      </w:tr>
      <w:tr w14:paraId="2A0867A8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5042AB1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Haigis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B5477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0.09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960E3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0.61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DD3B33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F16B8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0D1D9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34.04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51D2D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63.83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F58CA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55BD0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82.98 </w:t>
            </w:r>
          </w:p>
        </w:tc>
      </w:tr>
      <w:tr w14:paraId="2C6D7FE0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88961D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SRK-II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CDCF77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-0.15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58F7B1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0.59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01195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93E3E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0.41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171F7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27.66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437413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61.70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A69314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78.72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43F76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89.36 </w:t>
            </w:r>
          </w:p>
        </w:tc>
      </w:tr>
      <w:tr w14:paraId="6D76558A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8A969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bookmarkStart w:id="24" w:name="_Hlk231563506"/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Km &gt; 48 D (n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=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30)</w:t>
            </w:r>
          </w:p>
        </w:tc>
      </w:tr>
      <w:bookmarkEnd w:id="24"/>
      <w:tr w14:paraId="0763E0AB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75059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New-generation formulas</w:t>
            </w:r>
          </w:p>
        </w:tc>
      </w:tr>
      <w:tr w14:paraId="2E83C8B4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2F2998A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BUII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CAE54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-0.11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D0FEF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5A91D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7DF531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0.22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7EC64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B43888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3F19A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417C3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93.33 </w:t>
            </w:r>
          </w:p>
        </w:tc>
      </w:tr>
      <w:tr w14:paraId="5ADDCF4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88868E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Kane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AE20F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-0.01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EC687B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0.52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0C649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A53DB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0.26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C73995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4C449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985DCC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C7F487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90.00 </w:t>
            </w:r>
          </w:p>
        </w:tc>
      </w:tr>
      <w:tr w14:paraId="798135DE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59994A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EVO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8C849D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-0.03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71D17E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0.58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AE65C0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4ED67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0.26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BB5AE4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8B1947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20ADBA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079B1B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</w:tr>
      <w:tr w14:paraId="77A113BE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1C131E5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T2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730C5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>-0.29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  <w:vertAlign w:val="superscript"/>
              </w:rPr>
              <w:t>b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3ED1B8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0.47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388A6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0.42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8090F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0.32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967174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36.67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3FD34A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3A830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554FC0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93.33 </w:t>
            </w:r>
          </w:p>
        </w:tc>
      </w:tr>
      <w:tr w14:paraId="782A8DA6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7B83156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Pearl-DGS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1C3621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-0.14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455414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0.56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0B80B1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0.41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2B3AF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54395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73960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3DF9EC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B7AD19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86.67 </w:t>
            </w:r>
          </w:p>
        </w:tc>
      </w:tr>
      <w:tr w14:paraId="4D53DA7E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E24C36E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K6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1F4EB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-0.02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89A28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0.58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DFB2A3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0.40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3915B9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0.26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1F353C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84CFA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0439A1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E0331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86.67 </w:t>
            </w:r>
          </w:p>
        </w:tc>
      </w:tr>
      <w:tr w14:paraId="2D446CC9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10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A7D0D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Traditional formulas</w:t>
            </w:r>
          </w:p>
        </w:tc>
      </w:tr>
      <w:tr w14:paraId="593576CA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EABBCD6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Holladay 1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9BA37D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0C70C3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0.47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AA4A4B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0.36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5E63A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0.30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65457A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7138F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E86F0D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93.33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80A8F1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93.33 </w:t>
            </w:r>
          </w:p>
        </w:tc>
      </w:tr>
      <w:tr w14:paraId="630A9AFE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2AAA0A7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SRK/T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F63EE7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>-0.48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  <w:vertAlign w:val="superscript"/>
              </w:rPr>
              <w:t>b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D564AE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0.49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EC3CF4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0.55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49CC01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45F1EE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20.00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ADFB19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58D125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1C52E1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</w:tr>
      <w:tr w14:paraId="26AF33DD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5D263D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Hoffer Q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1C7245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-0.11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C68FAEE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0.47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F12CC0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0.35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99C9F6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0.26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8DDD7C0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3FCC06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76.67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D060AE7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28825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93.33 </w:t>
            </w:r>
          </w:p>
        </w:tc>
      </w:tr>
      <w:tr w14:paraId="682DEB0E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AF3D7E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Haigis</w:t>
            </w:r>
          </w:p>
        </w:tc>
        <w:tc>
          <w:tcPr>
            <w:tcW w:w="423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FFAC69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0.06 </w:t>
            </w:r>
          </w:p>
        </w:tc>
        <w:tc>
          <w:tcPr>
            <w:tcW w:w="342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953381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4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5B6729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0.37 </w:t>
            </w:r>
          </w:p>
        </w:tc>
        <w:tc>
          <w:tcPr>
            <w:tcW w:w="516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ABDE88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0.30 </w:t>
            </w:r>
          </w:p>
        </w:tc>
        <w:tc>
          <w:tcPr>
            <w:tcW w:w="645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8C6CF5D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43.33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5D43A5A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73.33 </w:t>
            </w:r>
          </w:p>
        </w:tc>
        <w:tc>
          <w:tcPr>
            <w:tcW w:w="639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501A143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90.00 </w:t>
            </w:r>
          </w:p>
        </w:tc>
        <w:tc>
          <w:tcPr>
            <w:tcW w:w="600" w:type="pct"/>
            <w:tcBorders>
              <w:top w:val="nil"/>
              <w:bottom w:val="nil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688567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93.33 </w:t>
            </w:r>
          </w:p>
        </w:tc>
      </w:tr>
      <w:tr w14:paraId="3FB798A3">
        <w:tblPrEx>
          <w:tblBorders>
            <w:top w:val="single" w:color="808080" w:sz="8" w:space="0"/>
            <w:left w:val="single" w:color="808080" w:sz="8" w:space="0"/>
            <w:bottom w:val="single" w:color="808080" w:sz="8" w:space="0"/>
            <w:right w:val="single" w:color="808080" w:sz="8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jc w:val="center"/>
        </w:trPr>
        <w:tc>
          <w:tcPr>
            <w:tcW w:w="791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A4F8F81">
            <w:pPr>
              <w:widowControl/>
              <w:snapToGrid w:val="0"/>
              <w:spacing w:before="0" w:after="0" w:line="240" w:lineRule="auto"/>
              <w:ind w:firstLine="120" w:firstLineChars="10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kern w:val="0"/>
                <w:sz w:val="12"/>
                <w:szCs w:val="21"/>
              </w:rPr>
              <w:t>SRK-II</w:t>
            </w:r>
          </w:p>
        </w:tc>
        <w:tc>
          <w:tcPr>
            <w:tcW w:w="423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CB611F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>-0.52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  <w:vertAlign w:val="superscript"/>
              </w:rPr>
              <w:t>b</w:t>
            </w: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 </w:t>
            </w:r>
          </w:p>
        </w:tc>
        <w:tc>
          <w:tcPr>
            <w:tcW w:w="342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F3299F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0.66 </w:t>
            </w:r>
          </w:p>
        </w:tc>
        <w:tc>
          <w:tcPr>
            <w:tcW w:w="400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367F34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0.65 </w:t>
            </w:r>
          </w:p>
        </w:tc>
        <w:tc>
          <w:tcPr>
            <w:tcW w:w="516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CF9A32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0.48 </w:t>
            </w:r>
          </w:p>
        </w:tc>
        <w:tc>
          <w:tcPr>
            <w:tcW w:w="645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FE33D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10.00 </w:t>
            </w:r>
          </w:p>
        </w:tc>
        <w:tc>
          <w:tcPr>
            <w:tcW w:w="639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CB3F216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53.33 </w:t>
            </w:r>
          </w:p>
        </w:tc>
        <w:tc>
          <w:tcPr>
            <w:tcW w:w="639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FE01C2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76.67 </w:t>
            </w:r>
          </w:p>
        </w:tc>
        <w:tc>
          <w:tcPr>
            <w:tcW w:w="600" w:type="pct"/>
            <w:tcBorders>
              <w:top w:val="nil"/>
              <w:bottom w:val="single" w:color="000000" w:sz="12" w:space="0"/>
            </w:tcBorders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BCDAD9C">
            <w:pPr>
              <w:widowControl/>
              <w:snapToGrid w:val="0"/>
              <w:spacing w:before="0"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Times New Roman" w:cs="Times New Roman"/>
                <w:b w:val="0"/>
                <w:kern w:val="0"/>
                <w:sz w:val="12"/>
                <w:szCs w:val="21"/>
              </w:rPr>
              <w:t xml:space="preserve">83.33 </w:t>
            </w:r>
          </w:p>
        </w:tc>
      </w:tr>
    </w:tbl>
    <w:p w14:paraId="184847FB">
      <w:pPr>
        <w:spacing w:before="40" w:after="80" w:line="240" w:lineRule="auto"/>
      </w:pPr>
      <w:r>
        <w:rPr>
          <w:rFonts w:ascii="Times New Roman" w:hAnsi="Times New Roman" w:eastAsia="Times New Roman"/>
          <w:sz w:val="16"/>
        </w:rPr>
        <w:t>Km = mean keratometry; BUII = Barrett Universal II formula; EVO = Emmetropia Verifying Optical formula version 2.0; ME = mean prediction error; SD = standard deviation of prediction error; MAE = mean absolute prediction error; MedAE = median absolute prediction error; ± 0.25 D (%), ± 0.50 D (%), ± 0.75 D (%), ± 1.00 D (%) = percentage of eyes within ± 0.25 D, ± 0.50 D, ± 0.75 D, or ± 1.00 D of prediction error; D = diopters. All values were calculated using prediction errors after overall zero-centered optimization. ME represents the residual mean prediction error within each subgroup after overall optimization. Superscript letters indicate whether subgroup-specific ME differed significantly from zero.</w:t>
      </w:r>
    </w:p>
    <w:p w14:paraId="7B167B69">
      <w:pPr>
        <w:spacing w:before="40" w:after="80" w:line="240" w:lineRule="auto"/>
      </w:pPr>
      <w:r>
        <w:rPr>
          <w:rFonts w:ascii="Times New Roman" w:hAnsi="Times New Roman" w:eastAsia="Times New Roman"/>
          <w:sz w:val="16"/>
        </w:rPr>
        <w:t>a Comparison between prediction error and zero.</w:t>
      </w:r>
    </w:p>
    <w:p w14:paraId="5DA702E7">
      <w:pPr>
        <w:spacing w:before="40" w:after="80" w:line="240" w:lineRule="auto"/>
      </w:pPr>
      <w:r>
        <w:rPr>
          <w:rFonts w:ascii="Times New Roman" w:hAnsi="Times New Roman" w:eastAsia="Times New Roman"/>
          <w:sz w:val="16"/>
        </w:rPr>
        <w:t>b Statistically significant (P &lt; 0.05).</w:t>
      </w:r>
    </w:p>
    <w:p w14:paraId="541AEB3A">
      <w:r>
        <w:br w:type="page"/>
      </w:r>
    </w:p>
    <w:p w14:paraId="5AEBFC88">
      <w:pPr>
        <w:pStyle w:val="165"/>
      </w:pPr>
      <w:r>
        <w:rPr>
          <w:rFonts w:ascii="Times New Roman" w:hAnsi="Times New Roman" w:eastAsia="Times New Roman"/>
          <w:b/>
          <w:sz w:val="24"/>
        </w:rPr>
        <w:t>Supplementary Figures</w:t>
      </w:r>
    </w:p>
    <w:p w14:paraId="6DE08DB4">
      <w:pPr>
        <w:keepNext/>
        <w:jc w:val="center"/>
      </w:pPr>
      <w:r>
        <w:drawing>
          <wp:inline distT="0" distB="0" distL="114300" distR="114300">
            <wp:extent cx="8099425" cy="4330700"/>
            <wp:effectExtent l="0" t="0" r="8255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0000" cy="433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24D3">
      <w:pPr>
        <w:pStyle w:val="167"/>
      </w:pPr>
      <w:r>
        <w:rPr>
          <w:rFonts w:ascii="Times New Roman" w:hAnsi="Times New Roman" w:eastAsia="Times New Roman"/>
          <w:b/>
          <w:sz w:val="18"/>
        </w:rPr>
        <w:t xml:space="preserve">Fig. S1 </w:t>
      </w:r>
      <w:r>
        <w:rPr>
          <w:rFonts w:ascii="Times New Roman" w:hAnsi="Times New Roman" w:eastAsia="Times New Roman"/>
          <w:sz w:val="18"/>
        </w:rPr>
        <w:t>Comparison of IOL power prediction errors across different AL subgroups. The x-axis represents the AL (mm), and the y-axis represents the prediction error (D). Positive values indicate hyperopic shifts, and negative values indicate myopic shifts. Each dashed line represents the trend of a specific intraocular lens (IOL) calculation formula</w:t>
      </w:r>
    </w:p>
    <w:p w14:paraId="5155F790">
      <w:pPr>
        <w:keepNext/>
        <w:jc w:val="center"/>
      </w:pPr>
      <w:r>
        <w:drawing>
          <wp:inline distT="0" distB="0" distL="114300" distR="114300">
            <wp:extent cx="8099425" cy="4656455"/>
            <wp:effectExtent l="0" t="0" r="825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00000" cy="4656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491A9">
      <w:pPr>
        <w:pStyle w:val="167"/>
      </w:pPr>
      <w:r>
        <w:rPr>
          <w:rFonts w:ascii="Times New Roman" w:hAnsi="Times New Roman" w:eastAsia="Times New Roman"/>
          <w:b/>
          <w:sz w:val="18"/>
        </w:rPr>
        <w:t xml:space="preserve">Fig. S2 </w:t>
      </w:r>
      <w:r>
        <w:rPr>
          <w:rFonts w:ascii="Times New Roman" w:hAnsi="Times New Roman" w:eastAsia="Times New Roman"/>
          <w:sz w:val="18"/>
        </w:rPr>
        <w:t>Absolute prediction error across AL subgroups. Boxes indicate the median and interquartile range, and whiskers extend to 1.5 × IQR. Colored points indicate outliers, which were retained in the analysis. Differences among formulas were assessed using the Friedman test, followed by Bonferroni-adjusted Wilcoxon signed-rank post hoc tests when appropriate. *P &lt; 0.05, **P &lt; 0.01, ***P &lt; 0.001</w:t>
      </w:r>
    </w:p>
    <w:p w14:paraId="77126126">
      <w:pPr>
        <w:keepNext/>
        <w:jc w:val="center"/>
      </w:pPr>
      <w:r>
        <w:drawing>
          <wp:inline distT="0" distB="0" distL="114300" distR="114300">
            <wp:extent cx="8099425" cy="3576320"/>
            <wp:effectExtent l="0" t="0" r="825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00000" cy="3576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3F1CE">
      <w:pPr>
        <w:pStyle w:val="167"/>
      </w:pPr>
      <w:r>
        <w:rPr>
          <w:rFonts w:ascii="Times New Roman" w:hAnsi="Times New Roman" w:eastAsia="Times New Roman"/>
          <w:b/>
          <w:sz w:val="18"/>
        </w:rPr>
        <w:t xml:space="preserve">Fig. S3 </w:t>
      </w:r>
      <w:r>
        <w:rPr>
          <w:rFonts w:ascii="Times New Roman" w:hAnsi="Times New Roman" w:eastAsia="Times New Roman"/>
          <w:sz w:val="18"/>
        </w:rPr>
        <w:t>Absolute prediction error across Km subgroups. Boxes indicate the median and interquartile range, and whiskers extend to 1.5 × IQR. Colored points indicate outliers, which were retained in the analysis. Differences among formulas were assessed using the Friedman test, followed by Bonferroni-adjusted Wilcoxon signed-rank post hoc tests when appropriate. *P &lt; 0.05, **P &lt; 0.01, ***P &lt; 0.001</w:t>
      </w:r>
    </w:p>
    <w:sectPr>
      <w:footerReference r:id="rId5" w:type="default"/>
      <w:pgSz w:w="16838" w:h="11906" w:orient="landscape"/>
      <w:pgMar w:top="850" w:right="850" w:bottom="850" w:left="850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7E27B">
    <w:pPr>
      <w:pStyle w:val="24"/>
      <w:jc w:val="center"/>
    </w:pPr>
    <w:r>
      <w:rPr>
        <w:rFonts w:ascii="Times New Roman" w:hAnsi="Times New Roman" w:eastAsia="Times New Roman"/>
        <w:sz w:val="18"/>
      </w:rPr>
      <w:fldChar w:fldCharType="begin"/>
    </w:r>
    <w:r>
      <w:rPr>
        <w:rFonts w:ascii="Times New Roman" w:hAnsi="Times New Roman" w:eastAsia="Times New Roman"/>
        <w:sz w:val="18"/>
      </w:rPr>
      <w:instrText xml:space="preserve"> PAGE </w:instrText>
    </w:r>
    <w:r>
      <w:rPr>
        <w:rFonts w:ascii="Times New Roman" w:hAnsi="Times New Roman" w:eastAsia="Times New Roman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0996FFC"/>
    <w:rsid w:val="21AC631F"/>
    <w:rsid w:val="4C231829"/>
    <w:rsid w:val="6F8A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pacing w:after="60" w:line="276" w:lineRule="auto"/>
      <w:jc w:val="both"/>
    </w:pPr>
    <w:rPr>
      <w:rFonts w:ascii="Times New Roman" w:hAnsi="Times New Roman" w:eastAsia="Times New Roman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spacing w:after="40"/>
      <w:ind w:left="397" w:hanging="198"/>
      <w:contextualSpacing/>
    </w:pPr>
    <w:rPr>
      <w:rFonts w:ascii="Times New Roman" w:hAnsi="Times New Roman" w:eastAsia="Times New Roman"/>
      <w:sz w:val="20"/>
    </w:r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Manuscript Title"/>
    <w:basedOn w:val="1"/>
    <w:qFormat/>
    <w:uiPriority w:val="0"/>
    <w:pPr>
      <w:keepNext/>
      <w:spacing w:after="200"/>
      <w:jc w:val="center"/>
    </w:pPr>
    <w:rPr>
      <w:rFonts w:ascii="Times New Roman" w:hAnsi="Times New Roman"/>
      <w:b/>
      <w:sz w:val="32"/>
    </w:rPr>
  </w:style>
  <w:style w:type="paragraph" w:customStyle="1" w:styleId="165">
    <w:name w:val="Manuscript Heading 1"/>
    <w:basedOn w:val="1"/>
    <w:qFormat/>
    <w:uiPriority w:val="0"/>
    <w:pPr>
      <w:keepNext/>
      <w:spacing w:before="200" w:after="80"/>
      <w:jc w:val="left"/>
    </w:pPr>
    <w:rPr>
      <w:rFonts w:ascii="Times New Roman" w:hAnsi="Times New Roman"/>
      <w:b/>
      <w:sz w:val="24"/>
    </w:rPr>
  </w:style>
  <w:style w:type="paragraph" w:customStyle="1" w:styleId="166">
    <w:name w:val="Manuscript Heading 2"/>
    <w:basedOn w:val="1"/>
    <w:qFormat/>
    <w:uiPriority w:val="0"/>
    <w:pPr>
      <w:keepNext/>
      <w:spacing w:before="140" w:after="60"/>
      <w:jc w:val="left"/>
    </w:pPr>
    <w:rPr>
      <w:rFonts w:ascii="Times New Roman" w:hAnsi="Times New Roman"/>
      <w:b/>
      <w:sz w:val="20"/>
    </w:rPr>
  </w:style>
  <w:style w:type="paragraph" w:customStyle="1" w:styleId="167">
    <w:name w:val="Manuscript Caption"/>
    <w:basedOn w:val="1"/>
    <w:qFormat/>
    <w:uiPriority w:val="0"/>
    <w:pPr>
      <w:keepNext/>
      <w:spacing w:before="80" w:after="100"/>
      <w:jc w:val="left"/>
    </w:pPr>
    <w:rPr>
      <w:rFonts w:ascii="Times New Roman" w:hAnsi="Times New Roman"/>
      <w:sz w:val="18"/>
    </w:rPr>
  </w:style>
  <w:style w:type="paragraph" w:customStyle="1" w:styleId="168">
    <w:name w:val="Manuscript Reference"/>
    <w:basedOn w:val="1"/>
    <w:qFormat/>
    <w:uiPriority w:val="0"/>
    <w:pPr>
      <w:spacing w:after="40" w:line="240" w:lineRule="auto"/>
      <w:ind w:left="340" w:hanging="340"/>
      <w:jc w:val="left"/>
    </w:pPr>
    <w:rPr>
      <w:rFonts w:ascii="Times New Roman" w:hAnsi="Times New Roman"/>
      <w:sz w:val="18"/>
    </w:rPr>
  </w:style>
  <w:style w:type="paragraph" w:customStyle="1" w:styleId="169">
    <w:name w:val="Author Placeholder"/>
    <w:basedOn w:val="1"/>
    <w:qFormat/>
    <w:uiPriority w:val="0"/>
    <w:pPr>
      <w:spacing w:after="60"/>
      <w:jc w:val="left"/>
    </w:pPr>
    <w:rPr>
      <w:rFonts w:ascii="Times New Roman" w:hAnsi="Times New Roman"/>
      <w:sz w:val="20"/>
    </w:rPr>
  </w:style>
  <w:style w:type="paragraph" w:customStyle="1" w:styleId="170">
    <w:name w:val="Key Message"/>
    <w:basedOn w:val="1"/>
    <w:qFormat/>
    <w:uiPriority w:val="0"/>
    <w:pPr>
      <w:spacing w:after="40"/>
      <w:ind w:left="397" w:hanging="198"/>
    </w:pPr>
    <w:rPr>
      <w:rFonts w:ascii="Times New Roman" w:hAnsi="Times New Rom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1595</Words>
  <Characters>7740</Characters>
  <Lines>0</Lines>
  <Paragraphs>0</Paragraphs>
  <TotalTime>24</TotalTime>
  <ScaleCrop>false</ScaleCrop>
  <LinksUpToDate>false</LinksUpToDate>
  <CharactersWithSpaces>8913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潘婷婷</cp:lastModifiedBy>
  <dcterms:modified xsi:type="dcterms:W3CDTF">2026-06-11T04:28:28Z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eyJoZGlkIjoiMzEwNTM5NzYwMDRjMzkwZTVkZjY2ODkwMGIxNGU0OTUiLCJ1c2VySWQiOiIxNzcxNzU1OTY2In0=</vt:lpwstr>
  </property>
  <property fmtid="{D5CDD505-2E9C-101B-9397-08002B2CF9AE}" pid="3" name="KSOProductBuildVer">
    <vt:lpwstr>2052-12.1.0.26895</vt:lpwstr>
  </property>
  <property fmtid="{D5CDD505-2E9C-101B-9397-08002B2CF9AE}" pid="4" name="ICV">
    <vt:lpwstr>74B7C4031BC342E785AB7D241CFEAD59_13</vt:lpwstr>
  </property>
</Properties>
</file>