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463" w:rsidRPr="00000463" w:rsidRDefault="00000463" w:rsidP="00000463">
      <w:pPr>
        <w:jc w:val="center"/>
        <w:rPr>
          <w:rFonts w:ascii="Times New Roman" w:hAnsi="Times New Roman" w:cs="Times New Roman"/>
          <w:b/>
          <w:bCs/>
        </w:rPr>
      </w:pPr>
      <w:r w:rsidRPr="00000463">
        <w:rPr>
          <w:rFonts w:ascii="Times New Roman" w:hAnsi="Times New Roman" w:cs="Times New Roman"/>
          <w:b/>
          <w:bCs/>
        </w:rPr>
        <w:t>Supplementary Material</w:t>
      </w:r>
    </w:p>
    <w:p w:rsidR="00000463" w:rsidRPr="00000463" w:rsidRDefault="00000463" w:rsidP="00000463">
      <w:pPr>
        <w:rPr>
          <w:rFonts w:ascii="Times New Roman" w:hAnsi="Times New Roman" w:cs="Times New Roman"/>
        </w:rPr>
      </w:pPr>
      <w:r w:rsidRPr="00000463">
        <w:rPr>
          <w:rFonts w:ascii="Times New Roman" w:hAnsi="Times New Roman" w:cs="Times New Roman"/>
        </w:rPr>
        <w:t>Heterogeneity in quality of life among patients receiving first postoperative chemotherapy for gastric cancer: A latent profile analysis of psychosocial and symptom pathways</w:t>
      </w:r>
    </w:p>
    <w:p w:rsidR="00000463" w:rsidRPr="00000463" w:rsidRDefault="00000463" w:rsidP="00000463">
      <w:pPr>
        <w:rPr>
          <w:rFonts w:ascii="Times New Roman" w:hAnsi="Times New Roman" w:cs="Times New Roman"/>
        </w:rPr>
      </w:pPr>
    </w:p>
    <w:p w:rsidR="00000463" w:rsidRPr="00000463" w:rsidRDefault="00000463" w:rsidP="00000463">
      <w:pPr>
        <w:rPr>
          <w:rFonts w:ascii="Times New Roman" w:hAnsi="Times New Roman" w:cs="Times New Roman"/>
          <w:b/>
          <w:bCs/>
        </w:rPr>
      </w:pPr>
      <w:r w:rsidRPr="00000463">
        <w:rPr>
          <w:rFonts w:ascii="Times New Roman" w:hAnsi="Times New Roman" w:cs="Times New Roman"/>
          <w:b/>
          <w:bCs/>
        </w:rPr>
        <w:t>Supplementary Methods S1. Detailed rationale for latent profile model selection</w:t>
      </w:r>
    </w:p>
    <w:p w:rsidR="00000463" w:rsidRPr="00000463" w:rsidRDefault="00000463" w:rsidP="00000463">
      <w:pPr>
        <w:rPr>
          <w:rFonts w:ascii="Times New Roman" w:hAnsi="Times New Roman" w:cs="Times New Roman"/>
        </w:rPr>
      </w:pPr>
      <w:r w:rsidRPr="00000463">
        <w:rPr>
          <w:rFonts w:ascii="Times New Roman" w:hAnsi="Times New Roman" w:cs="Times New Roman"/>
        </w:rPr>
        <w:t xml:space="preserve">The five QLICP-ST domain scores (physical function, psychological function, social function, symptom/side-effect domain, and disease-specific domain) were used as profile indicators. Exploratory latent profile analysis was conducted using the equal-variance, locally independent model (EEI) implemented in the </w:t>
      </w:r>
      <w:proofErr w:type="spellStart"/>
      <w:r w:rsidRPr="00000463">
        <w:rPr>
          <w:rFonts w:ascii="Times New Roman" w:hAnsi="Times New Roman" w:cs="Times New Roman"/>
        </w:rPr>
        <w:t>mclust</w:t>
      </w:r>
      <w:proofErr w:type="spellEnd"/>
      <w:r w:rsidRPr="00000463">
        <w:rPr>
          <w:rFonts w:ascii="Times New Roman" w:hAnsi="Times New Roman" w:cs="Times New Roman"/>
        </w:rPr>
        <w:t xml:space="preserve"> package. One- to five-class solutions were fitted. Model selection was based on the following criteria:</w:t>
      </w:r>
    </w:p>
    <w:p w:rsidR="00000463" w:rsidRPr="00000463" w:rsidRDefault="00F521DB" w:rsidP="00000463">
      <w:pPr>
        <w:rPr>
          <w:rFonts w:ascii="Times New Roman" w:hAnsi="Times New Roman" w:cs="Times New Roman"/>
        </w:rPr>
      </w:pPr>
      <w:r w:rsidRPr="00F521DB">
        <w:rPr>
          <w:rFonts w:ascii="Times New Roman" w:hAnsi="Times New Roman" w:cs="Times New Roman"/>
        </w:rPr>
        <w:t>(1) Information criteria. The adjusted Bayesian information criterion (</w:t>
      </w:r>
      <w:proofErr w:type="spellStart"/>
      <w:r w:rsidRPr="00F521DB">
        <w:rPr>
          <w:rFonts w:ascii="Times New Roman" w:hAnsi="Times New Roman" w:cs="Times New Roman"/>
        </w:rPr>
        <w:t>aBIC</w:t>
      </w:r>
      <w:proofErr w:type="spellEnd"/>
      <w:r w:rsidRPr="00F521DB">
        <w:rPr>
          <w:rFonts w:ascii="Times New Roman" w:hAnsi="Times New Roman" w:cs="Times New Roman"/>
        </w:rPr>
        <w:t xml:space="preserve">) decreased as the number of classes increased, with a visible elbow at the 3-class solution in the scree plot. Although AIC, BIC, and </w:t>
      </w:r>
      <w:proofErr w:type="spellStart"/>
      <w:r w:rsidRPr="00F521DB">
        <w:rPr>
          <w:rFonts w:ascii="Times New Roman" w:hAnsi="Times New Roman" w:cs="Times New Roman"/>
        </w:rPr>
        <w:t>aBIC</w:t>
      </w:r>
      <w:proofErr w:type="spellEnd"/>
      <w:r w:rsidRPr="00F521DB">
        <w:rPr>
          <w:rFonts w:ascii="Times New Roman" w:hAnsi="Times New Roman" w:cs="Times New Roman"/>
        </w:rPr>
        <w:t xml:space="preserve"> continued to decrease in the 4- and 5-class solutions, the magnitude of improvement beyond three classes was limited, and these solutions yielded very small subgroups. Therefore, information criteria were interpreted together with classification precision, subgroup proportions, and clinical interpretability rather than in isolation</w:t>
      </w:r>
      <w:r w:rsidR="00000463" w:rsidRPr="00000463">
        <w:rPr>
          <w:rFonts w:ascii="Times New Roman" w:hAnsi="Times New Roman" w:cs="Times New Roman"/>
        </w:rPr>
        <w:t xml:space="preserve"> (Supplementary Figure S2).</w:t>
      </w:r>
    </w:p>
    <w:p w:rsidR="00000463" w:rsidRPr="00000463" w:rsidRDefault="00000463" w:rsidP="00000463">
      <w:pPr>
        <w:rPr>
          <w:rFonts w:ascii="Times New Roman" w:hAnsi="Times New Roman" w:cs="Times New Roman"/>
        </w:rPr>
      </w:pPr>
      <w:r w:rsidRPr="00000463">
        <w:rPr>
          <w:rFonts w:ascii="Times New Roman" w:hAnsi="Times New Roman" w:cs="Times New Roman"/>
        </w:rPr>
        <w:t>(2) Statistical tests. From the 2-class to the 5-class models, both the bootstrap likelihood ratio test (BLRT) and the Lo–</w:t>
      </w:r>
      <w:proofErr w:type="spellStart"/>
      <w:r w:rsidRPr="00000463">
        <w:rPr>
          <w:rFonts w:ascii="Times New Roman" w:hAnsi="Times New Roman" w:cs="Times New Roman"/>
        </w:rPr>
        <w:t>Mendell</w:t>
      </w:r>
      <w:proofErr w:type="spellEnd"/>
      <w:r w:rsidRPr="00000463">
        <w:rPr>
          <w:rFonts w:ascii="Times New Roman" w:hAnsi="Times New Roman" w:cs="Times New Roman"/>
        </w:rPr>
        <w:t>–Rubin likelihood ratio test (LRT) were statistically significant (all p &lt; 0.001).</w:t>
      </w:r>
      <w:r w:rsidR="00F25820" w:rsidRPr="00F25820">
        <w:t xml:space="preserve"> </w:t>
      </w:r>
      <w:r w:rsidR="00F25820" w:rsidRPr="00F25820">
        <w:rPr>
          <w:rFonts w:ascii="Times New Roman" w:hAnsi="Times New Roman" w:cs="Times New Roman"/>
        </w:rPr>
        <w:t>However, since both tests remained significant through 5-class solutions, class enumeration decisions were additionally informed by classification quality, subgroup proportions, and interpretability criteria described below</w:t>
      </w:r>
    </w:p>
    <w:p w:rsidR="00000463" w:rsidRPr="00000463" w:rsidRDefault="00000463" w:rsidP="00000463">
      <w:pPr>
        <w:rPr>
          <w:rFonts w:ascii="Times New Roman" w:hAnsi="Times New Roman" w:cs="Times New Roman"/>
        </w:rPr>
      </w:pPr>
      <w:r w:rsidRPr="00000463">
        <w:rPr>
          <w:rFonts w:ascii="Times New Roman" w:hAnsi="Times New Roman" w:cs="Times New Roman"/>
        </w:rPr>
        <w:t xml:space="preserve">(3) Classification precision. Entropy was 0.762 for the 2-class solution and 0.766 for the 3-class solution. Although the 4-class solution showed a slightly higher entropy (0.795), one class accounted for only 1.1% of the sample, indicating limited statistical stability and clinical relevance. </w:t>
      </w:r>
      <w:r w:rsidR="00F521DB" w:rsidRPr="00F521DB">
        <w:rPr>
          <w:rFonts w:ascii="Times New Roman" w:hAnsi="Times New Roman" w:cs="Times New Roman"/>
        </w:rPr>
        <w:t>Classification diagnostics supported acceptable assignment quality for the 3-class solution</w:t>
      </w:r>
      <w:r w:rsidRPr="00000463">
        <w:rPr>
          <w:rFonts w:ascii="Times New Roman" w:hAnsi="Times New Roman" w:cs="Times New Roman"/>
        </w:rPr>
        <w:t>, indicating good classification accuracy.</w:t>
      </w:r>
    </w:p>
    <w:p w:rsidR="00000463" w:rsidRPr="00000463" w:rsidRDefault="00000463" w:rsidP="00000463">
      <w:pPr>
        <w:rPr>
          <w:rFonts w:ascii="Times New Roman" w:hAnsi="Times New Roman" w:cs="Times New Roman"/>
        </w:rPr>
      </w:pPr>
      <w:r w:rsidRPr="00000463">
        <w:rPr>
          <w:rFonts w:ascii="Times New Roman" w:hAnsi="Times New Roman" w:cs="Times New Roman"/>
        </w:rPr>
        <w:t>(4) Interpretability and clinical relevance. The 3-class solution yielded three clearly distinguishable and clinically meaningful subgroups. Class proportions were 17.7%, 22.1%, and 60.3%, respectively, all of which were sufficiently large for interpretation. In contrast, the 4-class and 5-class solutions each contained a very small subgroup (1.1% and 0.9%, respectively), limiting their practical interpretability.</w:t>
      </w:r>
    </w:p>
    <w:p w:rsidR="00000463" w:rsidRPr="00000463" w:rsidRDefault="00000463" w:rsidP="00000463">
      <w:pPr>
        <w:rPr>
          <w:rFonts w:ascii="Times New Roman" w:hAnsi="Times New Roman" w:cs="Times New Roman"/>
        </w:rPr>
      </w:pPr>
      <w:r w:rsidRPr="00000463">
        <w:rPr>
          <w:rFonts w:ascii="Times New Roman" w:hAnsi="Times New Roman" w:cs="Times New Roman"/>
        </w:rPr>
        <w:t>(5) Model stability. A parametric bootstrap procedure based on 999 resamples was used to evaluate the stability of the 3-class solution, and the results supported the robustness of the parameter estimates.</w:t>
      </w:r>
    </w:p>
    <w:p w:rsidR="00000463" w:rsidRPr="00000463" w:rsidRDefault="00000463" w:rsidP="00000463">
      <w:pPr>
        <w:rPr>
          <w:rFonts w:ascii="Times New Roman" w:hAnsi="Times New Roman" w:cs="Times New Roman"/>
        </w:rPr>
      </w:pPr>
      <w:r w:rsidRPr="00000463">
        <w:rPr>
          <w:rFonts w:ascii="Times New Roman" w:hAnsi="Times New Roman" w:cs="Times New Roman"/>
        </w:rPr>
        <w:t>Taken together, the 3-class solution under the EEI covariance structure was retained as the final latent profile model.</w:t>
      </w:r>
    </w:p>
    <w:p w:rsidR="00000463" w:rsidRPr="00000463" w:rsidRDefault="00000463" w:rsidP="00000463">
      <w:pPr>
        <w:rPr>
          <w:rFonts w:ascii="Times New Roman" w:hAnsi="Times New Roman" w:cs="Times New Roman"/>
        </w:rPr>
      </w:pPr>
    </w:p>
    <w:p w:rsidR="00000463" w:rsidRPr="00000463" w:rsidRDefault="00000463" w:rsidP="00000463">
      <w:pPr>
        <w:rPr>
          <w:rFonts w:ascii="Times New Roman" w:hAnsi="Times New Roman" w:cs="Times New Roman"/>
          <w:b/>
          <w:bCs/>
        </w:rPr>
      </w:pPr>
      <w:r w:rsidRPr="00000463">
        <w:rPr>
          <w:rFonts w:ascii="Times New Roman" w:hAnsi="Times New Roman" w:cs="Times New Roman"/>
          <w:b/>
          <w:bCs/>
        </w:rPr>
        <w:t>Supplementary Methods S2. Relative importance analysis</w:t>
      </w:r>
    </w:p>
    <w:p w:rsidR="00000463" w:rsidRPr="00000463" w:rsidRDefault="00000463" w:rsidP="00000463">
      <w:pPr>
        <w:rPr>
          <w:rFonts w:ascii="Times New Roman" w:hAnsi="Times New Roman" w:cs="Times New Roman"/>
        </w:rPr>
      </w:pPr>
      <w:r w:rsidRPr="00000463">
        <w:rPr>
          <w:rFonts w:ascii="Times New Roman" w:hAnsi="Times New Roman" w:cs="Times New Roman"/>
        </w:rPr>
        <w:t>To estimate the relative explanatory contribution of the core predictors to overall quality of life (QoL), a relative importance analysis was performed based on a multiple linear regression model. The QoL total score was entered as the dependent variable, and social support (SSRS), resilience (CD-RISC), self-efficacy (GSES), fear of progression (</w:t>
      </w:r>
      <w:proofErr w:type="spellStart"/>
      <w:r w:rsidRPr="00000463">
        <w:rPr>
          <w:rFonts w:ascii="Times New Roman" w:hAnsi="Times New Roman" w:cs="Times New Roman"/>
        </w:rPr>
        <w:t>FoP</w:t>
      </w:r>
      <w:proofErr w:type="spellEnd"/>
      <w:r w:rsidRPr="00000463">
        <w:rPr>
          <w:rFonts w:ascii="Times New Roman" w:hAnsi="Times New Roman" w:cs="Times New Roman"/>
        </w:rPr>
        <w:t>), and chemotherapy-related symptom burden (</w:t>
      </w:r>
      <w:r w:rsidR="000C0323">
        <w:rPr>
          <w:rFonts w:ascii="Times New Roman" w:hAnsi="Times New Roman" w:cs="Times New Roman"/>
        </w:rPr>
        <w:t>MDASI-GI</w:t>
      </w:r>
      <w:r w:rsidRPr="00000463">
        <w:rPr>
          <w:rFonts w:ascii="Times New Roman" w:hAnsi="Times New Roman" w:cs="Times New Roman"/>
        </w:rPr>
        <w:t xml:space="preserve">) were entered as predictors. Relative importance was estimated using the Lindeman–Merenda–Gold (LMG) method, which decomposes the model R² by averaging each </w:t>
      </w:r>
      <w:r w:rsidRPr="00000463">
        <w:rPr>
          <w:rFonts w:ascii="Times New Roman" w:hAnsi="Times New Roman" w:cs="Times New Roman"/>
        </w:rPr>
        <w:lastRenderedPageBreak/>
        <w:t xml:space="preserve">predictor's incremental contribution across all possible orderings of entry. Results were expressed as percentages and visualized using a lollipop plot. All analyses were conducted in R using the </w:t>
      </w:r>
      <w:proofErr w:type="spellStart"/>
      <w:r w:rsidRPr="00000463">
        <w:rPr>
          <w:rFonts w:ascii="Times New Roman" w:hAnsi="Times New Roman" w:cs="Times New Roman"/>
        </w:rPr>
        <w:t>relaimpo</w:t>
      </w:r>
      <w:proofErr w:type="spellEnd"/>
      <w:r w:rsidRPr="00000463">
        <w:rPr>
          <w:rFonts w:ascii="Times New Roman" w:hAnsi="Times New Roman" w:cs="Times New Roman"/>
        </w:rPr>
        <w:t xml:space="preserve">, ggplot2, and </w:t>
      </w:r>
      <w:proofErr w:type="spellStart"/>
      <w:r w:rsidRPr="00000463">
        <w:rPr>
          <w:rFonts w:ascii="Times New Roman" w:hAnsi="Times New Roman" w:cs="Times New Roman"/>
        </w:rPr>
        <w:t>dplyr</w:t>
      </w:r>
      <w:proofErr w:type="spellEnd"/>
      <w:r w:rsidRPr="00000463">
        <w:rPr>
          <w:rFonts w:ascii="Times New Roman" w:hAnsi="Times New Roman" w:cs="Times New Roman"/>
        </w:rPr>
        <w:t xml:space="preserve"> packages.</w:t>
      </w:r>
    </w:p>
    <w:p w:rsidR="00000463" w:rsidRPr="00000463" w:rsidRDefault="00000463" w:rsidP="00000463">
      <w:pPr>
        <w:rPr>
          <w:rFonts w:ascii="Times New Roman" w:hAnsi="Times New Roman" w:cs="Times New Roman"/>
        </w:rPr>
      </w:pPr>
    </w:p>
    <w:p w:rsidR="00000463" w:rsidRPr="00000463" w:rsidRDefault="00000463" w:rsidP="00000463">
      <w:pPr>
        <w:rPr>
          <w:rFonts w:ascii="Times New Roman" w:hAnsi="Times New Roman" w:cs="Times New Roman"/>
        </w:rPr>
      </w:pPr>
      <w:r w:rsidRPr="00000463">
        <w:rPr>
          <w:rFonts w:ascii="Times New Roman" w:hAnsi="Times New Roman" w:cs="Times New Roman"/>
          <w:b/>
          <w:bCs/>
        </w:rPr>
        <w:t>Supplementary Table S1.</w:t>
      </w:r>
      <w:r w:rsidRPr="00000463">
        <w:rPr>
          <w:rFonts w:ascii="Times New Roman" w:hAnsi="Times New Roman" w:cs="Times New Roman"/>
        </w:rPr>
        <w:t xml:space="preserve"> Demographic, clinical, laboratory, and psychosocial characteristics by latent profile</w:t>
      </w:r>
    </w:p>
    <w:p w:rsidR="00000463" w:rsidRDefault="00000463" w:rsidP="00000463">
      <w:pPr>
        <w:rPr>
          <w:rFonts w:ascii="Times New Roman" w:hAnsi="Times New Roman" w:cs="Times New Roman"/>
        </w:rPr>
      </w:pPr>
    </w:p>
    <w:tbl>
      <w:tblPr>
        <w:tblW w:w="10065" w:type="dxa"/>
        <w:jc w:val="center"/>
        <w:tblLayout w:type="fixed"/>
        <w:tblLook w:val="04A0" w:firstRow="1" w:lastRow="0" w:firstColumn="1" w:lastColumn="0" w:noHBand="0" w:noVBand="1"/>
      </w:tblPr>
      <w:tblGrid>
        <w:gridCol w:w="2977"/>
        <w:gridCol w:w="1318"/>
        <w:gridCol w:w="1265"/>
        <w:gridCol w:w="1265"/>
        <w:gridCol w:w="1265"/>
        <w:gridCol w:w="1124"/>
        <w:gridCol w:w="851"/>
      </w:tblGrid>
      <w:tr w:rsidR="00000463" w:rsidRPr="00000463" w:rsidTr="00000463">
        <w:trPr>
          <w:trHeight w:val="560"/>
          <w:jc w:val="center"/>
        </w:trPr>
        <w:tc>
          <w:tcPr>
            <w:tcW w:w="2977" w:type="dxa"/>
            <w:tcBorders>
              <w:top w:val="single" w:sz="4" w:space="0" w:color="auto"/>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Variables</w:t>
            </w:r>
          </w:p>
        </w:tc>
        <w:tc>
          <w:tcPr>
            <w:tcW w:w="1318" w:type="dxa"/>
            <w:tcBorders>
              <w:top w:val="single" w:sz="4" w:space="0" w:color="auto"/>
              <w:left w:val="nil"/>
              <w:bottom w:val="single" w:sz="4" w:space="0" w:color="auto"/>
              <w:right w:val="nil"/>
            </w:tcBorders>
            <w:shd w:val="clear" w:color="auto" w:fill="auto"/>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 xml:space="preserve">Total </w:t>
            </w:r>
            <w:r w:rsidRPr="00000463">
              <w:rPr>
                <w:rFonts w:ascii="Times New Roman" w:hAnsi="Times New Roman" w:cs="Times New Roman"/>
                <w:color w:val="000000"/>
                <w:sz w:val="18"/>
                <w:szCs w:val="18"/>
                <w:lang w:bidi="ar"/>
              </w:rPr>
              <w:br/>
              <w:t>(n=453)</w:t>
            </w:r>
          </w:p>
        </w:tc>
        <w:tc>
          <w:tcPr>
            <w:tcW w:w="1265" w:type="dxa"/>
            <w:tcBorders>
              <w:top w:val="single" w:sz="4" w:space="0" w:color="auto"/>
              <w:left w:val="nil"/>
              <w:bottom w:val="single" w:sz="4" w:space="0" w:color="auto"/>
              <w:right w:val="nil"/>
            </w:tcBorders>
            <w:shd w:val="clear" w:color="auto" w:fill="auto"/>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 xml:space="preserve">C1 </w:t>
            </w:r>
            <w:r w:rsidRPr="00000463">
              <w:rPr>
                <w:rFonts w:ascii="Times New Roman" w:hAnsi="Times New Roman" w:cs="Times New Roman"/>
                <w:color w:val="000000"/>
                <w:sz w:val="18"/>
                <w:szCs w:val="18"/>
                <w:lang w:bidi="ar"/>
              </w:rPr>
              <w:br/>
              <w:t>(n=80)</w:t>
            </w:r>
          </w:p>
        </w:tc>
        <w:tc>
          <w:tcPr>
            <w:tcW w:w="1265" w:type="dxa"/>
            <w:tcBorders>
              <w:top w:val="single" w:sz="4" w:space="0" w:color="auto"/>
              <w:left w:val="nil"/>
              <w:bottom w:val="single" w:sz="4" w:space="0" w:color="auto"/>
              <w:right w:val="nil"/>
            </w:tcBorders>
            <w:shd w:val="clear" w:color="auto" w:fill="auto"/>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 xml:space="preserve">C2 </w:t>
            </w:r>
            <w:r w:rsidRPr="00000463">
              <w:rPr>
                <w:rFonts w:ascii="Times New Roman" w:hAnsi="Times New Roman" w:cs="Times New Roman"/>
                <w:color w:val="000000"/>
                <w:sz w:val="18"/>
                <w:szCs w:val="18"/>
                <w:lang w:bidi="ar"/>
              </w:rPr>
              <w:br/>
              <w:t>(n=100)</w:t>
            </w:r>
          </w:p>
        </w:tc>
        <w:tc>
          <w:tcPr>
            <w:tcW w:w="1265" w:type="dxa"/>
            <w:tcBorders>
              <w:top w:val="single" w:sz="4" w:space="0" w:color="auto"/>
              <w:left w:val="nil"/>
              <w:bottom w:val="single" w:sz="4" w:space="0" w:color="auto"/>
              <w:right w:val="nil"/>
            </w:tcBorders>
            <w:shd w:val="clear" w:color="auto" w:fill="auto"/>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 xml:space="preserve">C3 </w:t>
            </w:r>
            <w:r w:rsidRPr="00000463">
              <w:rPr>
                <w:rFonts w:ascii="Times New Roman" w:hAnsi="Times New Roman" w:cs="Times New Roman"/>
                <w:color w:val="000000"/>
                <w:sz w:val="18"/>
                <w:szCs w:val="18"/>
                <w:lang w:bidi="ar"/>
              </w:rPr>
              <w:br/>
              <w:t>(n=273)</w:t>
            </w:r>
          </w:p>
        </w:tc>
        <w:tc>
          <w:tcPr>
            <w:tcW w:w="1124" w:type="dxa"/>
            <w:tcBorders>
              <w:top w:val="single" w:sz="4" w:space="0" w:color="auto"/>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Statistic</w:t>
            </w:r>
          </w:p>
        </w:tc>
        <w:tc>
          <w:tcPr>
            <w:tcW w:w="851" w:type="dxa"/>
            <w:tcBorders>
              <w:top w:val="single" w:sz="4" w:space="0" w:color="auto"/>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P</w:t>
            </w:r>
          </w:p>
        </w:tc>
      </w:tr>
      <w:tr w:rsidR="00000463" w:rsidRPr="00000463" w:rsidTr="00000463">
        <w:trPr>
          <w:trHeight w:val="280"/>
          <w:jc w:val="center"/>
        </w:trPr>
        <w:tc>
          <w:tcPr>
            <w:tcW w:w="2977" w:type="dxa"/>
            <w:tcBorders>
              <w:top w:val="single" w:sz="4" w:space="0" w:color="auto"/>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Gender [n(%)]</w:t>
            </w:r>
          </w:p>
        </w:tc>
        <w:tc>
          <w:tcPr>
            <w:tcW w:w="1318" w:type="dxa"/>
            <w:tcBorders>
              <w:top w:val="single" w:sz="4" w:space="0" w:color="auto"/>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single" w:sz="4" w:space="0" w:color="auto"/>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single" w:sz="4" w:space="0" w:color="auto"/>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single" w:sz="4" w:space="0" w:color="auto"/>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single" w:sz="4" w:space="0" w:color="auto"/>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=2.789</w:t>
            </w:r>
          </w:p>
        </w:tc>
        <w:tc>
          <w:tcPr>
            <w:tcW w:w="851" w:type="dxa"/>
            <w:tcBorders>
              <w:top w:val="single" w:sz="4" w:space="0" w:color="auto"/>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0.248</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Male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314(69.3)</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50(62.5)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74(74.0)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190(69.6)</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Female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139(30.7)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30(37.5)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26(26.0)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83(30.4)</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Place of residence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=0.298</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0.861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Countryside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164(36.2)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31(38.8)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35(35.0)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98(35.9)</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City</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289(63.8)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49(61.2)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65(65.0)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175(64.1)</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Educational background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=3.389</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0.759</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Primary or below</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152(33.6)</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30(37.5)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34(34.0)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88(32.2)</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Junior high</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146(32.2)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26(32.5)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33(33.0)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87(31.9)</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High school</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109(24.1)</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15(18.8)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21(21.0)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73(26.7)</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College or above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46(10.2)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9(11.2)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12(12.0)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25(9.2)</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Marital status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roofErr w:type="spellStart"/>
            <w:r w:rsidRPr="00000463">
              <w:rPr>
                <w:rFonts w:ascii="Times New Roman" w:hAnsi="Times New Roman" w:cs="Times New Roman"/>
                <w:color w:val="000000"/>
                <w:sz w:val="18"/>
                <w:szCs w:val="18"/>
                <w:lang w:bidi="ar"/>
              </w:rPr>
              <w:t>Fisher</w:t>
            </w:r>
            <w:r w:rsidRPr="001459DB">
              <w:rPr>
                <w:rFonts w:ascii="Times New Roman" w:hAnsi="Times New Roman" w:cs="Times New Roman"/>
                <w:color w:val="000000"/>
                <w:sz w:val="18"/>
                <w:szCs w:val="18"/>
                <w:vertAlign w:val="superscript"/>
                <w:lang w:bidi="ar"/>
              </w:rPr>
              <w:t>a</w:t>
            </w:r>
            <w:proofErr w:type="spellEnd"/>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0.583</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Unmarried</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4(0.9)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1(0.4)</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Married</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439(96.9)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77(96.2)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97(97.0)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265(97.1)</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Divorced</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3(0.7)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3(1.1)</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Widowed</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6(1.3)</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2(2.0)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3(1.1)</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Remarried</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1(0.4)</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Monthly household income per capita (RMB)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=6.731</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0.566</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&lt;2000</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44(9.7)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8(10.0)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10(10.0)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26(9.5)</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2000-3999</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116(25.6)</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20(25.0)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24(24.0)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72(26.4)</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4000-5999</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206(45.5)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41(51.2)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43(43.0)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122(44.7)</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6000-7999</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54(11.9)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9(11.2)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11(11.0)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34(12.5)</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&gt;=8000</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33(7.3)</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12(12.0)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19(7.0)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Medical payment method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roofErr w:type="spellStart"/>
            <w:r w:rsidRPr="00000463">
              <w:rPr>
                <w:rFonts w:ascii="Times New Roman" w:hAnsi="Times New Roman" w:cs="Times New Roman"/>
                <w:color w:val="000000"/>
                <w:sz w:val="18"/>
                <w:szCs w:val="18"/>
                <w:lang w:bidi="ar"/>
              </w:rPr>
              <w:t>Fisher</w:t>
            </w:r>
            <w:r w:rsidRPr="001459DB">
              <w:rPr>
                <w:rFonts w:ascii="Times New Roman" w:hAnsi="Times New Roman" w:cs="Times New Roman"/>
                <w:color w:val="000000"/>
                <w:sz w:val="18"/>
                <w:szCs w:val="18"/>
                <w:vertAlign w:val="superscript"/>
                <w:lang w:bidi="ar"/>
              </w:rPr>
              <w:t>a</w:t>
            </w:r>
            <w:proofErr w:type="spellEnd"/>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0.595</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Medical insurance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411(90.7)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72(90.0)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92(92.0)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247(90.5)</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Public expense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Self-pay</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16(3.5)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3(3.8)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8(2.9)</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Rural cooperative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26(5.7)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5(6.2)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3(3.0)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18(6.6)</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Others</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Smoking history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=0.992</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0.609</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No</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344(75.9)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62(77.5)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79(79.0)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203(74.4)</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Yes</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109(24.1)</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18(22.5)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21(21.0)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70(25.6)</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Alcohol history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=2.056</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0.358</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No</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353(77.9)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67(83.8)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78(78.0)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208(76.2)</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Yes</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100(22.1)</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13(16.2)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22(22.0)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65(23.8)</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Tumor location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roofErr w:type="spellStart"/>
            <w:r w:rsidRPr="00000463">
              <w:rPr>
                <w:rFonts w:ascii="Times New Roman" w:hAnsi="Times New Roman" w:cs="Times New Roman"/>
                <w:color w:val="000000"/>
                <w:sz w:val="18"/>
                <w:szCs w:val="18"/>
                <w:lang w:bidi="ar"/>
              </w:rPr>
              <w:t>Fisher</w:t>
            </w:r>
            <w:r w:rsidRPr="001459DB">
              <w:rPr>
                <w:rFonts w:ascii="Times New Roman" w:hAnsi="Times New Roman" w:cs="Times New Roman"/>
                <w:color w:val="000000"/>
                <w:sz w:val="18"/>
                <w:szCs w:val="18"/>
                <w:vertAlign w:val="superscript"/>
                <w:lang w:bidi="ar"/>
              </w:rPr>
              <w:t>a</w:t>
            </w:r>
            <w:proofErr w:type="spellEnd"/>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0.209</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Proximal</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252(55.6)</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53(66.2)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55(55.0)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144(52.7)</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Distal</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183(40.4)</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25(31.2)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39(39.0)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119(43.6)</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C854F7" w:rsidP="00BC7B3E">
            <w:pPr>
              <w:widowControl/>
              <w:snapToGrid w:val="0"/>
              <w:jc w:val="left"/>
              <w:textAlignment w:val="bottom"/>
              <w:rPr>
                <w:rFonts w:ascii="Times New Roman" w:hAnsi="Times New Roman" w:cs="Times New Roman"/>
                <w:color w:val="000000"/>
                <w:sz w:val="18"/>
                <w:szCs w:val="18"/>
                <w:lang w:bidi="ar"/>
              </w:rPr>
            </w:pPr>
            <w:r w:rsidRPr="00C854F7">
              <w:rPr>
                <w:rFonts w:ascii="Times New Roman" w:hAnsi="Times New Roman" w:cs="Times New Roman"/>
                <w:color w:val="000000"/>
                <w:sz w:val="18"/>
                <w:szCs w:val="18"/>
                <w:lang w:bidi="ar"/>
              </w:rPr>
              <w:t>Whole stomach</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18(4.0)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10(3.7)</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lastRenderedPageBreak/>
              <w:t>Histological grade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=4.747</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0.314</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Well</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38(8.4)</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13(13.0)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21(7.7)</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Moderate</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54(11.9)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8(10.0)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11(11.0)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35(12.8)</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Poor/undifferentiated</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361(79.7)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68(85.0)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76(76.0)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217(79.5)</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Surgery type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roofErr w:type="spellStart"/>
            <w:r w:rsidRPr="00000463">
              <w:rPr>
                <w:rFonts w:ascii="Times New Roman" w:hAnsi="Times New Roman" w:cs="Times New Roman"/>
                <w:color w:val="000000"/>
                <w:sz w:val="18"/>
                <w:szCs w:val="18"/>
                <w:lang w:bidi="ar"/>
              </w:rPr>
              <w:t>Fisher</w:t>
            </w:r>
            <w:r w:rsidRPr="001459DB">
              <w:rPr>
                <w:rFonts w:ascii="Times New Roman" w:hAnsi="Times New Roman" w:cs="Times New Roman"/>
                <w:color w:val="000000"/>
                <w:sz w:val="18"/>
                <w:szCs w:val="18"/>
                <w:vertAlign w:val="superscript"/>
                <w:lang w:bidi="ar"/>
              </w:rPr>
              <w:t>a</w:t>
            </w:r>
            <w:proofErr w:type="spellEnd"/>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0.897</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Laparoscopic</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202(44.6)</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37(46.2)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46(46.0)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119(43.6)</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Open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238(52.5)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41(51.2)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50(50.0)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147(53.8)</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Robotic</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13(2.9)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2(2.5)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4(4.0)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7(2.6)</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Chemotherapy regimen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=5.945</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0.203</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XELOX</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116(25.6)</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23(28.8)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21(21.0)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72(26.4)</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SOX</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69(15.2)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8(10.0)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22(22.0)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39(14.3)</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Others</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268(59.2)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49(61.2)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57(57.0)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162(59.3)</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Comorbidities [n(%)]</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1124" w:type="dxa"/>
            <w:tcBorders>
              <w:top w:val="nil"/>
              <w:left w:val="nil"/>
              <w:bottom w:val="nil"/>
              <w:right w:val="nil"/>
            </w:tcBorders>
            <w:shd w:val="clear" w:color="auto" w:fill="auto"/>
            <w:noWrap/>
            <w:vAlign w:val="center"/>
          </w:tcPr>
          <w:p w:rsidR="00000463" w:rsidRPr="00000463" w:rsidRDefault="00F25820" w:rsidP="00BC7B3E">
            <w:pPr>
              <w:widowControl/>
              <w:snapToGrid w:val="0"/>
              <w:jc w:val="left"/>
              <w:textAlignment w:val="bottom"/>
              <w:rPr>
                <w:rFonts w:ascii="Times New Roman" w:hAnsi="Times New Roman" w:cs="Times New Roman"/>
                <w:color w:val="000000"/>
                <w:sz w:val="18"/>
                <w:szCs w:val="18"/>
                <w:lang w:bidi="ar"/>
              </w:rPr>
            </w:pPr>
            <w:r>
              <w:rPr>
                <w:rFonts w:ascii="Times New Roman" w:hAnsi="Times New Roman" w:cs="Times New Roman"/>
                <w:color w:val="000000"/>
                <w:sz w:val="18"/>
                <w:szCs w:val="18"/>
                <w:lang w:bidi="ar"/>
              </w:rPr>
              <w:t>Χ²</w:t>
            </w:r>
            <w:r w:rsidR="00000463" w:rsidRPr="00000463">
              <w:rPr>
                <w:rFonts w:ascii="Times New Roman" w:hAnsi="Times New Roman" w:cs="Times New Roman"/>
                <w:color w:val="000000"/>
                <w:sz w:val="18"/>
                <w:szCs w:val="18"/>
                <w:lang w:bidi="ar"/>
              </w:rPr>
              <w:t>=0.396</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0.82</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No</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324(71.5)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57(71.2)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74(74.0)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193(70.7)</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Yes</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129(28.5)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23(28.8)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26(26.0)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80(29.3)</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Age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65.0(57.0, 70.0)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67.0(57.0, 69.5)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64.0(56.0, 68.5)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65.0(57.0, 70.0)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H=1.373</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0.503</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BMI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21.3(19.1, 23.5)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20.8(19.1, 22.7)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21.4(19.3, 24.1)</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21.4(19.1, 23.6)</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H=2.395</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0.302</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Time since diagnosis (months)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2.5(1.0, 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3.0(1.0, 7.5)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2.5(1.0, 5.5)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2.0(1.0, 5.5)</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H=3.288</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0.193</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KPS score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90.0(90.0, 90.0)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90.0(80.0, 90.0)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90.0(90.0, 100.0)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90.0(90.0, 90.0)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H=47.407</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&lt;0.001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WBC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4.6(3.8, 5.9)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4.7(3.8, 6.4)</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4.2(3.5, 5.4)</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4.7(4.0, 5.8)</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H=6.059</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0.048</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RBC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3.8(3.4, 4.1)</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3.6(3.3, 3.9)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3.8(3.5, 4.1)</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3.8(3.4, 4.1)</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H=10.939</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0.004</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HGB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111.0(100.0, 122.0)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106.5(94.0, 115.5)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111.0(101.0, 119.0)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112.0(100.0, 124.0)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H=8.970</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0.011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PLT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176.0(133.0, 229.0)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205.5(153.0, 246.5)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166.5(134.0, 218.0)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173.0(129.0, 227.0)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H=8.005</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0.018</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Neutrophil%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56.0(47.9, 66.3)</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57.8(51.0, 71.7)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55.1(48.7, 64.1)</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56.0(45.6, 65.3)</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H=4.519</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0.104</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ALT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18.0(13.0, 27.0)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18.0(11.5, 24.6)</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19.0(13.0, 28.5)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18.0(13.0, 26.0)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H=1.051</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0.591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AST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20.0(17.0, 26.4)</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20.0(17.0, 24.5)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20.0(17.0, 26.5)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20.0(16.0, 27.0)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H=0.133</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0.935</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ALB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37.9(35.6, 40.3)</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37.0(34.5, 40.2)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37.8(36.0, 40.7)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37.9(35.7, 40.2)</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H=2.529</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0.282</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UREA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4.9(4.0, 6.2)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5.2(4.1, 6.6)</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4.9(4.3, 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4.9(3.9, 6.2)</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H=2.755</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0.252</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GGT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25.0(16.0, 36.0)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24.0(15.0, 33.5)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25.0(15.0, 40.0)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25.0(17.0, 36.0)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H=2.518</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0.284</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AFP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2.9(2.1, 3.7)</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2.9(1.9, 3.8)</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2.9(2.2, 3.5)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2.9(2.1, 3.7)</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H=0.363</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0.834</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CEA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2.3(1.6, 3.9)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2.3(1.7, 4.9)</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2.3(1.5, 3.2)</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2.3(1.6, 4.0)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H=2.469</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0.291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Fear of progression (</w:t>
            </w:r>
            <w:proofErr w:type="spellStart"/>
            <w:r w:rsidRPr="00000463">
              <w:rPr>
                <w:rFonts w:ascii="Times New Roman" w:hAnsi="Times New Roman" w:cs="Times New Roman"/>
                <w:color w:val="000000"/>
                <w:sz w:val="18"/>
                <w:szCs w:val="18"/>
                <w:lang w:bidi="ar"/>
              </w:rPr>
              <w:t>FoP</w:t>
            </w:r>
            <w:proofErr w:type="spellEnd"/>
            <w:r w:rsidRPr="00000463">
              <w:rPr>
                <w:rFonts w:ascii="Times New Roman" w:hAnsi="Times New Roman" w:cs="Times New Roman"/>
                <w:color w:val="000000"/>
                <w:sz w:val="18"/>
                <w:szCs w:val="18"/>
                <w:lang w:bidi="ar"/>
              </w:rPr>
              <w:t>-Q-SF)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34.0(25.0, 38.0)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36.0(33.5, 41.5)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26.5(20.5, 35.0)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35.0(26.0, 38.0)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H=47.068</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&lt;0.001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General self-efficacy (GSES)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24.0(20.0, 28.0)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23.0(20.0, 27.0)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27.0(21.0, 30.0)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24.0(20.0, 28.0)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H=14.742</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&lt;0.001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Resilience (CD-RISC)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51.0(40.0, 65.0)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49.0(36.0, 57.0)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62.0(47.5, 73.5)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51.0(38.0, 63.0)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H=27.312</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&lt;0.001</w:t>
            </w:r>
          </w:p>
        </w:tc>
      </w:tr>
      <w:tr w:rsidR="00000463" w:rsidRPr="00000463" w:rsidTr="00000463">
        <w:trPr>
          <w:trHeight w:val="280"/>
          <w:jc w:val="center"/>
        </w:trPr>
        <w:tc>
          <w:tcPr>
            <w:tcW w:w="2977"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Social support (SSRS) M(</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25,</w:t>
            </w:r>
            <w:r w:rsidRPr="00000463">
              <w:rPr>
                <w:rFonts w:ascii="Times New Roman" w:hAnsi="Times New Roman" w:cs="Times New Roman"/>
                <w:i/>
                <w:iCs/>
                <w:color w:val="000000"/>
                <w:sz w:val="18"/>
                <w:szCs w:val="18"/>
                <w:lang w:bidi="ar"/>
              </w:rPr>
              <w:t>P</w:t>
            </w:r>
            <w:r w:rsidRPr="00000463">
              <w:rPr>
                <w:rFonts w:ascii="Times New Roman" w:hAnsi="Times New Roman" w:cs="Times New Roman"/>
                <w:color w:val="000000"/>
                <w:sz w:val="18"/>
                <w:szCs w:val="18"/>
                <w:lang w:bidi="ar"/>
              </w:rPr>
              <w:t>75)</w:t>
            </w:r>
          </w:p>
        </w:tc>
        <w:tc>
          <w:tcPr>
            <w:tcW w:w="1318"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52.0(42.0, 57.0)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52.0(45.5, 57.5)</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45.0(37.5, 54.0)</w:t>
            </w:r>
          </w:p>
        </w:tc>
        <w:tc>
          <w:tcPr>
            <w:tcW w:w="1265"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53.0(43.0, 58.0)</w:t>
            </w:r>
          </w:p>
        </w:tc>
        <w:tc>
          <w:tcPr>
            <w:tcW w:w="1124"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H=17.646</w:t>
            </w:r>
          </w:p>
        </w:tc>
        <w:tc>
          <w:tcPr>
            <w:tcW w:w="851" w:type="dxa"/>
            <w:tcBorders>
              <w:top w:val="nil"/>
              <w:left w:val="nil"/>
              <w:bottom w:val="nil"/>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&lt;0.001</w:t>
            </w:r>
          </w:p>
        </w:tc>
      </w:tr>
      <w:tr w:rsidR="00000463" w:rsidRPr="00000463" w:rsidTr="00000463">
        <w:trPr>
          <w:trHeight w:val="280"/>
          <w:jc w:val="center"/>
        </w:trPr>
        <w:tc>
          <w:tcPr>
            <w:tcW w:w="2977" w:type="dxa"/>
            <w:tcBorders>
              <w:top w:val="nil"/>
              <w:left w:val="nil"/>
              <w:bottom w:val="single" w:sz="4" w:space="0" w:color="auto"/>
              <w:right w:val="nil"/>
            </w:tcBorders>
            <w:shd w:val="clear" w:color="auto" w:fill="auto"/>
            <w:noWrap/>
            <w:vAlign w:val="center"/>
          </w:tcPr>
          <w:p w:rsidR="00000463" w:rsidRPr="00000463" w:rsidRDefault="007D0820" w:rsidP="00BC7B3E">
            <w:pPr>
              <w:widowControl/>
              <w:snapToGrid w:val="0"/>
              <w:jc w:val="left"/>
              <w:textAlignment w:val="bottom"/>
              <w:rPr>
                <w:rFonts w:ascii="Times New Roman" w:hAnsi="Times New Roman" w:cs="Times New Roman"/>
                <w:color w:val="000000"/>
                <w:sz w:val="18"/>
                <w:szCs w:val="18"/>
                <w:lang w:bidi="ar"/>
              </w:rPr>
            </w:pPr>
            <w:r w:rsidRPr="007D0820">
              <w:rPr>
                <w:rFonts w:ascii="Times New Roman" w:hAnsi="Times New Roman" w:cs="Times New Roman"/>
                <w:color w:val="000000"/>
                <w:sz w:val="18"/>
                <w:szCs w:val="18"/>
                <w:lang w:bidi="ar"/>
              </w:rPr>
              <w:t xml:space="preserve">Chemotherapy-related symptoms (reverse-coded </w:t>
            </w:r>
            <w:r w:rsidR="000C0323">
              <w:rPr>
                <w:rFonts w:ascii="Times New Roman" w:hAnsi="Times New Roman" w:cs="Times New Roman"/>
                <w:color w:val="000000"/>
                <w:sz w:val="18"/>
                <w:szCs w:val="18"/>
                <w:lang w:bidi="ar"/>
              </w:rPr>
              <w:t>MDASI-GI</w:t>
            </w:r>
            <w:r w:rsidRPr="007D0820">
              <w:rPr>
                <w:rFonts w:ascii="Times New Roman" w:hAnsi="Times New Roman" w:cs="Times New Roman"/>
                <w:color w:val="000000"/>
                <w:sz w:val="18"/>
                <w:szCs w:val="18"/>
                <w:lang w:bidi="ar"/>
              </w:rPr>
              <w:t>)</w:t>
            </w:r>
            <w:r w:rsidR="00CC779B" w:rsidRPr="00000463">
              <w:rPr>
                <w:rFonts w:ascii="Times New Roman" w:hAnsi="Times New Roman" w:cs="Times New Roman"/>
                <w:color w:val="000000"/>
                <w:sz w:val="18"/>
                <w:szCs w:val="18"/>
                <w:lang w:bidi="ar"/>
              </w:rPr>
              <w:t xml:space="preserve"> M</w:t>
            </w:r>
            <w:r w:rsidR="00000463" w:rsidRPr="00000463">
              <w:rPr>
                <w:rFonts w:ascii="Times New Roman" w:hAnsi="Times New Roman" w:cs="Times New Roman"/>
                <w:color w:val="000000"/>
                <w:sz w:val="18"/>
                <w:szCs w:val="18"/>
                <w:lang w:bidi="ar"/>
              </w:rPr>
              <w:t>(</w:t>
            </w:r>
            <w:r w:rsidR="00000463" w:rsidRPr="00000463">
              <w:rPr>
                <w:rFonts w:ascii="Times New Roman" w:hAnsi="Times New Roman" w:cs="Times New Roman"/>
                <w:i/>
                <w:iCs/>
                <w:color w:val="000000"/>
                <w:sz w:val="18"/>
                <w:szCs w:val="18"/>
                <w:lang w:bidi="ar"/>
              </w:rPr>
              <w:t>P</w:t>
            </w:r>
            <w:r w:rsidR="00000463" w:rsidRPr="00000463">
              <w:rPr>
                <w:rFonts w:ascii="Times New Roman" w:hAnsi="Times New Roman" w:cs="Times New Roman"/>
                <w:color w:val="000000"/>
                <w:sz w:val="18"/>
                <w:szCs w:val="18"/>
                <w:lang w:bidi="ar"/>
              </w:rPr>
              <w:t>25,</w:t>
            </w:r>
            <w:r w:rsidR="00000463" w:rsidRPr="00000463">
              <w:rPr>
                <w:rFonts w:ascii="Times New Roman" w:hAnsi="Times New Roman" w:cs="Times New Roman"/>
                <w:i/>
                <w:iCs/>
                <w:color w:val="000000"/>
                <w:sz w:val="18"/>
                <w:szCs w:val="18"/>
                <w:lang w:bidi="ar"/>
              </w:rPr>
              <w:t>P</w:t>
            </w:r>
            <w:r w:rsidR="00000463" w:rsidRPr="00000463">
              <w:rPr>
                <w:rFonts w:ascii="Times New Roman" w:hAnsi="Times New Roman" w:cs="Times New Roman"/>
                <w:color w:val="000000"/>
                <w:sz w:val="18"/>
                <w:szCs w:val="18"/>
                <w:lang w:bidi="ar"/>
              </w:rPr>
              <w:t>75)</w:t>
            </w:r>
          </w:p>
        </w:tc>
        <w:tc>
          <w:tcPr>
            <w:tcW w:w="1318" w:type="dxa"/>
            <w:tcBorders>
              <w:top w:val="nil"/>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29.0(15.0, 41.0)</w:t>
            </w:r>
          </w:p>
        </w:tc>
        <w:tc>
          <w:tcPr>
            <w:tcW w:w="1265" w:type="dxa"/>
            <w:tcBorders>
              <w:top w:val="nil"/>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52.5(40.0, 71.0)</w:t>
            </w:r>
          </w:p>
        </w:tc>
        <w:tc>
          <w:tcPr>
            <w:tcW w:w="1265" w:type="dxa"/>
            <w:tcBorders>
              <w:top w:val="nil"/>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14.0(8.0, 29.0)</w:t>
            </w:r>
          </w:p>
        </w:tc>
        <w:tc>
          <w:tcPr>
            <w:tcW w:w="1265" w:type="dxa"/>
            <w:tcBorders>
              <w:top w:val="nil"/>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29.0(17.0, 36.0)</w:t>
            </w:r>
          </w:p>
        </w:tc>
        <w:tc>
          <w:tcPr>
            <w:tcW w:w="1124" w:type="dxa"/>
            <w:tcBorders>
              <w:top w:val="nil"/>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H=133.109</w:t>
            </w:r>
          </w:p>
        </w:tc>
        <w:tc>
          <w:tcPr>
            <w:tcW w:w="851" w:type="dxa"/>
            <w:tcBorders>
              <w:top w:val="nil"/>
              <w:left w:val="nil"/>
              <w:bottom w:val="single" w:sz="4" w:space="0" w:color="auto"/>
              <w:right w:val="nil"/>
            </w:tcBorders>
            <w:shd w:val="clear" w:color="auto" w:fill="auto"/>
            <w:noWrap/>
            <w:vAlign w:val="center"/>
          </w:tcPr>
          <w:p w:rsidR="00000463" w:rsidRPr="00000463" w:rsidRDefault="00000463" w:rsidP="00BC7B3E">
            <w:pPr>
              <w:widowControl/>
              <w:snapToGrid w:val="0"/>
              <w:jc w:val="left"/>
              <w:textAlignment w:val="bottom"/>
              <w:rPr>
                <w:rFonts w:ascii="Times New Roman" w:hAnsi="Times New Roman" w:cs="Times New Roman"/>
                <w:color w:val="000000"/>
                <w:sz w:val="18"/>
                <w:szCs w:val="18"/>
                <w:lang w:bidi="ar"/>
              </w:rPr>
            </w:pPr>
            <w:r w:rsidRPr="00000463">
              <w:rPr>
                <w:rFonts w:ascii="Times New Roman" w:hAnsi="Times New Roman" w:cs="Times New Roman"/>
                <w:color w:val="000000"/>
                <w:sz w:val="18"/>
                <w:szCs w:val="18"/>
                <w:lang w:bidi="ar"/>
              </w:rPr>
              <w:t>&lt;0.001</w:t>
            </w:r>
          </w:p>
        </w:tc>
      </w:tr>
    </w:tbl>
    <w:p w:rsidR="00000463" w:rsidRPr="00000463" w:rsidRDefault="00000463" w:rsidP="00000463">
      <w:pPr>
        <w:rPr>
          <w:rFonts w:ascii="Times New Roman" w:hAnsi="Times New Roman" w:cs="Times New Roman"/>
        </w:rPr>
      </w:pPr>
      <w:r w:rsidRPr="00000463">
        <w:rPr>
          <w:rFonts w:ascii="Times New Roman" w:hAnsi="Times New Roman" w:cs="Times New Roman"/>
        </w:rPr>
        <w:t>Note. Values are presented as n (%) for categorical variables and median (</w:t>
      </w:r>
      <w:r w:rsidRPr="001459DB">
        <w:rPr>
          <w:rFonts w:ascii="Times New Roman" w:hAnsi="Times New Roman" w:cs="Times New Roman"/>
          <w:i/>
          <w:iCs/>
        </w:rPr>
        <w:t>P</w:t>
      </w:r>
      <w:r w:rsidRPr="00000463">
        <w:rPr>
          <w:rFonts w:ascii="Times New Roman" w:hAnsi="Times New Roman" w:cs="Times New Roman"/>
        </w:rPr>
        <w:t xml:space="preserve">25, </w:t>
      </w:r>
      <w:r w:rsidRPr="001459DB">
        <w:rPr>
          <w:rFonts w:ascii="Times New Roman" w:hAnsi="Times New Roman" w:cs="Times New Roman"/>
          <w:i/>
          <w:iCs/>
        </w:rPr>
        <w:t>P</w:t>
      </w:r>
      <w:r w:rsidRPr="00000463">
        <w:rPr>
          <w:rFonts w:ascii="Times New Roman" w:hAnsi="Times New Roman" w:cs="Times New Roman"/>
        </w:rPr>
        <w:t xml:space="preserve">75) for continuous variables. C1 = psychosocially supported but physically vulnerable (n = 80); C2 = </w:t>
      </w:r>
      <w:r w:rsidR="003C4FF8" w:rsidRPr="003C4FF8">
        <w:rPr>
          <w:rFonts w:ascii="Times New Roman" w:hAnsi="Times New Roman" w:cs="Times New Roman"/>
        </w:rPr>
        <w:t>functionally preserved but symptomatically and psychologically challenged</w:t>
      </w:r>
      <w:r w:rsidRPr="00000463">
        <w:rPr>
          <w:rFonts w:ascii="Times New Roman" w:hAnsi="Times New Roman" w:cs="Times New Roman"/>
        </w:rPr>
        <w:t xml:space="preserve"> (n = 100); C3 = intermediate adaptation (n = 273). Categorical variables were compared using chi-square tests or Fisher's exact </w:t>
      </w:r>
      <w:r w:rsidRPr="00000463">
        <w:rPr>
          <w:rFonts w:ascii="Times New Roman" w:hAnsi="Times New Roman" w:cs="Times New Roman"/>
        </w:rPr>
        <w:lastRenderedPageBreak/>
        <w:t>tests (</w:t>
      </w:r>
      <w:r w:rsidRPr="001459DB">
        <w:rPr>
          <w:rFonts w:ascii="Times New Roman" w:hAnsi="Times New Roman" w:cs="Times New Roman"/>
          <w:vertAlign w:val="superscript"/>
        </w:rPr>
        <w:t>a</w:t>
      </w:r>
      <w:r w:rsidRPr="00000463">
        <w:rPr>
          <w:rFonts w:ascii="Times New Roman" w:hAnsi="Times New Roman" w:cs="Times New Roman"/>
        </w:rPr>
        <w:t xml:space="preserve">); continuous variables were compared using the Kruskal–Wallis H test. KPS = </w:t>
      </w:r>
      <w:proofErr w:type="spellStart"/>
      <w:r w:rsidRPr="00000463">
        <w:rPr>
          <w:rFonts w:ascii="Times New Roman" w:hAnsi="Times New Roman" w:cs="Times New Roman"/>
        </w:rPr>
        <w:t>Karnofsky</w:t>
      </w:r>
      <w:proofErr w:type="spellEnd"/>
      <w:r w:rsidRPr="00000463">
        <w:rPr>
          <w:rFonts w:ascii="Times New Roman" w:hAnsi="Times New Roman" w:cs="Times New Roman"/>
        </w:rPr>
        <w:t xml:space="preserve"> Performance Status; WBC = white blood cell count; RBC = red blood cell count; HGB = hemoglobin; PLT = platelet count; ALT = alanine aminotransferase; AST = aspartate aminotransferase; ALB = albumin; </w:t>
      </w:r>
      <w:r w:rsidR="00F25820" w:rsidRPr="00F25820">
        <w:rPr>
          <w:rFonts w:ascii="Times New Roman" w:hAnsi="Times New Roman" w:cs="Times New Roman"/>
        </w:rPr>
        <w:t>UREA = blood urea nitrogen/urea</w:t>
      </w:r>
      <w:r w:rsidR="00F25820" w:rsidRPr="00000463">
        <w:rPr>
          <w:rFonts w:ascii="Times New Roman" w:hAnsi="Times New Roman" w:cs="Times New Roman"/>
        </w:rPr>
        <w:t xml:space="preserve">; </w:t>
      </w:r>
      <w:r w:rsidRPr="00000463">
        <w:rPr>
          <w:rFonts w:ascii="Times New Roman" w:hAnsi="Times New Roman" w:cs="Times New Roman"/>
        </w:rPr>
        <w:t xml:space="preserve">GGT = gamma-glutamyl transferase; AFP = alpha-fetoprotein; CEA = carcinoembryonic antigen; </w:t>
      </w:r>
      <w:proofErr w:type="spellStart"/>
      <w:r w:rsidRPr="00000463">
        <w:rPr>
          <w:rFonts w:ascii="Times New Roman" w:hAnsi="Times New Roman" w:cs="Times New Roman"/>
        </w:rPr>
        <w:t>FoP</w:t>
      </w:r>
      <w:proofErr w:type="spellEnd"/>
      <w:r w:rsidRPr="00000463">
        <w:rPr>
          <w:rFonts w:ascii="Times New Roman" w:hAnsi="Times New Roman" w:cs="Times New Roman"/>
        </w:rPr>
        <w:t xml:space="preserve">-Q-SF = Fear of Progression Questionnaire–Short Form; GSES = General Self-Efficacy Scale; CD-RISC = Connor–Davidson Resilience Scale; SSRS = Social Support Rating Scale; </w:t>
      </w:r>
      <w:r w:rsidR="000C0323">
        <w:rPr>
          <w:rFonts w:ascii="Times New Roman" w:hAnsi="Times New Roman" w:cs="Times New Roman"/>
        </w:rPr>
        <w:t>MDASI-GI</w:t>
      </w:r>
      <w:r w:rsidRPr="00000463">
        <w:rPr>
          <w:rFonts w:ascii="Times New Roman" w:hAnsi="Times New Roman" w:cs="Times New Roman"/>
        </w:rPr>
        <w:t xml:space="preserve"> = M. D. Anderson Symptom Inventory–Gastrointestinal Module.</w:t>
      </w:r>
      <w:r w:rsidR="00CC779B" w:rsidRPr="00CC779B">
        <w:rPr>
          <w:rFonts w:ascii="Times New Roman" w:hAnsi="Times New Roman" w:cs="Times New Roman"/>
        </w:rPr>
        <w:t xml:space="preserve"> </w:t>
      </w:r>
      <w:r w:rsidR="001A3681" w:rsidRPr="001A3681">
        <w:rPr>
          <w:rFonts w:ascii="Times New Roman" w:hAnsi="Times New Roman" w:cs="Times New Roman"/>
        </w:rPr>
        <w:t>Higher MDASI-GI scores indicate lighter symptom burden (reverse-coded; see Methods)</w:t>
      </w:r>
      <w:r w:rsidR="00CC779B" w:rsidRPr="007D0820">
        <w:rPr>
          <w:rFonts w:ascii="Times New Roman" w:hAnsi="Times New Roman" w:cs="Times New Roman"/>
        </w:rPr>
        <w:t>.</w:t>
      </w:r>
    </w:p>
    <w:p w:rsidR="00000463" w:rsidRPr="00000463" w:rsidRDefault="00000463" w:rsidP="00000463">
      <w:pPr>
        <w:rPr>
          <w:rFonts w:ascii="Times New Roman" w:hAnsi="Times New Roman" w:cs="Times New Roman"/>
        </w:rPr>
      </w:pPr>
    </w:p>
    <w:p w:rsidR="00000463" w:rsidRPr="00000463" w:rsidRDefault="00000463" w:rsidP="00000463">
      <w:pPr>
        <w:rPr>
          <w:rFonts w:ascii="Times New Roman" w:hAnsi="Times New Roman" w:cs="Times New Roman"/>
          <w:b/>
          <w:bCs/>
        </w:rPr>
      </w:pPr>
      <w:r w:rsidRPr="00000463">
        <w:rPr>
          <w:rFonts w:ascii="Times New Roman" w:hAnsi="Times New Roman" w:cs="Times New Roman"/>
          <w:b/>
          <w:bCs/>
        </w:rPr>
        <w:t>Supplementary Figure S1. Relative contributions of predictors to explained variance in quality of life</w:t>
      </w:r>
    </w:p>
    <w:p w:rsidR="00000463" w:rsidRPr="00000463" w:rsidRDefault="00000463" w:rsidP="00000463">
      <w:pPr>
        <w:rPr>
          <w:rFonts w:ascii="Times New Roman" w:hAnsi="Times New Roman" w:cs="Times New Roman"/>
        </w:rPr>
      </w:pPr>
      <w:r w:rsidRPr="0032656A">
        <w:rPr>
          <w:rFonts w:ascii="Times New Roman" w:hAnsi="Times New Roman" w:cs="Times New Roman"/>
          <w:noProof/>
        </w:rPr>
        <w:drawing>
          <wp:inline distT="0" distB="0" distL="114300" distR="114300" wp14:anchorId="1DEECA64" wp14:editId="6CD72C1A">
            <wp:extent cx="5274310" cy="3412919"/>
            <wp:effectExtent l="0" t="0" r="0" b="3810"/>
            <wp:docPr id="2" name="图片 2" descr="Relative_Importance_Lollipop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elative_Importance_Lollipop_FINAL"/>
                    <pic:cNvPicPr>
                      <a:picLocks noChangeAspect="1"/>
                    </pic:cNvPicPr>
                  </pic:nvPicPr>
                  <pic:blipFill>
                    <a:blip r:embed="rId4"/>
                    <a:stretch>
                      <a:fillRect/>
                    </a:stretch>
                  </pic:blipFill>
                  <pic:spPr>
                    <a:xfrm>
                      <a:off x="0" y="0"/>
                      <a:ext cx="5274310" cy="3412919"/>
                    </a:xfrm>
                    <a:prstGeom prst="rect">
                      <a:avLst/>
                    </a:prstGeom>
                  </pic:spPr>
                </pic:pic>
              </a:graphicData>
            </a:graphic>
          </wp:inline>
        </w:drawing>
      </w:r>
      <w:r w:rsidRPr="00000463">
        <w:rPr>
          <w:rFonts w:ascii="Times New Roman" w:hAnsi="Times New Roman" w:cs="Times New Roman"/>
        </w:rPr>
        <w:t xml:space="preserve">Note. Relative importance was estimated using the Lindeman–Merenda–Gold (LMG) method based on a multiple linear regression model. The horizontal axis represents the percentage contribution of each variable to the explained variance (R²) in overall quality of life (QLICP-ST total score). </w:t>
      </w:r>
      <w:r w:rsidR="000C0323">
        <w:rPr>
          <w:rFonts w:ascii="Times New Roman" w:hAnsi="Times New Roman" w:cs="Times New Roman"/>
        </w:rPr>
        <w:t>MDASI-GI</w:t>
      </w:r>
      <w:r w:rsidRPr="00000463">
        <w:rPr>
          <w:rFonts w:ascii="Times New Roman" w:hAnsi="Times New Roman" w:cs="Times New Roman"/>
        </w:rPr>
        <w:t xml:space="preserve"> = chemotherapy-related symptom burden; SSRS = social support; CD-RISC = resilience; </w:t>
      </w:r>
      <w:proofErr w:type="spellStart"/>
      <w:r w:rsidRPr="00000463">
        <w:rPr>
          <w:rFonts w:ascii="Times New Roman" w:hAnsi="Times New Roman" w:cs="Times New Roman"/>
        </w:rPr>
        <w:t>FoP</w:t>
      </w:r>
      <w:proofErr w:type="spellEnd"/>
      <w:r w:rsidRPr="00000463">
        <w:rPr>
          <w:rFonts w:ascii="Times New Roman" w:hAnsi="Times New Roman" w:cs="Times New Roman"/>
        </w:rPr>
        <w:t xml:space="preserve"> = fear of progression; GSES = general self-efficacy. Point size is proportional to contribution magnitude.</w:t>
      </w:r>
    </w:p>
    <w:p w:rsidR="00000463" w:rsidRPr="00000463" w:rsidRDefault="00000463" w:rsidP="00000463">
      <w:pPr>
        <w:rPr>
          <w:rFonts w:ascii="Times New Roman" w:hAnsi="Times New Roman" w:cs="Times New Roman"/>
        </w:rPr>
      </w:pPr>
    </w:p>
    <w:p w:rsidR="00000463" w:rsidRPr="00000463" w:rsidRDefault="00000463" w:rsidP="00000463">
      <w:pPr>
        <w:rPr>
          <w:rFonts w:ascii="Times New Roman" w:hAnsi="Times New Roman" w:cs="Times New Roman"/>
          <w:b/>
          <w:bCs/>
        </w:rPr>
      </w:pPr>
      <w:r w:rsidRPr="00000463">
        <w:rPr>
          <w:rFonts w:ascii="Times New Roman" w:hAnsi="Times New Roman" w:cs="Times New Roman"/>
          <w:b/>
          <w:bCs/>
        </w:rPr>
        <w:t>Supplementary Figure S2. Scree plot of model fit indices for latent profile solutions</w:t>
      </w:r>
    </w:p>
    <w:p w:rsidR="006765B6" w:rsidRPr="00000463" w:rsidRDefault="00000463" w:rsidP="00000463">
      <w:pPr>
        <w:rPr>
          <w:rFonts w:ascii="Times New Roman" w:hAnsi="Times New Roman" w:cs="Times New Roman"/>
        </w:rPr>
      </w:pPr>
      <w:r w:rsidRPr="0032656A">
        <w:rPr>
          <w:rFonts w:ascii="Times New Roman" w:hAnsi="Times New Roman" w:cs="Times New Roman"/>
          <w:noProof/>
        </w:rPr>
        <w:lastRenderedPageBreak/>
        <w:drawing>
          <wp:inline distT="0" distB="0" distL="114300" distR="114300" wp14:anchorId="5A9F41EC" wp14:editId="2AB0CFC8">
            <wp:extent cx="5274310" cy="3767811"/>
            <wp:effectExtent l="0" t="0" r="0" b="4445"/>
            <wp:docPr id="3" name="图片 3" descr="Figure1_Scree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1_Scree_Plot"/>
                    <pic:cNvPicPr>
                      <a:picLocks noChangeAspect="1"/>
                    </pic:cNvPicPr>
                  </pic:nvPicPr>
                  <pic:blipFill>
                    <a:blip r:embed="rId5"/>
                    <a:stretch>
                      <a:fillRect/>
                    </a:stretch>
                  </pic:blipFill>
                  <pic:spPr>
                    <a:xfrm>
                      <a:off x="0" y="0"/>
                      <a:ext cx="5274310" cy="3767811"/>
                    </a:xfrm>
                    <a:prstGeom prst="rect">
                      <a:avLst/>
                    </a:prstGeom>
                  </pic:spPr>
                </pic:pic>
              </a:graphicData>
            </a:graphic>
          </wp:inline>
        </w:drawing>
      </w:r>
      <w:r w:rsidRPr="00000463">
        <w:rPr>
          <w:rFonts w:ascii="Times New Roman" w:hAnsi="Times New Roman" w:cs="Times New Roman"/>
        </w:rPr>
        <w:t>Note. The plot shows the trends of the Akaike information criterion (AIC), Bayesian information criterion (BIC), and adjusted Bayesian information criterion (</w:t>
      </w:r>
      <w:proofErr w:type="spellStart"/>
      <w:r w:rsidRPr="00000463">
        <w:rPr>
          <w:rFonts w:ascii="Times New Roman" w:hAnsi="Times New Roman" w:cs="Times New Roman"/>
        </w:rPr>
        <w:t>aBIC</w:t>
      </w:r>
      <w:proofErr w:type="spellEnd"/>
      <w:r w:rsidRPr="00000463">
        <w:rPr>
          <w:rFonts w:ascii="Times New Roman" w:hAnsi="Times New Roman" w:cs="Times New Roman"/>
        </w:rPr>
        <w:t>) across 1- to 5-class latent profile models. The elbow at the 3-class solution indicates the optimal balance between model fit and parsimony.</w:t>
      </w:r>
    </w:p>
    <w:sectPr w:rsidR="006765B6" w:rsidRPr="000004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63"/>
    <w:rsid w:val="00000463"/>
    <w:rsid w:val="000A2479"/>
    <w:rsid w:val="000C0323"/>
    <w:rsid w:val="000C1A5C"/>
    <w:rsid w:val="00105C48"/>
    <w:rsid w:val="00116E09"/>
    <w:rsid w:val="00130ED8"/>
    <w:rsid w:val="001459DB"/>
    <w:rsid w:val="0014745A"/>
    <w:rsid w:val="00152FE1"/>
    <w:rsid w:val="0019174E"/>
    <w:rsid w:val="00197087"/>
    <w:rsid w:val="001A3681"/>
    <w:rsid w:val="001F2AC3"/>
    <w:rsid w:val="00217F6D"/>
    <w:rsid w:val="00263677"/>
    <w:rsid w:val="00295D6B"/>
    <w:rsid w:val="002F163C"/>
    <w:rsid w:val="002F6353"/>
    <w:rsid w:val="00317AB4"/>
    <w:rsid w:val="0034412E"/>
    <w:rsid w:val="00360084"/>
    <w:rsid w:val="00374323"/>
    <w:rsid w:val="003B503C"/>
    <w:rsid w:val="003C3B26"/>
    <w:rsid w:val="003C4FF8"/>
    <w:rsid w:val="003D7311"/>
    <w:rsid w:val="003F3403"/>
    <w:rsid w:val="00434027"/>
    <w:rsid w:val="00435224"/>
    <w:rsid w:val="0048350E"/>
    <w:rsid w:val="00487A5E"/>
    <w:rsid w:val="004A23D2"/>
    <w:rsid w:val="004C6E7B"/>
    <w:rsid w:val="0051452A"/>
    <w:rsid w:val="00531A71"/>
    <w:rsid w:val="00601C5E"/>
    <w:rsid w:val="00602C3A"/>
    <w:rsid w:val="00622102"/>
    <w:rsid w:val="00671D0A"/>
    <w:rsid w:val="00673A94"/>
    <w:rsid w:val="006765B6"/>
    <w:rsid w:val="00696541"/>
    <w:rsid w:val="006E32E0"/>
    <w:rsid w:val="00733FFA"/>
    <w:rsid w:val="00771CC3"/>
    <w:rsid w:val="00781734"/>
    <w:rsid w:val="00784CD8"/>
    <w:rsid w:val="00797C33"/>
    <w:rsid w:val="007A057E"/>
    <w:rsid w:val="007D0820"/>
    <w:rsid w:val="007E5FE3"/>
    <w:rsid w:val="00822A74"/>
    <w:rsid w:val="008B256E"/>
    <w:rsid w:val="008F79E7"/>
    <w:rsid w:val="00901EAF"/>
    <w:rsid w:val="00992F0F"/>
    <w:rsid w:val="009C42A4"/>
    <w:rsid w:val="009D361C"/>
    <w:rsid w:val="00A31A57"/>
    <w:rsid w:val="00AA581D"/>
    <w:rsid w:val="00AA5D29"/>
    <w:rsid w:val="00AB5645"/>
    <w:rsid w:val="00AC2208"/>
    <w:rsid w:val="00AD2906"/>
    <w:rsid w:val="00AE19E8"/>
    <w:rsid w:val="00B60ECA"/>
    <w:rsid w:val="00B636E3"/>
    <w:rsid w:val="00BC30A4"/>
    <w:rsid w:val="00BD0E19"/>
    <w:rsid w:val="00BF0CC0"/>
    <w:rsid w:val="00C854F7"/>
    <w:rsid w:val="00C94D8A"/>
    <w:rsid w:val="00CC779B"/>
    <w:rsid w:val="00CD0386"/>
    <w:rsid w:val="00D12F25"/>
    <w:rsid w:val="00D154CD"/>
    <w:rsid w:val="00D30E3D"/>
    <w:rsid w:val="00DB2C65"/>
    <w:rsid w:val="00DB756F"/>
    <w:rsid w:val="00DC2E15"/>
    <w:rsid w:val="00DF689B"/>
    <w:rsid w:val="00E366C7"/>
    <w:rsid w:val="00ED1613"/>
    <w:rsid w:val="00F1097B"/>
    <w:rsid w:val="00F25820"/>
    <w:rsid w:val="00F521DB"/>
    <w:rsid w:val="00FC345A"/>
    <w:rsid w:val="00FD0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0D4B"/>
  <w15:chartTrackingRefBased/>
  <w15:docId w15:val="{025B45BD-A333-6F48-A927-89D67A2C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004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004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0046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0046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00463"/>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0046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0046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0046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0046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三线表！"/>
    <w:basedOn w:val="a1"/>
    <w:uiPriority w:val="39"/>
    <w:rsid w:val="00AE19E8"/>
    <w:tblPr>
      <w:tblBorders>
        <w:top w:val="single" w:sz="4" w:space="0" w:color="000000" w:themeColor="text1"/>
        <w:bottom w:val="single" w:sz="4" w:space="0" w:color="000000" w:themeColor="text1"/>
      </w:tblBorders>
    </w:tblPr>
    <w:tcPr>
      <w:shd w:val="clear" w:color="auto" w:fill="auto"/>
    </w:tcPr>
    <w:tblStylePr w:type="firstRow">
      <w:tblPr/>
      <w:tcPr>
        <w:tcBorders>
          <w:bottom w:val="single" w:sz="4" w:space="0" w:color="000000" w:themeColor="text1"/>
        </w:tcBorders>
      </w:tcPr>
    </w:tblStylePr>
  </w:style>
  <w:style w:type="character" w:customStyle="1" w:styleId="10">
    <w:name w:val="标题 1 字符"/>
    <w:basedOn w:val="a0"/>
    <w:link w:val="1"/>
    <w:uiPriority w:val="9"/>
    <w:rsid w:val="0000046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0046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0046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00463"/>
    <w:rPr>
      <w:rFonts w:cstheme="majorBidi"/>
      <w:color w:val="0F4761" w:themeColor="accent1" w:themeShade="BF"/>
      <w:sz w:val="28"/>
      <w:szCs w:val="28"/>
    </w:rPr>
  </w:style>
  <w:style w:type="character" w:customStyle="1" w:styleId="50">
    <w:name w:val="标题 5 字符"/>
    <w:basedOn w:val="a0"/>
    <w:link w:val="5"/>
    <w:uiPriority w:val="9"/>
    <w:semiHidden/>
    <w:rsid w:val="00000463"/>
    <w:rPr>
      <w:rFonts w:cstheme="majorBidi"/>
      <w:color w:val="0F4761" w:themeColor="accent1" w:themeShade="BF"/>
      <w:sz w:val="24"/>
    </w:rPr>
  </w:style>
  <w:style w:type="character" w:customStyle="1" w:styleId="60">
    <w:name w:val="标题 6 字符"/>
    <w:basedOn w:val="a0"/>
    <w:link w:val="6"/>
    <w:uiPriority w:val="9"/>
    <w:semiHidden/>
    <w:rsid w:val="00000463"/>
    <w:rPr>
      <w:rFonts w:cstheme="majorBidi"/>
      <w:b/>
      <w:bCs/>
      <w:color w:val="0F4761" w:themeColor="accent1" w:themeShade="BF"/>
    </w:rPr>
  </w:style>
  <w:style w:type="character" w:customStyle="1" w:styleId="70">
    <w:name w:val="标题 7 字符"/>
    <w:basedOn w:val="a0"/>
    <w:link w:val="7"/>
    <w:uiPriority w:val="9"/>
    <w:semiHidden/>
    <w:rsid w:val="00000463"/>
    <w:rPr>
      <w:rFonts w:cstheme="majorBidi"/>
      <w:b/>
      <w:bCs/>
      <w:color w:val="595959" w:themeColor="text1" w:themeTint="A6"/>
    </w:rPr>
  </w:style>
  <w:style w:type="character" w:customStyle="1" w:styleId="80">
    <w:name w:val="标题 8 字符"/>
    <w:basedOn w:val="a0"/>
    <w:link w:val="8"/>
    <w:uiPriority w:val="9"/>
    <w:semiHidden/>
    <w:rsid w:val="00000463"/>
    <w:rPr>
      <w:rFonts w:cstheme="majorBidi"/>
      <w:color w:val="595959" w:themeColor="text1" w:themeTint="A6"/>
    </w:rPr>
  </w:style>
  <w:style w:type="character" w:customStyle="1" w:styleId="90">
    <w:name w:val="标题 9 字符"/>
    <w:basedOn w:val="a0"/>
    <w:link w:val="9"/>
    <w:uiPriority w:val="9"/>
    <w:semiHidden/>
    <w:rsid w:val="00000463"/>
    <w:rPr>
      <w:rFonts w:eastAsiaTheme="majorEastAsia" w:cstheme="majorBidi"/>
      <w:color w:val="595959" w:themeColor="text1" w:themeTint="A6"/>
    </w:rPr>
  </w:style>
  <w:style w:type="paragraph" w:styleId="a4">
    <w:name w:val="Title"/>
    <w:basedOn w:val="a"/>
    <w:next w:val="a"/>
    <w:link w:val="a5"/>
    <w:uiPriority w:val="10"/>
    <w:qFormat/>
    <w:rsid w:val="00000463"/>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0"/>
    <w:link w:val="a4"/>
    <w:uiPriority w:val="10"/>
    <w:rsid w:val="0000046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004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0"/>
    <w:link w:val="a6"/>
    <w:uiPriority w:val="11"/>
    <w:rsid w:val="00000463"/>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000463"/>
    <w:pPr>
      <w:spacing w:before="160" w:after="160"/>
      <w:jc w:val="center"/>
    </w:pPr>
    <w:rPr>
      <w:i/>
      <w:iCs/>
      <w:color w:val="404040" w:themeColor="text1" w:themeTint="BF"/>
    </w:rPr>
  </w:style>
  <w:style w:type="character" w:customStyle="1" w:styleId="a9">
    <w:name w:val="引用 字符"/>
    <w:basedOn w:val="a0"/>
    <w:link w:val="a8"/>
    <w:uiPriority w:val="29"/>
    <w:rsid w:val="00000463"/>
    <w:rPr>
      <w:i/>
      <w:iCs/>
      <w:color w:val="404040" w:themeColor="text1" w:themeTint="BF"/>
    </w:rPr>
  </w:style>
  <w:style w:type="paragraph" w:styleId="aa">
    <w:name w:val="List Paragraph"/>
    <w:basedOn w:val="a"/>
    <w:uiPriority w:val="34"/>
    <w:qFormat/>
    <w:rsid w:val="00000463"/>
    <w:pPr>
      <w:ind w:left="720"/>
      <w:contextualSpacing/>
    </w:pPr>
  </w:style>
  <w:style w:type="character" w:styleId="ab">
    <w:name w:val="Intense Emphasis"/>
    <w:basedOn w:val="a0"/>
    <w:uiPriority w:val="21"/>
    <w:qFormat/>
    <w:rsid w:val="00000463"/>
    <w:rPr>
      <w:i/>
      <w:iCs/>
      <w:color w:val="0F4761" w:themeColor="accent1" w:themeShade="BF"/>
    </w:rPr>
  </w:style>
  <w:style w:type="paragraph" w:styleId="ac">
    <w:name w:val="Intense Quote"/>
    <w:basedOn w:val="a"/>
    <w:next w:val="a"/>
    <w:link w:val="ad"/>
    <w:uiPriority w:val="30"/>
    <w:qFormat/>
    <w:rsid w:val="000004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000463"/>
    <w:rPr>
      <w:i/>
      <w:iCs/>
      <w:color w:val="0F4761" w:themeColor="accent1" w:themeShade="BF"/>
    </w:rPr>
  </w:style>
  <w:style w:type="character" w:styleId="ae">
    <w:name w:val="Intense Reference"/>
    <w:basedOn w:val="a0"/>
    <w:uiPriority w:val="32"/>
    <w:qFormat/>
    <w:rsid w:val="000004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3643</Words>
  <Characters>7106</Characters>
  <Application>Microsoft Office Word</Application>
  <DocSecurity>0</DocSecurity>
  <Lines>253</Lines>
  <Paragraphs>214</Paragraphs>
  <ScaleCrop>false</ScaleCrop>
  <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wangnan199135@gmail.com</dc:creator>
  <cp:keywords/>
  <dc:description/>
  <cp:lastModifiedBy>wangnan199135@gmail.com</cp:lastModifiedBy>
  <cp:revision>9</cp:revision>
  <dcterms:created xsi:type="dcterms:W3CDTF">2026-03-30T03:04:00Z</dcterms:created>
  <dcterms:modified xsi:type="dcterms:W3CDTF">2026-04-11T00:20:00Z</dcterms:modified>
</cp:coreProperties>
</file>