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3215F">
      <w:pPr>
        <w:spacing w:before="0" w:after="40"/>
        <w:jc w:val="center"/>
        <w:rPr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Supplementary Table S1. Digital transformation keyword dictionary</w:t>
      </w:r>
    </w:p>
    <w:tbl>
      <w:tblPr>
        <w:tblStyle w:val="3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113"/>
        <w:gridCol w:w="12450"/>
      </w:tblGrid>
      <w:tr w14:paraId="280E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restart"/>
            <w:vAlign w:val="center"/>
          </w:tcPr>
          <w:p w14:paraId="09F0312E">
            <w:pPr>
              <w:spacing w:after="156" w:afterLines="50"/>
              <w:jc w:val="center"/>
              <w:rPr>
                <w:rFonts w:eastAsia="楷体_GB2312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Transformation Dimensions</w:t>
            </w:r>
          </w:p>
        </w:tc>
        <w:tc>
          <w:tcPr>
            <w:tcW w:w="649" w:type="pct"/>
            <w:vAlign w:val="center"/>
          </w:tcPr>
          <w:p w14:paraId="30A1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楷体_GB2312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Artificial Intelligence Technology</w:t>
            </w:r>
          </w:p>
        </w:tc>
        <w:tc>
          <w:tcPr>
            <w:tcW w:w="3828" w:type="pct"/>
            <w:shd w:val="clear" w:color="auto" w:fill="auto"/>
            <w:vAlign w:val="top"/>
          </w:tcPr>
          <w:p w14:paraId="047A8EDC">
            <w:pPr>
              <w:spacing w:after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GB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neural networks, intelligent data analysis, biometric technology, speech recognition, deep learning, business intelligence, facial recognition, artificial intelligence, human-computer interaction, machine learning, image understanding, investment decision support systems, intelligent robots, large models, generative AI, autonomous driving</w:t>
            </w:r>
          </w:p>
        </w:tc>
      </w:tr>
      <w:tr w14:paraId="2A81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continue"/>
          </w:tcPr>
          <w:p w14:paraId="4B1D43E6">
            <w:pPr>
              <w:spacing w:after="156" w:afterLines="50"/>
              <w:jc w:val="center"/>
              <w:rPr>
                <w:rFonts w:eastAsia="楷体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49" w:type="pct"/>
            <w:vAlign w:val="center"/>
          </w:tcPr>
          <w:p w14:paraId="19D3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楷体_GB2312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Big Data Technology</w:t>
            </w:r>
          </w:p>
        </w:tc>
        <w:tc>
          <w:tcPr>
            <w:tcW w:w="3828" w:type="pct"/>
            <w:shd w:val="clear" w:color="auto" w:fill="auto"/>
            <w:vAlign w:val="top"/>
          </w:tcPr>
          <w:p w14:paraId="001CA7F8">
            <w:pPr>
              <w:spacing w:after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GB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mixed reality, credit investigation, data governance, text mining, data analysis, virtual reality, data security, heterogeneous data, data mining, big data, augmented reality, data visualization</w:t>
            </w:r>
          </w:p>
        </w:tc>
      </w:tr>
      <w:tr w14:paraId="717B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521" w:type="pct"/>
            <w:vMerge w:val="continue"/>
          </w:tcPr>
          <w:p w14:paraId="624641D1">
            <w:pPr>
              <w:spacing w:after="156" w:afterLines="50"/>
              <w:jc w:val="center"/>
              <w:rPr>
                <w:rFonts w:eastAsia="楷体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49" w:type="pct"/>
            <w:vAlign w:val="center"/>
          </w:tcPr>
          <w:p w14:paraId="4B18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楷体_GB2312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Cloud Computing Technology</w:t>
            </w:r>
          </w:p>
        </w:tc>
        <w:tc>
          <w:tcPr>
            <w:tcW w:w="3828" w:type="pct"/>
            <w:shd w:val="clear" w:color="auto" w:fill="auto"/>
            <w:vAlign w:val="top"/>
          </w:tcPr>
          <w:p w14:paraId="5F8C8B1D">
            <w:pPr>
              <w:spacing w:after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GB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 computing, exabyte-level, green computing, brain-inspired computing, converged architecture, in-memory computing, cloud computing, cognitive computing, secure multi-party computation, hundred-million-level concurrency, stream computing, enterprise cloud migration, blockchain technology, blockchain, digital currency, distributed computing, differential privacy technology, smart financial contracts, consensus mechanisms, supply chain finance, traceability systems, asymmetric encryption</w:t>
            </w:r>
          </w:p>
        </w:tc>
      </w:tr>
      <w:tr w14:paraId="1EF5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continue"/>
          </w:tcPr>
          <w:p w14:paraId="60121092">
            <w:pPr>
              <w:spacing w:after="156" w:afterLines="50"/>
              <w:jc w:val="center"/>
              <w:rPr>
                <w:rFonts w:eastAsia="楷体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49" w:type="pct"/>
            <w:vAlign w:val="center"/>
          </w:tcPr>
          <w:p w14:paraId="3741F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楷体_GB2312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Technology</w:t>
            </w:r>
          </w:p>
        </w:tc>
        <w:tc>
          <w:tcPr>
            <w:tcW w:w="3828" w:type="pct"/>
            <w:shd w:val="clear" w:color="auto" w:fill="auto"/>
            <w:vAlign w:val="top"/>
          </w:tcPr>
          <w:p w14:paraId="6E54104A">
            <w:pPr>
              <w:spacing w:after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GB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informatization, industrial communication, information terminals, information networks, information integration, information software, information centers, industrial information, information sharing, information systems, information management, networking</w:t>
            </w:r>
          </w:p>
        </w:tc>
      </w:tr>
      <w:tr w14:paraId="13F7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continue"/>
          </w:tcPr>
          <w:p w14:paraId="642D6EEB">
            <w:pPr>
              <w:spacing w:after="156" w:afterLines="50"/>
              <w:jc w:val="center"/>
              <w:rPr>
                <w:rFonts w:eastAsia="楷体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49" w:type="pct"/>
            <w:vAlign w:val="center"/>
          </w:tcPr>
          <w:p w14:paraId="44DF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楷体_GB2312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of Things Technology</w:t>
            </w:r>
          </w:p>
        </w:tc>
        <w:tc>
          <w:tcPr>
            <w:tcW w:w="3828" w:type="pct"/>
            <w:shd w:val="clear" w:color="auto" w:fill="auto"/>
            <w:vAlign w:val="top"/>
          </w:tcPr>
          <w:p w14:paraId="6F6F548E">
            <w:pPr>
              <w:spacing w:after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GB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of Things, Industrial Internet of Things, Industrial Internet, industrial automation, intelligent control, remote control, edge computing, smart home, intelligent transportation, smart healthcare, wearable smart devices</w:t>
            </w:r>
          </w:p>
        </w:tc>
      </w:tr>
    </w:tbl>
    <w:p w14:paraId="10C2656C">
      <w:pPr>
        <w:spacing w:before="20" w:after="0" w:line="240" w:lineRule="auto"/>
        <w:jc w:val="left"/>
        <w:rPr>
          <w:rFonts w:ascii="Times New Roman" w:hAnsi="Times New Roman" w:eastAsia="Times New Roman"/>
          <w:sz w:val="24"/>
          <w:szCs w:val="24"/>
        </w:rPr>
      </w:pPr>
    </w:p>
    <w:p w14:paraId="4D6BCEC6">
      <w:pPr>
        <w:spacing w:before="20" w:after="0" w:line="240" w:lineRule="auto"/>
        <w:jc w:val="left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Notes: The main manuscript can summarize this measure in the variable-definition section a</w:t>
      </w:r>
      <w:bookmarkStart w:id="0" w:name="_GoBack"/>
      <w:bookmarkEnd w:id="0"/>
      <w:r>
        <w:rPr>
          <w:rFonts w:ascii="Times New Roman" w:hAnsi="Times New Roman" w:eastAsia="Times New Roman"/>
          <w:sz w:val="24"/>
          <w:szCs w:val="24"/>
        </w:rPr>
        <w:t>nd refer readers to Supplementary Table S1 for the full dictionary.</w:t>
      </w:r>
    </w:p>
    <w:sectPr>
      <w:pgSz w:w="16838" w:h="11906" w:orient="landscape"/>
      <w:pgMar w:top="397" w:right="397" w:bottom="397" w:left="3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仓耳渔阳体 W05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仓耳渔阳体 W05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9E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1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1727</Characters>
  <Lines>0</Lines>
  <Paragraphs>0</Paragraphs>
  <TotalTime>0</TotalTime>
  <ScaleCrop>false</ScaleCrop>
  <LinksUpToDate>false</LinksUpToDate>
  <CharactersWithSpaces>1919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。。。</cp:lastModifiedBy>
  <dcterms:modified xsi:type="dcterms:W3CDTF">2026-06-08T03:29:12Z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eyJoZGlkIjoiMTkwMjYyYmY5NzU2ZTU1NmYyMmE3NjA3Y2FhNmUzYmEiLCJ1c2VySWQiOiIxMjgwOTE0NTYxIn0=</vt:lpwstr>
  </property>
  <property fmtid="{D5CDD505-2E9C-101B-9397-08002B2CF9AE}" pid="3" name="KSOProductBuildVer">
    <vt:lpwstr>2052-12.1.0.26895</vt:lpwstr>
  </property>
  <property fmtid="{D5CDD505-2E9C-101B-9397-08002B2CF9AE}" pid="4" name="ICV">
    <vt:lpwstr>99ED5E44151145B5ACD6FE596218345F_12</vt:lpwstr>
  </property>
</Properties>
</file>