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73B27">
      <w:pPr>
        <w:widowControl/>
        <w:shd w:val="clear" w:color="auto" w:fill="FFFFFF"/>
        <w:spacing w:after="0" w:line="360" w:lineRule="auto"/>
        <w:rPr>
          <w:rFonts w:ascii="Times New Roman" w:hAnsi="Times New Roman"/>
          <w:b/>
          <w:bCs/>
          <w:kern w:val="0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b/>
          <w:bCs/>
          <w:kern w:val="0"/>
          <w:sz w:val="30"/>
          <w:szCs w:val="30"/>
        </w:rPr>
        <w:t>Highlights：</w:t>
      </w:r>
    </w:p>
    <w:p w14:paraId="0F250E6E">
      <w:pPr>
        <w:widowControl/>
        <w:shd w:val="clear" w:color="auto" w:fill="FFFFFF"/>
        <w:spacing w:after="0" w:line="360" w:lineRule="auto"/>
        <w:jc w:val="both"/>
        <w:rPr>
          <w:rFonts w:ascii="Times New Roman" w:hAnsi="Times New Roman" w:eastAsia="宋体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Foliar methyl jasmonate spray induces kinsenoside synthesis in </w:t>
      </w:r>
      <w:r>
        <w:rPr>
          <w:rFonts w:ascii="Times New Roman" w:hAnsi="Times New Roman" w:eastAsia="宋体"/>
          <w:i/>
          <w:iCs/>
          <w:color w:val="000000"/>
          <w:kern w:val="0"/>
          <w:sz w:val="24"/>
          <w:szCs w:val="24"/>
        </w:rPr>
        <w:t>Anoectochilus roxburghii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, with 50 μmol/L optimal for diploids and 500 μmol/L for tetraploids. Diploid </w:t>
      </w:r>
      <w:r>
        <w:rPr>
          <w:rFonts w:ascii="Times New Roman" w:hAnsi="Times New Roman" w:eastAsia="宋体"/>
          <w:i/>
          <w:iCs/>
          <w:color w:val="000000"/>
          <w:kern w:val="0"/>
          <w:sz w:val="24"/>
          <w:szCs w:val="24"/>
        </w:rPr>
        <w:t>Anoectochilus roxburghii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 reaches maximum kinsenoside content at 1 d post-spraying, while tetraploids peak at 3 d post-spraying with methyl jasmonate treatment.</w:t>
      </w:r>
    </w:p>
    <w:p w14:paraId="1BA73B79">
      <w:pPr>
        <w:widowControl/>
        <w:shd w:val="clear" w:color="auto" w:fill="FFFFFF"/>
        <w:spacing w:after="0" w:line="360" w:lineRule="auto"/>
        <w:jc w:val="both"/>
        <w:rPr>
          <w:rFonts w:ascii="Times New Roman" w:hAnsi="Times New Roman" w:eastAsia="宋体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Methyl jasmonate induces distinct transcriptional regulation and secondary metabolism in diploid and tetraploid </w:t>
      </w:r>
      <w:r>
        <w:rPr>
          <w:rFonts w:ascii="Times New Roman" w:hAnsi="Times New Roman" w:eastAsia="宋体"/>
          <w:i/>
          <w:iCs/>
          <w:color w:val="000000"/>
          <w:kern w:val="0"/>
          <w:sz w:val="24"/>
          <w:szCs w:val="24"/>
        </w:rPr>
        <w:t>Anoectochilus roxburghii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. Transcriptomic analysis reveals distinct transcriptional regulation and secondary metabolic responses to methyl jasmonate in two ploidies of </w:t>
      </w:r>
      <w:r>
        <w:rPr>
          <w:rFonts w:ascii="Times New Roman" w:hAnsi="Times New Roman" w:eastAsia="宋体"/>
          <w:i/>
          <w:iCs/>
          <w:color w:val="000000"/>
          <w:kern w:val="0"/>
          <w:sz w:val="24"/>
          <w:szCs w:val="24"/>
        </w:rPr>
        <w:t>Anoectochilus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/>
          <w:i/>
          <w:iCs/>
          <w:color w:val="000000"/>
          <w:kern w:val="0"/>
          <w:sz w:val="24"/>
          <w:szCs w:val="24"/>
        </w:rPr>
        <w:t>roxburghii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>.</w:t>
      </w:r>
    </w:p>
    <w:p w14:paraId="79A15C8E">
      <w:pPr>
        <w:widowControl/>
        <w:shd w:val="clear" w:color="auto" w:fill="FFFFFF"/>
        <w:spacing w:after="0" w:line="360" w:lineRule="auto"/>
        <w:jc w:val="both"/>
        <w:rPr>
          <w:rFonts w:ascii="Times New Roman" w:hAnsi="Times New Roman" w:eastAsia="宋体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Fifteen core genes associated with kinsenoside biosynthesis are identified via weighted gene co-expression network analysis, which regulate synthesis via hormone signaling and secondary metabolism. </w:t>
      </w:r>
      <w:r>
        <w:rPr>
          <w:rFonts w:ascii="Times New Roman" w:hAnsi="Times New Roman" w:eastAsia="宋体"/>
          <w:i/>
          <w:iCs/>
          <w:color w:val="000000"/>
          <w:kern w:val="0"/>
          <w:sz w:val="24"/>
          <w:szCs w:val="24"/>
        </w:rPr>
        <w:t>UDP-glycosyltransferase 88F3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 is significantly upregulated in both ploidies and potentially mediates kinsenoside glycosylation.</w:t>
      </w:r>
    </w:p>
    <w:p w14:paraId="3E68BE5B">
      <w:pPr>
        <w:widowControl/>
        <w:shd w:val="clear" w:color="auto" w:fill="FFFFFF"/>
        <w:spacing w:after="0" w:line="360" w:lineRule="auto"/>
        <w:jc w:val="both"/>
        <w:rPr>
          <w:rFonts w:ascii="Times New Roman" w:hAnsi="Times New Roman" w:eastAsia="宋体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The study provides a theoretical basis for dissecting kinsenoside biosynthetic pathway in </w:t>
      </w:r>
      <w:r>
        <w:rPr>
          <w:rFonts w:ascii="Times New Roman" w:hAnsi="Times New Roman" w:eastAsia="宋体"/>
          <w:i/>
          <w:iCs/>
          <w:color w:val="000000"/>
          <w:kern w:val="0"/>
          <w:sz w:val="24"/>
          <w:szCs w:val="24"/>
        </w:rPr>
        <w:t>Anoectochilus roxburghii</w:t>
      </w:r>
      <w:r>
        <w:rPr>
          <w:rFonts w:ascii="Times New Roman" w:hAnsi="Times New Roman" w:eastAsia="宋体"/>
          <w:color w:val="000000"/>
          <w:kern w:val="0"/>
          <w:sz w:val="24"/>
          <w:szCs w:val="24"/>
        </w:rPr>
        <w:t xml:space="preserve">. </w:t>
      </w:r>
    </w:p>
    <w:p w14:paraId="28A0BCC1">
      <w:pPr>
        <w:spacing w:line="360" w:lineRule="auto"/>
        <w:rPr>
          <w:rFonts w:ascii="Times New Roman" w:hAnsi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AC1"/>
    <w:rsid w:val="00041C2A"/>
    <w:rsid w:val="00D65AC1"/>
    <w:rsid w:val="03BE0A03"/>
    <w:rsid w:val="20F7119E"/>
    <w:rsid w:val="29D86E80"/>
    <w:rsid w:val="542B10D2"/>
    <w:rsid w:val="5BDE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60" w:line="276" w:lineRule="auto"/>
    </w:pPr>
    <w:rPr>
      <w:rFonts w:ascii="等线" w:hAnsi="等线" w:eastAsia="等线" w:cs="Times New Roman"/>
      <w:kern w:val="2"/>
      <w:sz w:val="22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beforeAutospacing="0" w:after="80" w:line="278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beforeAutospacing="0" w:after="80" w:line="278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beforeAutospacing="0" w:after="80" w:line="278" w:lineRule="auto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beforeAutospacing="0" w:after="40" w:line="278" w:lineRule="auto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beforeAutospacing="0" w:after="40" w:line="278" w:lineRule="auto"/>
      <w:outlineLvl w:val="4"/>
    </w:pPr>
    <w:rPr>
      <w:rFonts w:asciiTheme="minorHAnsi" w:hAnsiTheme="minorHAnsi" w:eastAsiaTheme="minorEastAsia"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beforeAutospacing="0" w:after="0" w:line="278" w:lineRule="auto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szCs w:val="24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beforeAutospacing="0" w:after="0" w:line="278" w:lineRule="auto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before="0" w:beforeAutospacing="0" w:after="0" w:line="278" w:lineRule="auto"/>
      <w:outlineLvl w:val="7"/>
    </w:pPr>
    <w:rPr>
      <w:rFonts w:asciiTheme="minorHAnsi" w:hAnsiTheme="minorHAnsi" w:eastAsiaTheme="minorEastAsia" w:cstheme="majorBidi"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before="0" w:beforeAutospacing="0" w:after="0" w:line="278" w:lineRule="auto"/>
      <w:outlineLvl w:val="8"/>
    </w:pPr>
    <w:rPr>
      <w:rFonts w:asciiTheme="minorHAnsi" w:hAnsiTheme="minorHAnsi" w:eastAsiaTheme="majorEastAsia" w:cstheme="majorBidi"/>
      <w:color w:val="595959" w:themeColor="text1" w:themeTint="A6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before="0" w:beforeAutospacing="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spacing w:before="0" w:beforeAutospacing="0"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beforeAutospacing="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before="0" w:beforeAutospacing="0" w:line="278" w:lineRule="auto"/>
      <w:ind w:left="720"/>
      <w:contextualSpacing/>
    </w:pPr>
    <w:rPr>
      <w:rFonts w:asciiTheme="minorHAnsi" w:hAnsiTheme="minorHAnsi" w:eastAsiaTheme="minorEastAsia" w:cstheme="minorBidi"/>
      <w:szCs w:val="24"/>
      <w14:ligatures w14:val="standardContextual"/>
    </w:r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beforeAutospacing="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szCs w:val="24"/>
      <w14:ligatures w14:val="standardContextual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954</Characters>
  <Lines>7</Lines>
  <Paragraphs>2</Paragraphs>
  <TotalTime>1</TotalTime>
  <ScaleCrop>false</ScaleCrop>
  <LinksUpToDate>false</LinksUpToDate>
  <CharactersWithSpaces>1079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2026-03-25T07:33:00Z</dcterms:created>
  <dc:creator>美春 丘</dc:creator>
  <cp:lastModifiedBy>丘美春</cp:lastModifiedBy>
  <dcterms:modified xsi:type="dcterms:W3CDTF">2026-06-08T01:45:10Z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4e88937d-eee6-4e12-b7a9-71dbef3e3d49</vt:lpwstr>
  </property>
  <property fmtid="{D5CDD505-2E9C-101B-9397-08002B2CF9AE}" pid="3" name="KSOProductBuildVer">
    <vt:lpwstr>2052-12.1.0.26895</vt:lpwstr>
  </property>
  <property fmtid="{D5CDD505-2E9C-101B-9397-08002B2CF9AE}" pid="4" name="ICV">
    <vt:lpwstr>5611815C26F64E788AD17037C2828F58_13</vt:lpwstr>
  </property>
  <property fmtid="{D5CDD505-2E9C-101B-9397-08002B2CF9AE}" pid="5" name="KSOTemplateDocerSaveRecord">
    <vt:lpwstr>eyJoZGlkIjoiNDBkMGJmNDBmZTcyMjRmZjAxMjI5YjlhODZmODlkYmMiLCJ1c2VySWQiOiIxNzQ2MTM0ODQ5In0=</vt:lpwstr>
  </property>
</Properties>
</file>