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3FC0" w14:textId="77777777" w:rsidR="001915C8" w:rsidRDefault="001915C8" w:rsidP="001915C8">
      <w:pPr>
        <w:pStyle w:val="Heading1"/>
      </w:pPr>
      <w:r>
        <w:t>Supplementary Appendix A: Technical Statistical Details</w:t>
      </w:r>
    </w:p>
    <w:p w14:paraId="48776046" w14:textId="77777777" w:rsidR="001915C8" w:rsidRDefault="001915C8" w:rsidP="001915C8">
      <w:pPr>
        <w:spacing w:after="200"/>
      </w:pPr>
      <w:r>
        <w:rPr>
          <w:i/>
          <w:iCs/>
        </w:rPr>
        <w:t>This appendix contains technical details for statistically-oriented readers; the main text provides a conceptual overview sufficient to evaluate the study findings.</w:t>
      </w:r>
    </w:p>
    <w:p w14:paraId="26B527C3" w14:textId="77777777" w:rsidR="001915C8" w:rsidRDefault="001915C8" w:rsidP="001915C8">
      <w:pPr>
        <w:pStyle w:val="Heading2"/>
      </w:pPr>
      <w:r>
        <w:t>A.1 Prior Distributions</w:t>
      </w:r>
    </w:p>
    <w:p w14:paraId="0EC31E83" w14:textId="77777777" w:rsidR="001915C8" w:rsidRDefault="001915C8" w:rsidP="001915C8">
      <w:pPr>
        <w:spacing w:after="160"/>
      </w:pPr>
      <w:r>
        <w:t>Weakly informative priors were specified to constrain estimates to plausible ranges while allowing the data to dominate inference:</w:t>
      </w:r>
    </w:p>
    <w:p w14:paraId="6E7643AE" w14:textId="77777777" w:rsidR="001915C8" w:rsidRDefault="001915C8" w:rsidP="001915C8">
      <w:pPr>
        <w:pStyle w:val="ListParagraph"/>
        <w:numPr>
          <w:ilvl w:val="0"/>
          <w:numId w:val="1"/>
        </w:numPr>
        <w:spacing w:after="80"/>
        <w:contextualSpacing w:val="0"/>
      </w:pPr>
      <w:r>
        <w:t>Global intercept: α ~ Normal(0, 1) [~25–75% on the probability scale]</w:t>
      </w:r>
    </w:p>
    <w:p w14:paraId="4A0F5DFA" w14:textId="77777777" w:rsidR="001915C8" w:rsidRPr="00C83850" w:rsidRDefault="001915C8" w:rsidP="001915C8">
      <w:pPr>
        <w:pStyle w:val="ListParagraph"/>
        <w:numPr>
          <w:ilvl w:val="0"/>
          <w:numId w:val="1"/>
        </w:numPr>
        <w:spacing w:after="80"/>
        <w:contextualSpacing w:val="0"/>
        <w:rPr>
          <w:lang w:val="fr-FR"/>
        </w:rPr>
      </w:pPr>
      <w:r w:rsidRPr="00C83850">
        <w:rPr>
          <w:lang w:val="fr-FR"/>
        </w:rPr>
        <w:t xml:space="preserve">Temporal trends: </w:t>
      </w:r>
      <w:r>
        <w:t>β</w:t>
      </w:r>
      <w:r w:rsidRPr="00C83850">
        <w:rPr>
          <w:lang w:val="fr-FR"/>
        </w:rPr>
        <w:t xml:space="preserve">1 ~ Normal(0, 0.5), </w:t>
      </w:r>
      <w:r>
        <w:t>β</w:t>
      </w:r>
      <w:r w:rsidRPr="00C83850">
        <w:rPr>
          <w:lang w:val="fr-FR"/>
        </w:rPr>
        <w:t>2 ~ Normal(0, 0.5)</w:t>
      </w:r>
    </w:p>
    <w:p w14:paraId="4A950BB9" w14:textId="77777777" w:rsidR="001915C8" w:rsidRDefault="001915C8" w:rsidP="001915C8">
      <w:pPr>
        <w:pStyle w:val="ListParagraph"/>
        <w:numPr>
          <w:ilvl w:val="0"/>
          <w:numId w:val="1"/>
        </w:numPr>
        <w:spacing w:after="80"/>
        <w:contextualSpacing w:val="0"/>
      </w:pPr>
      <w:r>
        <w:t>Disease-specific SD: σ_δ ~ HalfNormal(0.2)</w:t>
      </w:r>
    </w:p>
    <w:p w14:paraId="52EF921F" w14:textId="77777777" w:rsidR="001915C8" w:rsidRDefault="001915C8" w:rsidP="001915C8">
      <w:pPr>
        <w:pStyle w:val="ListParagraph"/>
        <w:numPr>
          <w:ilvl w:val="0"/>
          <w:numId w:val="1"/>
        </w:numPr>
        <w:spacing w:after="80"/>
        <w:contextualSpacing w:val="0"/>
      </w:pPr>
      <w:r>
        <w:t>Trial-level SD: σ_ε ~ HalfNormal(0.3)</w:t>
      </w:r>
    </w:p>
    <w:p w14:paraId="4BC587E7" w14:textId="77777777" w:rsidR="001915C8" w:rsidRDefault="001915C8" w:rsidP="001915C8">
      <w:pPr>
        <w:pStyle w:val="ListParagraph"/>
        <w:numPr>
          <w:ilvl w:val="0"/>
          <w:numId w:val="1"/>
        </w:numPr>
        <w:spacing w:after="80"/>
        <w:contextualSpacing w:val="0"/>
      </w:pPr>
      <w:r>
        <w:t>Disease-specific offsets (non-centered): δd = μ_δ + σ_δ × δd,raw, where δd,raw ~ Normal(0, 1)</w:t>
      </w:r>
    </w:p>
    <w:p w14:paraId="73FB7E2F" w14:textId="77777777" w:rsidR="001915C8" w:rsidRDefault="001915C8" w:rsidP="001915C8">
      <w:pPr>
        <w:spacing w:after="160"/>
      </w:pPr>
      <w:r>
        <w:t>Prior sensitivity analysis confirmed robustness: participation estimates changed &lt;1% and variance decomposition proportions shifted &lt;2 percentage points when priors were widened (σ_δ ~ HalfNormal(1.0)) or tightened (σ_δ ~ HalfNormal(0.1)).</w:t>
      </w:r>
    </w:p>
    <w:p w14:paraId="1224C60A" w14:textId="77777777" w:rsidR="001915C8" w:rsidRDefault="001915C8" w:rsidP="001915C8">
      <w:pPr>
        <w:pStyle w:val="Heading2"/>
      </w:pPr>
      <w:r>
        <w:t>A.2 Sampling Algorithm</w:t>
      </w:r>
    </w:p>
    <w:p w14:paraId="27CE35F1" w14:textId="77777777" w:rsidR="001915C8" w:rsidRDefault="001915C8" w:rsidP="001915C8">
      <w:pPr>
        <w:spacing w:after="160"/>
      </w:pPr>
      <w:r>
        <w:t>Sampling used the No-U-Turn Sampler (NUTS), a Hamiltonian Monte Carlo variant that adapts step size and trajectory length automatically.[9,10] We ran 4 parallel chains with 10,000 iterations each (2,000 warm-up steps discarded), yielding 32,000 posterior draws. Non-centered parameterization was used for disease-specific offsets to improve mixing.</w:t>
      </w:r>
    </w:p>
    <w:p w14:paraId="2CF81CE5" w14:textId="77777777" w:rsidR="001915C8" w:rsidRDefault="001915C8" w:rsidP="001915C8">
      <w:pPr>
        <w:pStyle w:val="Heading2"/>
      </w:pPr>
      <w:r>
        <w:t>A.3 Convergence Diagnostics</w:t>
      </w:r>
    </w:p>
    <w:p w14:paraId="45793576" w14:textId="77777777" w:rsidR="001915C8" w:rsidRDefault="001915C8" w:rsidP="001915C8">
      <w:pPr>
        <w:spacing w:after="160"/>
      </w:pPr>
      <w:r>
        <w:t>All parameters satisfied standard convergence criteria: Gelman-Rubin R̂ &lt; 1.01 (values ≥1.05 indicate non-convergence), effective sample size &gt; 1,000, and visual inspection of trace plots confirmed adequate chain mixing. Energy diagnostic plots showed no divergent transitions.</w:t>
      </w:r>
    </w:p>
    <w:p w14:paraId="5604D984" w14:textId="77777777" w:rsidR="001915C8" w:rsidRDefault="001915C8" w:rsidP="001915C8">
      <w:pPr>
        <w:pStyle w:val="Heading2"/>
      </w:pPr>
      <w:r>
        <w:t>A.4 Variance Decomposition</w:t>
      </w:r>
    </w:p>
    <w:p w14:paraId="13197B24" w14:textId="77777777" w:rsidR="001915C8" w:rsidRDefault="001915C8" w:rsidP="001915C8">
      <w:pPr>
        <w:spacing w:after="160"/>
      </w:pPr>
      <w:r>
        <w:t>For each of 32,000 posterior samples:</w:t>
      </w:r>
    </w:p>
    <w:p w14:paraId="5395D3EB" w14:textId="77777777" w:rsidR="001915C8" w:rsidRPr="00C83850" w:rsidRDefault="001915C8" w:rsidP="001915C8">
      <w:pPr>
        <w:spacing w:after="160"/>
        <w:ind w:left="720"/>
        <w:rPr>
          <w:lang w:val="nb-NO"/>
        </w:rPr>
      </w:pPr>
      <w:r w:rsidRPr="00C83850">
        <w:rPr>
          <w:rFonts w:ascii="Courier New" w:eastAsia="Courier New" w:hAnsi="Courier New" w:cs="Courier New"/>
          <w:lang w:val="nb-NO"/>
        </w:rPr>
        <w:t>Var_total = Var(</w:t>
      </w:r>
      <w:r>
        <w:rPr>
          <w:rFonts w:ascii="Courier New" w:eastAsia="Courier New" w:hAnsi="Courier New" w:cs="Courier New"/>
        </w:rPr>
        <w:t>α</w:t>
      </w:r>
      <w:r w:rsidRPr="00C83850">
        <w:rPr>
          <w:rFonts w:ascii="Courier New" w:eastAsia="Courier New" w:hAnsi="Courier New" w:cs="Courier New"/>
          <w:lang w:val="nb-NO"/>
        </w:rPr>
        <w:t xml:space="preserve"> + </w:t>
      </w:r>
      <w:r>
        <w:rPr>
          <w:rFonts w:ascii="Courier New" w:eastAsia="Courier New" w:hAnsi="Courier New" w:cs="Courier New"/>
        </w:rPr>
        <w:t>β</w:t>
      </w:r>
      <w:r w:rsidRPr="00C83850">
        <w:rPr>
          <w:rFonts w:ascii="Courier New" w:eastAsia="Courier New" w:hAnsi="Courier New" w:cs="Courier New"/>
          <w:lang w:val="nb-NO"/>
        </w:rPr>
        <w:t xml:space="preserve">1t + </w:t>
      </w:r>
      <w:r>
        <w:rPr>
          <w:rFonts w:ascii="Courier New" w:eastAsia="Courier New" w:hAnsi="Courier New" w:cs="Courier New"/>
        </w:rPr>
        <w:t>β</w:t>
      </w:r>
      <w:r w:rsidRPr="00C83850">
        <w:rPr>
          <w:rFonts w:ascii="Courier New" w:eastAsia="Courier New" w:hAnsi="Courier New" w:cs="Courier New"/>
          <w:lang w:val="nb-NO"/>
        </w:rPr>
        <w:t>2t²) + Var(</w:t>
      </w:r>
      <w:r>
        <w:rPr>
          <w:rFonts w:ascii="Courier New" w:eastAsia="Courier New" w:hAnsi="Courier New" w:cs="Courier New"/>
        </w:rPr>
        <w:t>δ</w:t>
      </w:r>
      <w:r w:rsidRPr="00C83850">
        <w:rPr>
          <w:rFonts w:ascii="Courier New" w:eastAsia="Courier New" w:hAnsi="Courier New" w:cs="Courier New"/>
          <w:lang w:val="nb-NO"/>
        </w:rPr>
        <w:t>d) + Var(</w:t>
      </w:r>
      <w:r>
        <w:rPr>
          <w:rFonts w:ascii="Courier New" w:eastAsia="Courier New" w:hAnsi="Courier New" w:cs="Courier New"/>
        </w:rPr>
        <w:t>ε</w:t>
      </w:r>
      <w:r w:rsidRPr="00C83850">
        <w:rPr>
          <w:rFonts w:ascii="Courier New" w:eastAsia="Courier New" w:hAnsi="Courier New" w:cs="Courier New"/>
          <w:lang w:val="nb-NO"/>
        </w:rPr>
        <w:t>)</w:t>
      </w:r>
    </w:p>
    <w:p w14:paraId="35EFAEEC" w14:textId="77777777" w:rsidR="001915C8" w:rsidRDefault="001915C8" w:rsidP="001915C8">
      <w:pPr>
        <w:spacing w:after="160"/>
      </w:pPr>
      <w:r>
        <w:t>Systemic proportion = Var(α + β1t + β2t²) / Var_total; disease-specific proportion = Var(δd) / Var_total. Credible intervals reflect full posterior uncertainty.</w:t>
      </w:r>
    </w:p>
    <w:p w14:paraId="47165153" w14:textId="77777777" w:rsidR="001915C8" w:rsidRDefault="001915C8" w:rsidP="001915C8">
      <w:pPr>
        <w:pStyle w:val="Heading2"/>
      </w:pPr>
      <w:r>
        <w:t>A.5 Model Comparison</w:t>
      </w:r>
    </w:p>
    <w:p w14:paraId="3E3AC2D5" w14:textId="77777777" w:rsidR="001915C8" w:rsidRDefault="001915C8" w:rsidP="001915C8">
      <w:pPr>
        <w:spacing w:after="160"/>
      </w:pPr>
      <w:r>
        <w:t>Leave-one-out cross-validation (LOO-IC) confirmed the full model outperformed simpler alternatives: a non-hierarchical model (omitting δd) performed substantially worse (ΔLOO = 12.7); a linear-only temporal model (omitting β2) also performed worse (ΔLOO = 8.3), supporting inclusion of both components.</w:t>
      </w:r>
    </w:p>
    <w:p w14:paraId="6F512B82" w14:textId="77777777" w:rsidR="001915C8" w:rsidRDefault="001915C8" w:rsidP="001915C8">
      <w:pPr>
        <w:pStyle w:val="Heading2"/>
      </w:pPr>
      <w:r>
        <w:lastRenderedPageBreak/>
        <w:t>A.6 Projection Algorithm</w:t>
      </w:r>
    </w:p>
    <w:p w14:paraId="17FF1B08" w14:textId="77777777" w:rsidR="001915C8" w:rsidRDefault="001915C8" w:rsidP="001915C8">
      <w:pPr>
        <w:spacing w:after="160"/>
      </w:pPr>
      <w:r>
        <w:t>For each of 5,000 posterior parameter samples: (1) project p_{d,t} = invlogit(α + β1t + β2t² + δd) for years 2023–2040; (2) apply stochastic variation: y_pred ~ Binomial(n_ref, p_{d,t}), where n_ref is the median historical trial size per disease; (3) for projections &gt;15 years beyond the last observation, moderate toward the disease-specific mean: p_{d,t} ← λ·p_{d,t} + (1–λ)·invlogit(α + δd), where λ decreases linearly from 1.0 to 0.5 over the 15-year extrapolation window. Projections were bounded at [10%, 65%] to prevent implausible extrapolation. Time to parity for each disease was estimated as the year t* at which invlogit(α + β1t* + β2t*² + δd) = 0.50, solved numerically for each posterior sample.</w:t>
      </w:r>
    </w:p>
    <w:p w14:paraId="3BFB29BA" w14:textId="77777777" w:rsidR="009542D6" w:rsidRDefault="009542D6"/>
    <w:sectPr w:rsidR="009542D6" w:rsidSect="001915C8">
      <w:footerReference w:type="default" r:id="rId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BEAD" w14:textId="77777777" w:rsidR="001915C8" w:rsidRDefault="001915C8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CCC"/>
    <w:multiLevelType w:val="hybridMultilevel"/>
    <w:tmpl w:val="DFD0E66E"/>
    <w:lvl w:ilvl="0" w:tplc="95F41984">
      <w:start w:val="1"/>
      <w:numFmt w:val="bullet"/>
      <w:lvlText w:val="•"/>
      <w:lvlJc w:val="left"/>
      <w:pPr>
        <w:spacing w:after="120"/>
        <w:ind w:left="720" w:hanging="360"/>
      </w:pPr>
    </w:lvl>
    <w:lvl w:ilvl="1" w:tplc="1EA29F44">
      <w:numFmt w:val="decimal"/>
      <w:lvlText w:val=""/>
      <w:lvlJc w:val="left"/>
    </w:lvl>
    <w:lvl w:ilvl="2" w:tplc="5FF6F358">
      <w:numFmt w:val="decimal"/>
      <w:lvlText w:val=""/>
      <w:lvlJc w:val="left"/>
    </w:lvl>
    <w:lvl w:ilvl="3" w:tplc="FD8A3A32">
      <w:numFmt w:val="decimal"/>
      <w:lvlText w:val=""/>
      <w:lvlJc w:val="left"/>
    </w:lvl>
    <w:lvl w:ilvl="4" w:tplc="DC1E20B8">
      <w:numFmt w:val="decimal"/>
      <w:lvlText w:val=""/>
      <w:lvlJc w:val="left"/>
    </w:lvl>
    <w:lvl w:ilvl="5" w:tplc="99560108">
      <w:numFmt w:val="decimal"/>
      <w:lvlText w:val=""/>
      <w:lvlJc w:val="left"/>
    </w:lvl>
    <w:lvl w:ilvl="6" w:tplc="D4682E34">
      <w:numFmt w:val="decimal"/>
      <w:lvlText w:val=""/>
      <w:lvlJc w:val="left"/>
    </w:lvl>
    <w:lvl w:ilvl="7" w:tplc="DBF03022">
      <w:numFmt w:val="decimal"/>
      <w:lvlText w:val=""/>
      <w:lvlJc w:val="left"/>
    </w:lvl>
    <w:lvl w:ilvl="8" w:tplc="DD22134E">
      <w:numFmt w:val="decimal"/>
      <w:lvlText w:val=""/>
      <w:lvlJc w:val="left"/>
    </w:lvl>
  </w:abstractNum>
  <w:num w:numId="1" w16cid:durableId="6807405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C8"/>
    <w:rsid w:val="001915C8"/>
    <w:rsid w:val="00264C10"/>
    <w:rsid w:val="00470242"/>
    <w:rsid w:val="0072038E"/>
    <w:rsid w:val="00726E03"/>
    <w:rsid w:val="009542D6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8D00"/>
  <w15:chartTrackingRefBased/>
  <w15:docId w15:val="{13F8A625-06FC-42DF-819C-4DB0EEB9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C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C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91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2026-06-09T13:59:00Z</dcterms:created>
  <dcterms:modified xsi:type="dcterms:W3CDTF">2026-06-09T14:00:00Z</dcterms:modified>
</cp:coreProperties>
</file>