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89ADC" w14:textId="4BCA15F2" w:rsidR="00BF7538" w:rsidRPr="00BF7538" w:rsidRDefault="00BF7538" w:rsidP="00BF7538">
      <w:pPr>
        <w:jc w:val="both"/>
        <w:rPr>
          <w:rFonts w:ascii="Times New Roman" w:hAnsi="Times New Roman" w:cs="Times New Roman"/>
          <w:sz w:val="24"/>
          <w:szCs w:val="24"/>
        </w:rPr>
      </w:pPr>
      <w:r w:rsidRPr="00BF7538">
        <w:rPr>
          <w:rFonts w:ascii="Times New Roman" w:hAnsi="Times New Roman" w:cs="Times New Roman"/>
          <w:b/>
          <w:bCs/>
          <w:sz w:val="24"/>
          <w:szCs w:val="24"/>
        </w:rPr>
        <w:t>Supplementary Table S2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F7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7538">
        <w:rPr>
          <w:rFonts w:ascii="Times New Roman" w:hAnsi="Times New Roman" w:cs="Times New Roman"/>
          <w:sz w:val="24"/>
          <w:szCs w:val="24"/>
        </w:rPr>
        <w:t>Restricted cubic spline analysis of child age (months) for caretaker</w:t>
      </w:r>
      <w:r w:rsidRPr="00BF7538">
        <w:rPr>
          <w:rFonts w:ascii="Times New Roman" w:hAnsi="Times New Roman" w:cs="Times New Roman"/>
          <w:sz w:val="24"/>
          <w:szCs w:val="24"/>
        </w:rPr>
        <w:noBreakHyphen/>
        <w:t>reported pneumonia</w:t>
      </w:r>
      <w:r w:rsidRPr="00BF7538">
        <w:rPr>
          <w:rFonts w:ascii="Times New Roman" w:hAnsi="Times New Roman" w:cs="Times New Roman"/>
          <w:sz w:val="24"/>
          <w:szCs w:val="24"/>
        </w:rPr>
        <w:noBreakHyphen/>
        <w:t>like illness – full multilevel model (multiple imputation primary analysis).</w:t>
      </w:r>
    </w:p>
    <w:p w14:paraId="7599D84A" w14:textId="77777777" w:rsidR="00BF7538" w:rsidRPr="00BF7538" w:rsidRDefault="00BF7538" w:rsidP="00BF7538">
      <w:pPr>
        <w:jc w:val="both"/>
        <w:rPr>
          <w:rFonts w:ascii="Times New Roman" w:hAnsi="Times New Roman" w:cs="Times New Roman"/>
          <w:sz w:val="24"/>
          <w:szCs w:val="24"/>
        </w:rPr>
      </w:pPr>
      <w:r w:rsidRPr="00BF7538">
        <w:rPr>
          <w:rFonts w:ascii="Times New Roman" w:hAnsi="Times New Roman" w:cs="Times New Roman"/>
          <w:sz w:val="24"/>
          <w:szCs w:val="24"/>
        </w:rPr>
        <w:t>Restricted cubic splines with three knots placed at the 10th, 50th, and 90th percentiles of child age (months): 3 months, 18 months, and 48 months. Model adjusted for all covariates in the full model (Table 3 of main manuscript). Results pooled across 20 multiply imputed datasets using Rubin’s rules. Spline terms are the non</w:t>
      </w:r>
      <w:r w:rsidRPr="00BF7538">
        <w:rPr>
          <w:rFonts w:ascii="Times New Roman" w:hAnsi="Times New Roman" w:cs="Times New Roman"/>
          <w:sz w:val="24"/>
          <w:szCs w:val="24"/>
        </w:rPr>
        <w:noBreakHyphen/>
        <w:t>linear basis functions. The linear component represents the overall log</w:t>
      </w:r>
      <w:r w:rsidRPr="00BF7538">
        <w:rPr>
          <w:rFonts w:ascii="Times New Roman" w:hAnsi="Times New Roman" w:cs="Times New Roman"/>
          <w:sz w:val="24"/>
          <w:szCs w:val="24"/>
        </w:rPr>
        <w:noBreakHyphen/>
        <w:t>odds change per month, while spline 1 and spline 2 test departures from linearity. A non</w:t>
      </w:r>
      <w:r w:rsidRPr="00BF7538">
        <w:rPr>
          <w:rFonts w:ascii="Times New Roman" w:hAnsi="Times New Roman" w:cs="Times New Roman"/>
          <w:sz w:val="24"/>
          <w:szCs w:val="24"/>
        </w:rPr>
        <w:noBreakHyphen/>
        <w:t>significant overall test (p = 0.217) indicates that the linear specification is adequate.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25"/>
        <w:gridCol w:w="2260"/>
        <w:gridCol w:w="696"/>
        <w:gridCol w:w="901"/>
        <w:gridCol w:w="837"/>
        <w:gridCol w:w="2457"/>
      </w:tblGrid>
      <w:tr w:rsidR="00AB39BA" w:rsidRPr="00AB39BA" w14:paraId="4CC78E3C" w14:textId="77777777" w:rsidTr="00AB39BA">
        <w:tc>
          <w:tcPr>
            <w:tcW w:w="0" w:type="auto"/>
            <w:hideMark/>
          </w:tcPr>
          <w:p w14:paraId="3FF9385A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Analytic sample</w:t>
            </w:r>
          </w:p>
        </w:tc>
        <w:tc>
          <w:tcPr>
            <w:tcW w:w="0" w:type="auto"/>
            <w:hideMark/>
          </w:tcPr>
          <w:p w14:paraId="56F3B7D3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Vaccination estimate</w:t>
            </w:r>
          </w:p>
        </w:tc>
        <w:tc>
          <w:tcPr>
            <w:tcW w:w="0" w:type="auto"/>
            <w:hideMark/>
          </w:tcPr>
          <w:p w14:paraId="5EDFFF67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aOR</w:t>
            </w:r>
          </w:p>
        </w:tc>
        <w:tc>
          <w:tcPr>
            <w:tcW w:w="0" w:type="auto"/>
            <w:hideMark/>
          </w:tcPr>
          <w:p w14:paraId="525605E2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  <w:hideMark/>
          </w:tcPr>
          <w:p w14:paraId="492C856B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0" w:type="auto"/>
            <w:hideMark/>
          </w:tcPr>
          <w:p w14:paraId="4C073D4D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</w:t>
            </w:r>
          </w:p>
        </w:tc>
      </w:tr>
      <w:tr w:rsidR="00AB39BA" w:rsidRPr="00AB39BA" w14:paraId="04ECC003" w14:textId="77777777" w:rsidTr="00AB39BA">
        <w:tc>
          <w:tcPr>
            <w:tcW w:w="0" w:type="auto"/>
            <w:hideMark/>
          </w:tcPr>
          <w:p w14:paraId="1EA876C8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All ages, complete-case (n = 5,448)</w:t>
            </w:r>
          </w:p>
        </w:tc>
        <w:tc>
          <w:tcPr>
            <w:tcW w:w="0" w:type="auto"/>
            <w:hideMark/>
          </w:tcPr>
          <w:p w14:paraId="3FE1881C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Full vaccination (all 0–59 months)</w:t>
            </w:r>
          </w:p>
        </w:tc>
        <w:tc>
          <w:tcPr>
            <w:tcW w:w="0" w:type="auto"/>
            <w:hideMark/>
          </w:tcPr>
          <w:p w14:paraId="4A2F6F84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0" w:type="auto"/>
            <w:hideMark/>
          </w:tcPr>
          <w:p w14:paraId="18D5F086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1.16–1.79</w:t>
            </w:r>
          </w:p>
        </w:tc>
        <w:tc>
          <w:tcPr>
            <w:tcW w:w="0" w:type="auto"/>
            <w:hideMark/>
          </w:tcPr>
          <w:p w14:paraId="627908CA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hideMark/>
          </w:tcPr>
          <w:p w14:paraId="58530B7E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Biased — not a valid substantive estimate</w:t>
            </w:r>
          </w:p>
        </w:tc>
      </w:tr>
      <w:tr w:rsidR="00AB39BA" w:rsidRPr="00AB39BA" w14:paraId="4D20FBA3" w14:textId="77777777" w:rsidTr="00AB39BA">
        <w:tc>
          <w:tcPr>
            <w:tcW w:w="0" w:type="auto"/>
            <w:hideMark/>
          </w:tcPr>
          <w:p w14:paraId="098EE166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Age-restricted, complete-case (n = 1,911)</w:t>
            </w:r>
          </w:p>
        </w:tc>
        <w:tc>
          <w:tcPr>
            <w:tcW w:w="0" w:type="auto"/>
            <w:hideMark/>
          </w:tcPr>
          <w:p w14:paraId="4969C345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Full vaccination (12–23 months only)</w:t>
            </w:r>
          </w:p>
        </w:tc>
        <w:tc>
          <w:tcPr>
            <w:tcW w:w="0" w:type="auto"/>
            <w:hideMark/>
          </w:tcPr>
          <w:p w14:paraId="79751743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hideMark/>
          </w:tcPr>
          <w:p w14:paraId="1C0A6672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0.85–1.66</w:t>
            </w:r>
          </w:p>
        </w:tc>
        <w:tc>
          <w:tcPr>
            <w:tcW w:w="0" w:type="auto"/>
            <w:hideMark/>
          </w:tcPr>
          <w:p w14:paraId="5608D5B1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0" w:type="auto"/>
            <w:hideMark/>
          </w:tcPr>
          <w:p w14:paraId="2BFABC92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Sensitivity estimate; consistent with primary</w:t>
            </w:r>
          </w:p>
        </w:tc>
      </w:tr>
      <w:tr w:rsidR="00AB39BA" w:rsidRPr="00AB39BA" w14:paraId="4B5C444A" w14:textId="77777777" w:rsidTr="00AB39BA">
        <w:tc>
          <w:tcPr>
            <w:tcW w:w="0" w:type="auto"/>
            <w:hideMark/>
          </w:tcPr>
          <w:p w14:paraId="05628AD0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Age-restricted, primary MI analysis (n = 1,911)</w:t>
            </w:r>
          </w:p>
        </w:tc>
        <w:tc>
          <w:tcPr>
            <w:tcW w:w="0" w:type="auto"/>
            <w:hideMark/>
          </w:tcPr>
          <w:p w14:paraId="307404F0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Full vaccination (12–23 months only)</w:t>
            </w:r>
          </w:p>
        </w:tc>
        <w:tc>
          <w:tcPr>
            <w:tcW w:w="0" w:type="auto"/>
            <w:hideMark/>
          </w:tcPr>
          <w:p w14:paraId="6DEE2794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hideMark/>
          </w:tcPr>
          <w:p w14:paraId="6471420A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0.84–1.62</w:t>
            </w:r>
          </w:p>
        </w:tc>
        <w:tc>
          <w:tcPr>
            <w:tcW w:w="0" w:type="auto"/>
            <w:hideMark/>
          </w:tcPr>
          <w:p w14:paraId="67FF5B6A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0" w:type="auto"/>
            <w:hideMark/>
          </w:tcPr>
          <w:p w14:paraId="4A62CCEC" w14:textId="77777777" w:rsidR="00AB39BA" w:rsidRPr="00AB39BA" w:rsidRDefault="00AB39BA" w:rsidP="00AB39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Primary estimate</w:t>
            </w:r>
          </w:p>
        </w:tc>
      </w:tr>
    </w:tbl>
    <w:p w14:paraId="2DB49A75" w14:textId="77777777" w:rsidR="00AB39BA" w:rsidRPr="00AB39BA" w:rsidRDefault="00AB39BA" w:rsidP="00AB39BA">
      <w:pPr>
        <w:jc w:val="both"/>
        <w:rPr>
          <w:rFonts w:ascii="Times New Roman" w:hAnsi="Times New Roman" w:cs="Times New Roman"/>
          <w:sz w:val="24"/>
          <w:szCs w:val="24"/>
        </w:rPr>
      </w:pPr>
      <w:r w:rsidRPr="00AB39BA">
        <w:rPr>
          <w:rFonts w:ascii="Times New Roman" w:hAnsi="Times New Roman" w:cs="Times New Roman"/>
          <w:i/>
          <w:iCs/>
          <w:sz w:val="24"/>
          <w:szCs w:val="24"/>
        </w:rPr>
        <w:t>aOR = adjusted odds ratio from multilevel logistic regression, adjusted for all covariates in the full model (Table 3). MI = multiple imputation (20 datasets, Rubin's rules). The all-ages estimate (row 1) is presented solely to illustrate the misclassification problem arising from application of the DHS full vaccination indicator outside the 12–</w:t>
      </w:r>
      <w:proofErr w:type="gramStart"/>
      <w:r w:rsidRPr="00AB39BA">
        <w:rPr>
          <w:rFonts w:ascii="Times New Roman" w:hAnsi="Times New Roman" w:cs="Times New Roman"/>
          <w:i/>
          <w:iCs/>
          <w:sz w:val="24"/>
          <w:szCs w:val="24"/>
        </w:rPr>
        <w:t>23 month</w:t>
      </w:r>
      <w:proofErr w:type="gramEnd"/>
      <w:r w:rsidRPr="00AB39BA">
        <w:rPr>
          <w:rFonts w:ascii="Times New Roman" w:hAnsi="Times New Roman" w:cs="Times New Roman"/>
          <w:i/>
          <w:iCs/>
          <w:sz w:val="24"/>
          <w:szCs w:val="24"/>
        </w:rPr>
        <w:t xml:space="preserve"> age window for which it is valid: older unvaccinated children are systematically misclassified as incompletely vaccinated, inflating the apparent positive association between vaccination and ARI symptoms. This estimate should not be cited or interpreted as a substantive finding. The age-restricted complete-case estimate (row 2) and the age-restricted primary multiple imputation estimate (row 3) are mutually consistent and represent the valid analytical results for the vaccination–ARI association in this study.</w:t>
      </w:r>
    </w:p>
    <w:p w14:paraId="6FB5FA09" w14:textId="77777777" w:rsidR="00476248" w:rsidRPr="00AB39BA" w:rsidRDefault="00476248" w:rsidP="00AB39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6248" w:rsidRPr="00AB39BA" w:rsidSect="00DC2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0C"/>
    <w:rsid w:val="002E5DBB"/>
    <w:rsid w:val="00371D6A"/>
    <w:rsid w:val="0045260C"/>
    <w:rsid w:val="00476248"/>
    <w:rsid w:val="005C0BA1"/>
    <w:rsid w:val="00664094"/>
    <w:rsid w:val="00674D43"/>
    <w:rsid w:val="009F5DE4"/>
    <w:rsid w:val="00AB39BA"/>
    <w:rsid w:val="00BF7538"/>
    <w:rsid w:val="00DC2681"/>
    <w:rsid w:val="00FD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8CBBF"/>
  <w15:chartTrackingRefBased/>
  <w15:docId w15:val="{8486D61F-C856-4DB0-89DB-EDEB6A27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60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60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60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6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60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60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60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6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6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6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6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6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6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60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6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60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60C"/>
    <w:rPr>
      <w:b/>
      <w:bCs/>
      <w:smallCaps/>
      <w:color w:val="365F9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AB39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Adda Balinia Richmond</dc:creator>
  <cp:keywords/>
  <dc:description/>
  <cp:lastModifiedBy>Adda Balinia Richmond</cp:lastModifiedBy>
  <cp:revision>3</cp:revision>
  <dcterms:created xsi:type="dcterms:W3CDTF">2026-06-07T23:08:00Z</dcterms:created>
  <dcterms:modified xsi:type="dcterms:W3CDTF">2026-06-10T12:17:00Z</dcterms:modified>
</cp:coreProperties>
</file>