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CDE40" w14:textId="75D16662" w:rsidR="005C0907" w:rsidRPr="00D15665" w:rsidRDefault="005C0907" w:rsidP="005C0907">
      <w:pPr>
        <w:rPr>
          <w:rFonts w:ascii="Times New Roman" w:hAnsi="Times New Roman" w:cs="Times New Roman"/>
          <w:sz w:val="24"/>
          <w:szCs w:val="24"/>
        </w:rPr>
      </w:pPr>
      <w:r w:rsidRPr="005C0907">
        <w:rPr>
          <w:rFonts w:ascii="Times New Roman" w:hAnsi="Times New Roman" w:cs="Times New Roman"/>
          <w:b/>
          <w:bCs/>
          <w:sz w:val="24"/>
          <w:szCs w:val="24"/>
        </w:rPr>
        <w:t>Supplementary Table S3</w:t>
      </w:r>
      <w:r w:rsidR="00D15665">
        <w:rPr>
          <w:rFonts w:ascii="Times New Roman" w:hAnsi="Times New Roman" w:cs="Times New Roman"/>
          <w:b/>
          <w:bCs/>
          <w:sz w:val="24"/>
          <w:szCs w:val="24"/>
        </w:rPr>
        <w:t>:</w:t>
      </w:r>
      <w:r w:rsidRPr="005C0907">
        <w:rPr>
          <w:rFonts w:ascii="Times New Roman" w:hAnsi="Times New Roman" w:cs="Times New Roman"/>
          <w:b/>
          <w:bCs/>
          <w:sz w:val="24"/>
          <w:szCs w:val="24"/>
        </w:rPr>
        <w:t xml:space="preserve"> </w:t>
      </w:r>
      <w:r w:rsidRPr="00D15665">
        <w:rPr>
          <w:rFonts w:ascii="Times New Roman" w:hAnsi="Times New Roman" w:cs="Times New Roman"/>
          <w:sz w:val="24"/>
          <w:szCs w:val="24"/>
        </w:rPr>
        <w:t>Urban‑rural stratified multilevel logistic regression models for caretaker‑reported pneumonia‑like illness (multiple imputation primary estimates).</w:t>
      </w:r>
    </w:p>
    <w:p w14:paraId="5487127B" w14:textId="77777777" w:rsidR="005C0907" w:rsidRPr="00D15665" w:rsidRDefault="005C0907" w:rsidP="005C0907">
      <w:pPr>
        <w:rPr>
          <w:rFonts w:ascii="Times New Roman" w:hAnsi="Times New Roman" w:cs="Times New Roman"/>
          <w:sz w:val="24"/>
          <w:szCs w:val="24"/>
        </w:rPr>
      </w:pPr>
      <w:r w:rsidRPr="00D15665">
        <w:rPr>
          <w:rFonts w:ascii="Times New Roman" w:hAnsi="Times New Roman" w:cs="Times New Roman"/>
          <w:sz w:val="24"/>
          <w:szCs w:val="24"/>
        </w:rPr>
        <w:t>Stratified analysis by place of residence (urban vs. rural) to assess effect modification. Models include all predictors shown; each model is a separate random‑intercept logistic regression with cluster‑level random effects. Vaccination estimates are derived from the age‑restricted sample (children aged 12–23 months) to avoid misclassification of the DHS full vaccination indicator. Interaction p‑value from combined model with residence × predictor interaction term; all p‑interaction &gt; 0.05, indicating no statistically significant effect modification by residence. Stratum‑specific estimates are presented for transparency but should be interpreted with caution due to reduced sample sizes in the age‑restricted subgroup.</w:t>
      </w:r>
    </w:p>
    <w:p w14:paraId="5CDCD6FB" w14:textId="77777777" w:rsidR="005C0907" w:rsidRPr="005C0907" w:rsidRDefault="005C0907" w:rsidP="005C0907">
      <w:pPr>
        <w:rPr>
          <w:rFonts w:ascii="Times New Roman" w:hAnsi="Times New Roman" w:cs="Times New Roman"/>
          <w:b/>
          <w:bCs/>
          <w:sz w:val="24"/>
          <w:szCs w:val="24"/>
        </w:rPr>
      </w:pPr>
    </w:p>
    <w:tbl>
      <w:tblPr>
        <w:tblStyle w:val="TableGridLight"/>
        <w:tblW w:w="9783" w:type="dxa"/>
        <w:tblLook w:val="04A0" w:firstRow="1" w:lastRow="0" w:firstColumn="1" w:lastColumn="0" w:noHBand="0" w:noVBand="1"/>
      </w:tblPr>
      <w:tblGrid>
        <w:gridCol w:w="3151"/>
        <w:gridCol w:w="1181"/>
        <w:gridCol w:w="1360"/>
        <w:gridCol w:w="1113"/>
        <w:gridCol w:w="1302"/>
        <w:gridCol w:w="1676"/>
      </w:tblGrid>
      <w:tr w:rsidR="00D15665" w:rsidRPr="00D15665" w14:paraId="4CA0C293" w14:textId="77777777" w:rsidTr="00D15665">
        <w:tc>
          <w:tcPr>
            <w:tcW w:w="0" w:type="auto"/>
            <w:hideMark/>
          </w:tcPr>
          <w:p w14:paraId="39393D7A" w14:textId="77777777" w:rsidR="00D15665" w:rsidRPr="00D15665" w:rsidRDefault="00D15665" w:rsidP="00D15665">
            <w:pPr>
              <w:spacing w:after="160" w:line="259" w:lineRule="auto"/>
              <w:rPr>
                <w:rFonts w:ascii="Times New Roman" w:hAnsi="Times New Roman" w:cs="Times New Roman"/>
                <w:b/>
                <w:bCs/>
                <w:sz w:val="24"/>
                <w:szCs w:val="24"/>
              </w:rPr>
            </w:pPr>
            <w:r w:rsidRPr="00D15665">
              <w:rPr>
                <w:rFonts w:ascii="Times New Roman" w:hAnsi="Times New Roman" w:cs="Times New Roman"/>
                <w:b/>
                <w:bCs/>
                <w:sz w:val="24"/>
                <w:szCs w:val="24"/>
              </w:rPr>
              <w:t>Predictor</w:t>
            </w:r>
          </w:p>
        </w:tc>
        <w:tc>
          <w:tcPr>
            <w:tcW w:w="0" w:type="auto"/>
            <w:hideMark/>
          </w:tcPr>
          <w:p w14:paraId="63F854F9" w14:textId="77777777" w:rsidR="00D15665" w:rsidRPr="00D15665" w:rsidRDefault="00D15665" w:rsidP="00D15665">
            <w:pPr>
              <w:spacing w:after="160" w:line="259" w:lineRule="auto"/>
              <w:rPr>
                <w:rFonts w:ascii="Times New Roman" w:hAnsi="Times New Roman" w:cs="Times New Roman"/>
                <w:b/>
                <w:bCs/>
                <w:sz w:val="24"/>
                <w:szCs w:val="24"/>
              </w:rPr>
            </w:pPr>
            <w:r w:rsidRPr="00D15665">
              <w:rPr>
                <w:rFonts w:ascii="Times New Roman" w:hAnsi="Times New Roman" w:cs="Times New Roman"/>
                <w:b/>
                <w:bCs/>
                <w:sz w:val="24"/>
                <w:szCs w:val="24"/>
              </w:rPr>
              <w:t>Urban aOR</w:t>
            </w:r>
          </w:p>
        </w:tc>
        <w:tc>
          <w:tcPr>
            <w:tcW w:w="0" w:type="auto"/>
            <w:hideMark/>
          </w:tcPr>
          <w:p w14:paraId="48E0C4A0" w14:textId="77777777" w:rsidR="00D15665" w:rsidRPr="00D15665" w:rsidRDefault="00D15665" w:rsidP="00D15665">
            <w:pPr>
              <w:spacing w:after="160" w:line="259" w:lineRule="auto"/>
              <w:rPr>
                <w:rFonts w:ascii="Times New Roman" w:hAnsi="Times New Roman" w:cs="Times New Roman"/>
                <w:b/>
                <w:bCs/>
                <w:sz w:val="24"/>
                <w:szCs w:val="24"/>
              </w:rPr>
            </w:pPr>
            <w:r w:rsidRPr="00D15665">
              <w:rPr>
                <w:rFonts w:ascii="Times New Roman" w:hAnsi="Times New Roman" w:cs="Times New Roman"/>
                <w:b/>
                <w:bCs/>
                <w:sz w:val="24"/>
                <w:szCs w:val="24"/>
              </w:rPr>
              <w:t>Urban 95% CI</w:t>
            </w:r>
          </w:p>
        </w:tc>
        <w:tc>
          <w:tcPr>
            <w:tcW w:w="0" w:type="auto"/>
            <w:hideMark/>
          </w:tcPr>
          <w:p w14:paraId="71E404BD" w14:textId="77777777" w:rsidR="00D15665" w:rsidRPr="00D15665" w:rsidRDefault="00D15665" w:rsidP="00D15665">
            <w:pPr>
              <w:spacing w:after="160" w:line="259" w:lineRule="auto"/>
              <w:rPr>
                <w:rFonts w:ascii="Times New Roman" w:hAnsi="Times New Roman" w:cs="Times New Roman"/>
                <w:b/>
                <w:bCs/>
                <w:sz w:val="24"/>
                <w:szCs w:val="24"/>
              </w:rPr>
            </w:pPr>
            <w:r w:rsidRPr="00D15665">
              <w:rPr>
                <w:rFonts w:ascii="Times New Roman" w:hAnsi="Times New Roman" w:cs="Times New Roman"/>
                <w:b/>
                <w:bCs/>
                <w:sz w:val="24"/>
                <w:szCs w:val="24"/>
              </w:rPr>
              <w:t>Rural aOR</w:t>
            </w:r>
          </w:p>
        </w:tc>
        <w:tc>
          <w:tcPr>
            <w:tcW w:w="0" w:type="auto"/>
            <w:hideMark/>
          </w:tcPr>
          <w:p w14:paraId="5396C5F6" w14:textId="77777777" w:rsidR="00D15665" w:rsidRPr="00D15665" w:rsidRDefault="00D15665" w:rsidP="00D15665">
            <w:pPr>
              <w:spacing w:after="160" w:line="259" w:lineRule="auto"/>
              <w:rPr>
                <w:rFonts w:ascii="Times New Roman" w:hAnsi="Times New Roman" w:cs="Times New Roman"/>
                <w:b/>
                <w:bCs/>
                <w:sz w:val="24"/>
                <w:szCs w:val="24"/>
              </w:rPr>
            </w:pPr>
            <w:r w:rsidRPr="00D15665">
              <w:rPr>
                <w:rFonts w:ascii="Times New Roman" w:hAnsi="Times New Roman" w:cs="Times New Roman"/>
                <w:b/>
                <w:bCs/>
                <w:sz w:val="24"/>
                <w:szCs w:val="24"/>
              </w:rPr>
              <w:t>Rural 95% CI</w:t>
            </w:r>
          </w:p>
        </w:tc>
        <w:tc>
          <w:tcPr>
            <w:tcW w:w="1676" w:type="dxa"/>
            <w:hideMark/>
          </w:tcPr>
          <w:p w14:paraId="5A355F95" w14:textId="77777777" w:rsidR="00D15665" w:rsidRPr="00D15665" w:rsidRDefault="00D15665" w:rsidP="00D15665">
            <w:pPr>
              <w:spacing w:after="160" w:line="259" w:lineRule="auto"/>
              <w:rPr>
                <w:rFonts w:ascii="Times New Roman" w:hAnsi="Times New Roman" w:cs="Times New Roman"/>
                <w:b/>
                <w:bCs/>
                <w:sz w:val="24"/>
                <w:szCs w:val="24"/>
              </w:rPr>
            </w:pPr>
            <w:r w:rsidRPr="00D15665">
              <w:rPr>
                <w:rFonts w:ascii="Times New Roman" w:hAnsi="Times New Roman" w:cs="Times New Roman"/>
                <w:b/>
                <w:bCs/>
                <w:sz w:val="24"/>
                <w:szCs w:val="24"/>
              </w:rPr>
              <w:t>Interaction p</w:t>
            </w:r>
          </w:p>
        </w:tc>
      </w:tr>
      <w:tr w:rsidR="00D15665" w:rsidRPr="00D15665" w14:paraId="551EF6AE" w14:textId="77777777" w:rsidTr="00D15665">
        <w:tc>
          <w:tcPr>
            <w:tcW w:w="0" w:type="auto"/>
            <w:hideMark/>
          </w:tcPr>
          <w:p w14:paraId="4E556D60"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Age (months)</w:t>
            </w:r>
          </w:p>
        </w:tc>
        <w:tc>
          <w:tcPr>
            <w:tcW w:w="0" w:type="auto"/>
            <w:hideMark/>
          </w:tcPr>
          <w:p w14:paraId="3E51CBE6"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1.02</w:t>
            </w:r>
          </w:p>
        </w:tc>
        <w:tc>
          <w:tcPr>
            <w:tcW w:w="0" w:type="auto"/>
            <w:hideMark/>
          </w:tcPr>
          <w:p w14:paraId="63081018"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1.00 – 1.04</w:t>
            </w:r>
          </w:p>
        </w:tc>
        <w:tc>
          <w:tcPr>
            <w:tcW w:w="0" w:type="auto"/>
            <w:hideMark/>
          </w:tcPr>
          <w:p w14:paraId="475E44E1"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1.03</w:t>
            </w:r>
          </w:p>
        </w:tc>
        <w:tc>
          <w:tcPr>
            <w:tcW w:w="0" w:type="auto"/>
            <w:hideMark/>
          </w:tcPr>
          <w:p w14:paraId="0685559E"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1.01 – 1.05</w:t>
            </w:r>
          </w:p>
        </w:tc>
        <w:tc>
          <w:tcPr>
            <w:tcW w:w="1676" w:type="dxa"/>
            <w:hideMark/>
          </w:tcPr>
          <w:p w14:paraId="443234C3"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0.641</w:t>
            </w:r>
          </w:p>
        </w:tc>
      </w:tr>
      <w:tr w:rsidR="00D15665" w:rsidRPr="00D15665" w14:paraId="189A1BAF" w14:textId="77777777" w:rsidTr="00D15665">
        <w:tc>
          <w:tcPr>
            <w:tcW w:w="0" w:type="auto"/>
            <w:hideMark/>
          </w:tcPr>
          <w:p w14:paraId="1FEA42E3"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Female sex (ref: male)</w:t>
            </w:r>
          </w:p>
        </w:tc>
        <w:tc>
          <w:tcPr>
            <w:tcW w:w="0" w:type="auto"/>
            <w:hideMark/>
          </w:tcPr>
          <w:p w14:paraId="7914B17D"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1.15</w:t>
            </w:r>
          </w:p>
        </w:tc>
        <w:tc>
          <w:tcPr>
            <w:tcW w:w="0" w:type="auto"/>
            <w:hideMark/>
          </w:tcPr>
          <w:p w14:paraId="29E9FD00"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0.85 – 1.56</w:t>
            </w:r>
          </w:p>
        </w:tc>
        <w:tc>
          <w:tcPr>
            <w:tcW w:w="0" w:type="auto"/>
            <w:hideMark/>
          </w:tcPr>
          <w:p w14:paraId="109BB4C1"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1.10</w:t>
            </w:r>
          </w:p>
        </w:tc>
        <w:tc>
          <w:tcPr>
            <w:tcW w:w="0" w:type="auto"/>
            <w:hideMark/>
          </w:tcPr>
          <w:p w14:paraId="40721C17"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0.83 – 1.45</w:t>
            </w:r>
          </w:p>
        </w:tc>
        <w:tc>
          <w:tcPr>
            <w:tcW w:w="1676" w:type="dxa"/>
            <w:hideMark/>
          </w:tcPr>
          <w:p w14:paraId="74AC7F3C"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0.819</w:t>
            </w:r>
          </w:p>
        </w:tc>
      </w:tr>
      <w:tr w:rsidR="00D15665" w:rsidRPr="00D15665" w14:paraId="2DF902CD" w14:textId="77777777" w:rsidTr="00D15665">
        <w:tc>
          <w:tcPr>
            <w:tcW w:w="0" w:type="auto"/>
            <w:hideMark/>
          </w:tcPr>
          <w:p w14:paraId="6B24B7DA"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Perceived low birth weight (ref: normal)</w:t>
            </w:r>
          </w:p>
        </w:tc>
        <w:tc>
          <w:tcPr>
            <w:tcW w:w="0" w:type="auto"/>
            <w:hideMark/>
          </w:tcPr>
          <w:p w14:paraId="7AAE17A2"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1.04</w:t>
            </w:r>
          </w:p>
        </w:tc>
        <w:tc>
          <w:tcPr>
            <w:tcW w:w="0" w:type="auto"/>
            <w:hideMark/>
          </w:tcPr>
          <w:p w14:paraId="03CDA25C"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0.75 – 1.44</w:t>
            </w:r>
          </w:p>
        </w:tc>
        <w:tc>
          <w:tcPr>
            <w:tcW w:w="0" w:type="auto"/>
            <w:hideMark/>
          </w:tcPr>
          <w:p w14:paraId="02DA4452"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1.14</w:t>
            </w:r>
          </w:p>
        </w:tc>
        <w:tc>
          <w:tcPr>
            <w:tcW w:w="0" w:type="auto"/>
            <w:hideMark/>
          </w:tcPr>
          <w:p w14:paraId="0A7BA74E"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0.87 – 1.50</w:t>
            </w:r>
          </w:p>
        </w:tc>
        <w:tc>
          <w:tcPr>
            <w:tcW w:w="1676" w:type="dxa"/>
            <w:hideMark/>
          </w:tcPr>
          <w:p w14:paraId="44CE0094"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0.573</w:t>
            </w:r>
          </w:p>
        </w:tc>
      </w:tr>
      <w:tr w:rsidR="00D15665" w:rsidRPr="00D15665" w14:paraId="6DC1A971" w14:textId="77777777" w:rsidTr="00D15665">
        <w:tc>
          <w:tcPr>
            <w:tcW w:w="0" w:type="auto"/>
            <w:hideMark/>
          </w:tcPr>
          <w:p w14:paraId="44ED433F"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 xml:space="preserve">Fully vaccinated (12–23 </w:t>
            </w:r>
            <w:proofErr w:type="spellStart"/>
            <w:r w:rsidRPr="00D15665">
              <w:rPr>
                <w:rFonts w:ascii="Times New Roman" w:hAnsi="Times New Roman" w:cs="Times New Roman"/>
                <w:sz w:val="24"/>
                <w:szCs w:val="24"/>
              </w:rPr>
              <w:t>mo</w:t>
            </w:r>
            <w:proofErr w:type="spellEnd"/>
            <w:r w:rsidRPr="00D15665">
              <w:rPr>
                <w:rFonts w:ascii="Times New Roman" w:hAnsi="Times New Roman" w:cs="Times New Roman"/>
                <w:sz w:val="24"/>
                <w:szCs w:val="24"/>
              </w:rPr>
              <w:t xml:space="preserve"> only)</w:t>
            </w:r>
          </w:p>
        </w:tc>
        <w:tc>
          <w:tcPr>
            <w:tcW w:w="0" w:type="auto"/>
            <w:hideMark/>
          </w:tcPr>
          <w:p w14:paraId="5D399A62"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1.61</w:t>
            </w:r>
          </w:p>
        </w:tc>
        <w:tc>
          <w:tcPr>
            <w:tcW w:w="0" w:type="auto"/>
            <w:hideMark/>
          </w:tcPr>
          <w:p w14:paraId="05E47AEC"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1.15 – 2.25</w:t>
            </w:r>
          </w:p>
        </w:tc>
        <w:tc>
          <w:tcPr>
            <w:tcW w:w="0" w:type="auto"/>
            <w:hideMark/>
          </w:tcPr>
          <w:p w14:paraId="294C50A1"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1.39</w:t>
            </w:r>
          </w:p>
        </w:tc>
        <w:tc>
          <w:tcPr>
            <w:tcW w:w="0" w:type="auto"/>
            <w:hideMark/>
          </w:tcPr>
          <w:p w14:paraId="6FBE005C"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1.03 – 1.88</w:t>
            </w:r>
          </w:p>
        </w:tc>
        <w:tc>
          <w:tcPr>
            <w:tcW w:w="1676" w:type="dxa"/>
            <w:hideMark/>
          </w:tcPr>
          <w:p w14:paraId="6720BB63"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0.438</w:t>
            </w:r>
          </w:p>
        </w:tc>
      </w:tr>
      <w:tr w:rsidR="00D15665" w:rsidRPr="00D15665" w14:paraId="2285B163" w14:textId="77777777" w:rsidTr="00D15665">
        <w:tc>
          <w:tcPr>
            <w:tcW w:w="0" w:type="auto"/>
            <w:hideMark/>
          </w:tcPr>
          <w:p w14:paraId="398E4425"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Wealth quintile (continuous)</w:t>
            </w:r>
          </w:p>
        </w:tc>
        <w:tc>
          <w:tcPr>
            <w:tcW w:w="0" w:type="auto"/>
            <w:hideMark/>
          </w:tcPr>
          <w:p w14:paraId="21D90F18"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0.91</w:t>
            </w:r>
          </w:p>
        </w:tc>
        <w:tc>
          <w:tcPr>
            <w:tcW w:w="0" w:type="auto"/>
            <w:hideMark/>
          </w:tcPr>
          <w:p w14:paraId="1F24C26B"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0.81 – 1.02</w:t>
            </w:r>
          </w:p>
        </w:tc>
        <w:tc>
          <w:tcPr>
            <w:tcW w:w="0" w:type="auto"/>
            <w:hideMark/>
          </w:tcPr>
          <w:p w14:paraId="60434D46"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0.87</w:t>
            </w:r>
          </w:p>
        </w:tc>
        <w:tc>
          <w:tcPr>
            <w:tcW w:w="0" w:type="auto"/>
            <w:hideMark/>
          </w:tcPr>
          <w:p w14:paraId="10F85E6F"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0.79 – 0.96</w:t>
            </w:r>
          </w:p>
        </w:tc>
        <w:tc>
          <w:tcPr>
            <w:tcW w:w="1676" w:type="dxa"/>
            <w:hideMark/>
          </w:tcPr>
          <w:p w14:paraId="234B804C"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0.548</w:t>
            </w:r>
          </w:p>
        </w:tc>
      </w:tr>
      <w:tr w:rsidR="00D15665" w:rsidRPr="00D15665" w14:paraId="55962E76" w14:textId="77777777" w:rsidTr="00D15665">
        <w:tc>
          <w:tcPr>
            <w:tcW w:w="0" w:type="auto"/>
            <w:hideMark/>
          </w:tcPr>
          <w:p w14:paraId="7DF2EB44"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Maternal education (sec+ vs. none/primary)</w:t>
            </w:r>
          </w:p>
        </w:tc>
        <w:tc>
          <w:tcPr>
            <w:tcW w:w="0" w:type="auto"/>
            <w:hideMark/>
          </w:tcPr>
          <w:p w14:paraId="6B389AC5"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0.97</w:t>
            </w:r>
          </w:p>
        </w:tc>
        <w:tc>
          <w:tcPr>
            <w:tcW w:w="0" w:type="auto"/>
            <w:hideMark/>
          </w:tcPr>
          <w:p w14:paraId="75965633"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0.65 – 1.44</w:t>
            </w:r>
          </w:p>
        </w:tc>
        <w:tc>
          <w:tcPr>
            <w:tcW w:w="0" w:type="auto"/>
            <w:hideMark/>
          </w:tcPr>
          <w:p w14:paraId="2375CC41"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1.12</w:t>
            </w:r>
          </w:p>
        </w:tc>
        <w:tc>
          <w:tcPr>
            <w:tcW w:w="0" w:type="auto"/>
            <w:hideMark/>
          </w:tcPr>
          <w:p w14:paraId="7929987A"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0.80 – 1.58</w:t>
            </w:r>
          </w:p>
        </w:tc>
        <w:tc>
          <w:tcPr>
            <w:tcW w:w="1676" w:type="dxa"/>
            <w:hideMark/>
          </w:tcPr>
          <w:p w14:paraId="4BCB695F"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0.607</w:t>
            </w:r>
          </w:p>
        </w:tc>
      </w:tr>
      <w:tr w:rsidR="00D15665" w:rsidRPr="00D15665" w14:paraId="6AAC7A62" w14:textId="77777777" w:rsidTr="00D15665">
        <w:tc>
          <w:tcPr>
            <w:tcW w:w="0" w:type="auto"/>
            <w:hideMark/>
          </w:tcPr>
          <w:p w14:paraId="7D81539C"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Health insurance (ref: none)</w:t>
            </w:r>
          </w:p>
        </w:tc>
        <w:tc>
          <w:tcPr>
            <w:tcW w:w="0" w:type="auto"/>
            <w:hideMark/>
          </w:tcPr>
          <w:p w14:paraId="65717358"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0.62</w:t>
            </w:r>
          </w:p>
        </w:tc>
        <w:tc>
          <w:tcPr>
            <w:tcW w:w="0" w:type="auto"/>
            <w:hideMark/>
          </w:tcPr>
          <w:p w14:paraId="4C62D18E"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0.36 – 1.07</w:t>
            </w:r>
          </w:p>
        </w:tc>
        <w:tc>
          <w:tcPr>
            <w:tcW w:w="0" w:type="auto"/>
            <w:hideMark/>
          </w:tcPr>
          <w:p w14:paraId="060E2595"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0.72</w:t>
            </w:r>
          </w:p>
        </w:tc>
        <w:tc>
          <w:tcPr>
            <w:tcW w:w="0" w:type="auto"/>
            <w:hideMark/>
          </w:tcPr>
          <w:p w14:paraId="67C4754E"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0.44 – 1.17</w:t>
            </w:r>
          </w:p>
        </w:tc>
        <w:tc>
          <w:tcPr>
            <w:tcW w:w="1676" w:type="dxa"/>
            <w:hideMark/>
          </w:tcPr>
          <w:p w14:paraId="76D529AB"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0.682</w:t>
            </w:r>
          </w:p>
        </w:tc>
      </w:tr>
      <w:tr w:rsidR="00D15665" w:rsidRPr="00D15665" w14:paraId="77E2BB77" w14:textId="77777777" w:rsidTr="00D15665">
        <w:tc>
          <w:tcPr>
            <w:tcW w:w="0" w:type="auto"/>
            <w:hideMark/>
          </w:tcPr>
          <w:p w14:paraId="75DFE5C7"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Clean cooking fuel (ref: solid)</w:t>
            </w:r>
          </w:p>
        </w:tc>
        <w:tc>
          <w:tcPr>
            <w:tcW w:w="0" w:type="auto"/>
            <w:hideMark/>
          </w:tcPr>
          <w:p w14:paraId="297EFDE1"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0.76</w:t>
            </w:r>
          </w:p>
        </w:tc>
        <w:tc>
          <w:tcPr>
            <w:tcW w:w="0" w:type="auto"/>
            <w:hideMark/>
          </w:tcPr>
          <w:p w14:paraId="07DE5A83"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0.43 – 1.36</w:t>
            </w:r>
          </w:p>
        </w:tc>
        <w:tc>
          <w:tcPr>
            <w:tcW w:w="0" w:type="auto"/>
            <w:hideMark/>
          </w:tcPr>
          <w:p w14:paraId="784308C9"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0.91</w:t>
            </w:r>
          </w:p>
        </w:tc>
        <w:tc>
          <w:tcPr>
            <w:tcW w:w="0" w:type="auto"/>
            <w:hideMark/>
          </w:tcPr>
          <w:p w14:paraId="3EB505E0"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0.50 – 1.65</w:t>
            </w:r>
          </w:p>
        </w:tc>
        <w:tc>
          <w:tcPr>
            <w:tcW w:w="1676" w:type="dxa"/>
            <w:hideMark/>
          </w:tcPr>
          <w:p w14:paraId="41AF29C8"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0.728</w:t>
            </w:r>
          </w:p>
        </w:tc>
      </w:tr>
      <w:tr w:rsidR="00D15665" w:rsidRPr="00D15665" w14:paraId="0F4E7BA8" w14:textId="77777777" w:rsidTr="00D15665">
        <w:tc>
          <w:tcPr>
            <w:tcW w:w="0" w:type="auto"/>
            <w:hideMark/>
          </w:tcPr>
          <w:p w14:paraId="503EADF4"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Cluster variance (τ²)</w:t>
            </w:r>
          </w:p>
        </w:tc>
        <w:tc>
          <w:tcPr>
            <w:tcW w:w="0" w:type="auto"/>
            <w:hideMark/>
          </w:tcPr>
          <w:p w14:paraId="0FA44EDF"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0.28</w:t>
            </w:r>
          </w:p>
        </w:tc>
        <w:tc>
          <w:tcPr>
            <w:tcW w:w="0" w:type="auto"/>
            <w:hideMark/>
          </w:tcPr>
          <w:p w14:paraId="2D7283B3"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(0.14–0.57)</w:t>
            </w:r>
          </w:p>
        </w:tc>
        <w:tc>
          <w:tcPr>
            <w:tcW w:w="0" w:type="auto"/>
            <w:hideMark/>
          </w:tcPr>
          <w:p w14:paraId="1D3336D5"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0.35</w:t>
            </w:r>
          </w:p>
        </w:tc>
        <w:tc>
          <w:tcPr>
            <w:tcW w:w="0" w:type="auto"/>
            <w:hideMark/>
          </w:tcPr>
          <w:p w14:paraId="50CB43D3"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(0.19–0.65)</w:t>
            </w:r>
          </w:p>
        </w:tc>
        <w:tc>
          <w:tcPr>
            <w:tcW w:w="1676" w:type="dxa"/>
            <w:hideMark/>
          </w:tcPr>
          <w:p w14:paraId="20F5C335"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w:t>
            </w:r>
          </w:p>
        </w:tc>
      </w:tr>
      <w:tr w:rsidR="00D15665" w:rsidRPr="00D15665" w14:paraId="58FF5BD2" w14:textId="77777777" w:rsidTr="00D15665">
        <w:tc>
          <w:tcPr>
            <w:tcW w:w="0" w:type="auto"/>
            <w:hideMark/>
          </w:tcPr>
          <w:p w14:paraId="50EAA6BC"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Observations / Clusters</w:t>
            </w:r>
          </w:p>
        </w:tc>
        <w:tc>
          <w:tcPr>
            <w:tcW w:w="0" w:type="auto"/>
            <w:hideMark/>
          </w:tcPr>
          <w:p w14:paraId="550B57CE"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2,391 / 293</w:t>
            </w:r>
          </w:p>
        </w:tc>
        <w:tc>
          <w:tcPr>
            <w:tcW w:w="0" w:type="auto"/>
            <w:hideMark/>
          </w:tcPr>
          <w:p w14:paraId="2F346E0D" w14:textId="77777777" w:rsidR="00D15665" w:rsidRPr="00D15665" w:rsidRDefault="00D15665" w:rsidP="00D15665">
            <w:pPr>
              <w:spacing w:after="160" w:line="259" w:lineRule="auto"/>
              <w:rPr>
                <w:rFonts w:ascii="Times New Roman" w:hAnsi="Times New Roman" w:cs="Times New Roman"/>
                <w:sz w:val="24"/>
                <w:szCs w:val="24"/>
              </w:rPr>
            </w:pPr>
          </w:p>
        </w:tc>
        <w:tc>
          <w:tcPr>
            <w:tcW w:w="0" w:type="auto"/>
            <w:hideMark/>
          </w:tcPr>
          <w:p w14:paraId="096EB800" w14:textId="77777777" w:rsidR="00D15665" w:rsidRPr="00D15665" w:rsidRDefault="00D15665" w:rsidP="00D15665">
            <w:pPr>
              <w:spacing w:after="160" w:line="259" w:lineRule="auto"/>
              <w:rPr>
                <w:rFonts w:ascii="Times New Roman" w:hAnsi="Times New Roman" w:cs="Times New Roman"/>
                <w:sz w:val="24"/>
                <w:szCs w:val="24"/>
              </w:rPr>
            </w:pPr>
            <w:r w:rsidRPr="00D15665">
              <w:rPr>
                <w:rFonts w:ascii="Times New Roman" w:hAnsi="Times New Roman" w:cs="Times New Roman"/>
                <w:sz w:val="24"/>
                <w:szCs w:val="24"/>
              </w:rPr>
              <w:t>3,057 / 324</w:t>
            </w:r>
          </w:p>
        </w:tc>
        <w:tc>
          <w:tcPr>
            <w:tcW w:w="0" w:type="auto"/>
            <w:hideMark/>
          </w:tcPr>
          <w:p w14:paraId="77959237" w14:textId="77777777" w:rsidR="00D15665" w:rsidRPr="00D15665" w:rsidRDefault="00D15665" w:rsidP="00D15665">
            <w:pPr>
              <w:spacing w:after="160" w:line="259" w:lineRule="auto"/>
              <w:rPr>
                <w:rFonts w:ascii="Times New Roman" w:hAnsi="Times New Roman" w:cs="Times New Roman"/>
                <w:sz w:val="24"/>
                <w:szCs w:val="24"/>
              </w:rPr>
            </w:pPr>
          </w:p>
        </w:tc>
        <w:tc>
          <w:tcPr>
            <w:tcW w:w="1676" w:type="dxa"/>
            <w:hideMark/>
          </w:tcPr>
          <w:p w14:paraId="40174D5A" w14:textId="77777777" w:rsidR="00D15665" w:rsidRPr="00D15665" w:rsidRDefault="00D15665" w:rsidP="00D15665">
            <w:pPr>
              <w:spacing w:after="160" w:line="259" w:lineRule="auto"/>
              <w:rPr>
                <w:rFonts w:ascii="Times New Roman" w:hAnsi="Times New Roman" w:cs="Times New Roman"/>
                <w:sz w:val="24"/>
                <w:szCs w:val="24"/>
              </w:rPr>
            </w:pPr>
          </w:p>
        </w:tc>
      </w:tr>
    </w:tbl>
    <w:p w14:paraId="40C5C361" w14:textId="1513F20B" w:rsidR="00476248" w:rsidRPr="005C0907" w:rsidRDefault="00476248" w:rsidP="00D15665"/>
    <w:sectPr w:rsidR="00476248" w:rsidRPr="005C0907" w:rsidSect="00DC26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FB7"/>
    <w:rsid w:val="0010389C"/>
    <w:rsid w:val="002E5DBB"/>
    <w:rsid w:val="00371D6A"/>
    <w:rsid w:val="00476248"/>
    <w:rsid w:val="005C0907"/>
    <w:rsid w:val="005C0BA1"/>
    <w:rsid w:val="00664094"/>
    <w:rsid w:val="00674D43"/>
    <w:rsid w:val="009F5DE4"/>
    <w:rsid w:val="00D15665"/>
    <w:rsid w:val="00DC2681"/>
    <w:rsid w:val="00E45FB7"/>
    <w:rsid w:val="00FD36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91B97"/>
  <w15:chartTrackingRefBased/>
  <w15:docId w15:val="{F5564C38-74D3-48FE-B954-062B37C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5FB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E45FB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45FB7"/>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45FB7"/>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E45FB7"/>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E45F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5F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5F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5F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5FB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E45FB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45FB7"/>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45FB7"/>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E45FB7"/>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E45F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5F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5F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5FB7"/>
    <w:rPr>
      <w:rFonts w:eastAsiaTheme="majorEastAsia" w:cstheme="majorBidi"/>
      <w:color w:val="272727" w:themeColor="text1" w:themeTint="D8"/>
    </w:rPr>
  </w:style>
  <w:style w:type="paragraph" w:styleId="Title">
    <w:name w:val="Title"/>
    <w:basedOn w:val="Normal"/>
    <w:next w:val="Normal"/>
    <w:link w:val="TitleChar"/>
    <w:uiPriority w:val="10"/>
    <w:qFormat/>
    <w:rsid w:val="00E45F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5F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5F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5F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5FB7"/>
    <w:pPr>
      <w:spacing w:before="160"/>
      <w:jc w:val="center"/>
    </w:pPr>
    <w:rPr>
      <w:i/>
      <w:iCs/>
      <w:color w:val="404040" w:themeColor="text1" w:themeTint="BF"/>
    </w:rPr>
  </w:style>
  <w:style w:type="character" w:customStyle="1" w:styleId="QuoteChar">
    <w:name w:val="Quote Char"/>
    <w:basedOn w:val="DefaultParagraphFont"/>
    <w:link w:val="Quote"/>
    <w:uiPriority w:val="29"/>
    <w:rsid w:val="00E45FB7"/>
    <w:rPr>
      <w:i/>
      <w:iCs/>
      <w:color w:val="404040" w:themeColor="text1" w:themeTint="BF"/>
    </w:rPr>
  </w:style>
  <w:style w:type="paragraph" w:styleId="ListParagraph">
    <w:name w:val="List Paragraph"/>
    <w:basedOn w:val="Normal"/>
    <w:uiPriority w:val="34"/>
    <w:qFormat/>
    <w:rsid w:val="00E45FB7"/>
    <w:pPr>
      <w:ind w:left="720"/>
      <w:contextualSpacing/>
    </w:pPr>
  </w:style>
  <w:style w:type="character" w:styleId="IntenseEmphasis">
    <w:name w:val="Intense Emphasis"/>
    <w:basedOn w:val="DefaultParagraphFont"/>
    <w:uiPriority w:val="21"/>
    <w:qFormat/>
    <w:rsid w:val="00E45FB7"/>
    <w:rPr>
      <w:i/>
      <w:iCs/>
      <w:color w:val="365F91" w:themeColor="accent1" w:themeShade="BF"/>
    </w:rPr>
  </w:style>
  <w:style w:type="paragraph" w:styleId="IntenseQuote">
    <w:name w:val="Intense Quote"/>
    <w:basedOn w:val="Normal"/>
    <w:next w:val="Normal"/>
    <w:link w:val="IntenseQuoteChar"/>
    <w:uiPriority w:val="30"/>
    <w:qFormat/>
    <w:rsid w:val="00E45FB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45FB7"/>
    <w:rPr>
      <w:i/>
      <w:iCs/>
      <w:color w:val="365F91" w:themeColor="accent1" w:themeShade="BF"/>
    </w:rPr>
  </w:style>
  <w:style w:type="character" w:styleId="IntenseReference">
    <w:name w:val="Intense Reference"/>
    <w:basedOn w:val="DefaultParagraphFont"/>
    <w:uiPriority w:val="32"/>
    <w:qFormat/>
    <w:rsid w:val="00E45FB7"/>
    <w:rPr>
      <w:b/>
      <w:bCs/>
      <w:smallCaps/>
      <w:color w:val="365F91" w:themeColor="accent1" w:themeShade="BF"/>
      <w:spacing w:val="5"/>
    </w:rPr>
  </w:style>
  <w:style w:type="table" w:styleId="TableGridLight">
    <w:name w:val="Grid Table Light"/>
    <w:basedOn w:val="TableNormal"/>
    <w:uiPriority w:val="40"/>
    <w:rsid w:val="0010389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246</Words>
  <Characters>1408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Adda Balinia Richmond</dc:creator>
  <cp:keywords/>
  <dc:description/>
  <cp:lastModifiedBy>Adda Balinia Richmond</cp:lastModifiedBy>
  <cp:revision>3</cp:revision>
  <dcterms:created xsi:type="dcterms:W3CDTF">2026-06-07T23:29:00Z</dcterms:created>
  <dcterms:modified xsi:type="dcterms:W3CDTF">2026-06-10T12:38:00Z</dcterms:modified>
</cp:coreProperties>
</file>