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C0D9" w14:textId="61A1A786" w:rsidR="00485593" w:rsidRDefault="00485593" w:rsidP="00485593">
      <w:pPr>
        <w:spacing w:after="0" w:line="480" w:lineRule="auto"/>
        <w:rPr>
          <w:rFonts w:ascii="Calibri" w:hAnsi="Calibri" w:cs="Calibri"/>
        </w:rPr>
      </w:pPr>
      <w:r w:rsidRPr="00485593">
        <w:rPr>
          <w:b/>
          <w:bCs/>
        </w:rPr>
        <w:t>Figure S1.</w:t>
      </w:r>
      <w:r>
        <w:t xml:space="preserve"> </w:t>
      </w:r>
      <w:r w:rsidRPr="00B72EC8">
        <w:rPr>
          <w:rFonts w:ascii="Calibri" w:hAnsi="Calibri" w:cs="Calibri"/>
        </w:rPr>
        <w:t>An example of gating strategy</w:t>
      </w:r>
      <w:r w:rsidR="00C237B0">
        <w:rPr>
          <w:rFonts w:ascii="Calibri" w:hAnsi="Calibri" w:cs="Calibri"/>
        </w:rPr>
        <w:t xml:space="preserve"> for tumor cells</w:t>
      </w:r>
      <w:r>
        <w:rPr>
          <w:rFonts w:ascii="Calibri" w:hAnsi="Calibri" w:cs="Calibri"/>
        </w:rPr>
        <w:t xml:space="preserve">. </w:t>
      </w:r>
      <w:r w:rsidRPr="00F57687">
        <w:rPr>
          <w:rFonts w:ascii="Calibri" w:hAnsi="Calibri" w:cs="Calibri"/>
        </w:rPr>
        <w:t xml:space="preserve">Cell counts </w:t>
      </w:r>
      <w:proofErr w:type="gramStart"/>
      <w:r w:rsidRPr="00F57687">
        <w:rPr>
          <w:rFonts w:ascii="Calibri" w:hAnsi="Calibri" w:cs="Calibri"/>
        </w:rPr>
        <w:t>are</w:t>
      </w:r>
      <w:proofErr w:type="gramEnd"/>
      <w:r w:rsidRPr="00F57687">
        <w:rPr>
          <w:rFonts w:ascii="Calibri" w:hAnsi="Calibri" w:cs="Calibri"/>
        </w:rPr>
        <w:t xml:space="preserve"> reported as whole numbers using a dual platform approach. A dual</w:t>
      </w:r>
      <w:r>
        <w:rPr>
          <w:rFonts w:ascii="Calibri" w:hAnsi="Calibri" w:cs="Calibri"/>
        </w:rPr>
        <w:t xml:space="preserve"> </w:t>
      </w:r>
      <w:r w:rsidRPr="00F57687">
        <w:rPr>
          <w:rFonts w:ascii="Calibri" w:hAnsi="Calibri" w:cs="Calibri"/>
        </w:rPr>
        <w:t>platform approach</w:t>
      </w:r>
      <w:r>
        <w:rPr>
          <w:rFonts w:ascii="Calibri" w:hAnsi="Calibri" w:cs="Calibri"/>
        </w:rPr>
        <w:t xml:space="preserve"> </w:t>
      </w:r>
      <w:r w:rsidRPr="00F57687">
        <w:rPr>
          <w:rFonts w:ascii="Calibri" w:hAnsi="Calibri" w:cs="Calibri"/>
        </w:rPr>
        <w:t xml:space="preserve">uses </w:t>
      </w:r>
      <w:proofErr w:type="gramStart"/>
      <w:r w:rsidRPr="00F57687">
        <w:rPr>
          <w:rFonts w:ascii="Calibri" w:hAnsi="Calibri" w:cs="Calibri"/>
        </w:rPr>
        <w:t>WBC</w:t>
      </w:r>
      <w:proofErr w:type="gramEnd"/>
      <w:r w:rsidRPr="00F57687">
        <w:rPr>
          <w:rFonts w:ascii="Calibri" w:hAnsi="Calibri" w:cs="Calibri"/>
        </w:rPr>
        <w:t xml:space="preserve"> and lymphocyte counts from the ADIVA analyzer (hematology data) to calculate cells/</w:t>
      </w:r>
      <w:proofErr w:type="spellStart"/>
      <w:r w:rsidRPr="00F57687">
        <w:rPr>
          <w:rFonts w:ascii="Calibri" w:hAnsi="Calibri" w:cs="Calibri"/>
        </w:rPr>
        <w:t>μL</w:t>
      </w:r>
      <w:proofErr w:type="spellEnd"/>
      <w:r w:rsidRPr="00F57687">
        <w:rPr>
          <w:rFonts w:ascii="Calibri" w:hAnsi="Calibri" w:cs="Calibri"/>
        </w:rPr>
        <w:t xml:space="preserve"> from</w:t>
      </w:r>
      <w:r>
        <w:rPr>
          <w:rFonts w:ascii="Calibri" w:hAnsi="Calibri" w:cs="Calibri"/>
        </w:rPr>
        <w:t xml:space="preserve"> </w:t>
      </w:r>
      <w:r w:rsidRPr="00F57687">
        <w:rPr>
          <w:rFonts w:ascii="Calibri" w:hAnsi="Calibri" w:cs="Calibri"/>
        </w:rPr>
        <w:t>the enumerated relative cell percentages using flow cytometry.</w:t>
      </w:r>
      <w:r>
        <w:rPr>
          <w:rFonts w:ascii="Calibri" w:hAnsi="Calibri" w:cs="Calibri"/>
        </w:rPr>
        <w:t xml:space="preserve"> For example, total T cells (cells/µl) = lymphocyte count from ADVIA cells (cells/µl) x total T cells (%)/100.</w:t>
      </w:r>
    </w:p>
    <w:p w14:paraId="7546311B" w14:textId="7545D397" w:rsidR="00C237B0" w:rsidRDefault="00485593">
      <w:r>
        <w:rPr>
          <w:noProof/>
          <w14:ligatures w14:val="standardContextual"/>
        </w:rPr>
        <w:drawing>
          <wp:inline distT="0" distB="0" distL="0" distR="0" wp14:anchorId="18B6FE55" wp14:editId="37B2236F">
            <wp:extent cx="5684520" cy="5330952"/>
            <wp:effectExtent l="0" t="0" r="0" b="3175"/>
            <wp:docPr id="516347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347076" name="Picture 5163470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533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2BF6" w14:textId="77777777" w:rsidR="00C237B0" w:rsidRDefault="00C237B0">
      <w:pPr>
        <w:spacing w:line="278" w:lineRule="auto"/>
      </w:pPr>
      <w:r>
        <w:br w:type="page"/>
      </w:r>
    </w:p>
    <w:p w14:paraId="4A4A499E" w14:textId="543ED180" w:rsidR="00C237B0" w:rsidRDefault="00C237B0" w:rsidP="00C237B0">
      <w:p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>Figure S2. A</w:t>
      </w:r>
      <w:r w:rsidRPr="00595FF3">
        <w:rPr>
          <w:rFonts w:ascii="Calibri" w:hAnsi="Calibri" w:cs="Calibri"/>
          <w:b/>
          <w:bCs/>
        </w:rPr>
        <w:t>)</w:t>
      </w:r>
      <w:r w:rsidRPr="00595FF3">
        <w:rPr>
          <w:rFonts w:ascii="Calibri" w:hAnsi="Calibri" w:cs="Calibri"/>
        </w:rPr>
        <w:t xml:space="preserve"> An example of cytokine gating strategy from analysis of </w:t>
      </w:r>
      <w:r>
        <w:rPr>
          <w:rFonts w:ascii="Calibri" w:hAnsi="Calibri" w:cs="Calibri"/>
        </w:rPr>
        <w:t>tumor cells</w:t>
      </w:r>
      <w:r w:rsidRPr="00595FF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C237B0">
        <w:rPr>
          <w:rFonts w:ascii="Calibri" w:hAnsi="Calibri" w:cs="Calibri"/>
          <w:b/>
          <w:bCs/>
        </w:rPr>
        <w:t>B</w:t>
      </w:r>
      <w:r w:rsidRPr="00976E9D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</w:rPr>
        <w:t xml:space="preserve"> </w:t>
      </w:r>
      <w:r w:rsidRPr="00595FF3">
        <w:rPr>
          <w:rFonts w:ascii="Calibri" w:hAnsi="Calibri" w:cs="Calibri"/>
        </w:rPr>
        <w:t xml:space="preserve">An example of gating strategy from analysis of </w:t>
      </w:r>
      <w:r>
        <w:rPr>
          <w:rFonts w:ascii="Calibri" w:hAnsi="Calibri" w:cs="Calibri"/>
        </w:rPr>
        <w:t xml:space="preserve">tumor cell lymphocytes. </w:t>
      </w:r>
      <w:r w:rsidRPr="00C237B0">
        <w:rPr>
          <w:rFonts w:ascii="Calibri" w:hAnsi="Calibri" w:cs="Calibri"/>
          <w:b/>
          <w:bCs/>
        </w:rPr>
        <w:t>C</w:t>
      </w:r>
      <w:r w:rsidRPr="00976E9D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</w:rPr>
        <w:t xml:space="preserve"> </w:t>
      </w:r>
      <w:r w:rsidRPr="00595FF3">
        <w:rPr>
          <w:rFonts w:ascii="Calibri" w:hAnsi="Calibri" w:cs="Calibri"/>
        </w:rPr>
        <w:t xml:space="preserve">An example of gating strategy from analysis of </w:t>
      </w:r>
      <w:r>
        <w:rPr>
          <w:rFonts w:ascii="Calibri" w:hAnsi="Calibri" w:cs="Calibri"/>
        </w:rPr>
        <w:t>tumor cell monocytic cells and DCs.</w:t>
      </w:r>
    </w:p>
    <w:p w14:paraId="142F4A65" w14:textId="76E21357" w:rsidR="00C237B0" w:rsidRDefault="00C237B0">
      <w:pPr>
        <w:spacing w:line="278" w:lineRule="auto"/>
      </w:pPr>
      <w:r>
        <w:br w:type="page"/>
      </w:r>
    </w:p>
    <w:p w14:paraId="5A0CF813" w14:textId="3D86E37A" w:rsidR="00C237B0" w:rsidRDefault="00C237B0">
      <w:pPr>
        <w:rPr>
          <w:b/>
          <w:bCs/>
        </w:rPr>
      </w:pPr>
      <w:r w:rsidRPr="00C237B0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C237B0">
        <w:rPr>
          <w:b/>
          <w:bCs/>
        </w:rPr>
        <w:t>2A</w:t>
      </w:r>
      <w:r w:rsidR="0079507F">
        <w:rPr>
          <w:b/>
          <w:bCs/>
        </w:rPr>
        <w:t>.</w:t>
      </w:r>
      <w:r>
        <w:rPr>
          <w:noProof/>
          <w14:ligatures w14:val="standardContextual"/>
        </w:rPr>
        <w:drawing>
          <wp:inline distT="0" distB="0" distL="0" distR="0" wp14:anchorId="5AECB690" wp14:editId="160FA5EA">
            <wp:extent cx="5818048" cy="7409956"/>
            <wp:effectExtent l="0" t="0" r="0" b="635"/>
            <wp:docPr id="896713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1300" name="Picture 896713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048" cy="740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F5F4" w14:textId="77777777" w:rsidR="00C237B0" w:rsidRDefault="00C237B0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10291F80" w14:textId="4D5B2AD4" w:rsidR="00C237B0" w:rsidRDefault="00C237B0">
      <w:pPr>
        <w:rPr>
          <w:b/>
          <w:bCs/>
        </w:rPr>
      </w:pPr>
      <w:r w:rsidRPr="00C237B0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C237B0">
        <w:rPr>
          <w:b/>
          <w:bCs/>
        </w:rPr>
        <w:t>2B</w:t>
      </w:r>
      <w:r w:rsidR="0079507F">
        <w:rPr>
          <w:b/>
          <w:bCs/>
        </w:rPr>
        <w:t>.</w:t>
      </w:r>
      <w:r>
        <w:rPr>
          <w:b/>
          <w:bCs/>
          <w:noProof/>
          <w14:ligatures w14:val="standardContextual"/>
        </w:rPr>
        <w:drawing>
          <wp:inline distT="0" distB="0" distL="0" distR="0" wp14:anchorId="22962B39" wp14:editId="3527546B">
            <wp:extent cx="5761194" cy="7661061"/>
            <wp:effectExtent l="0" t="0" r="0" b="0"/>
            <wp:docPr id="11146218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21823" name="Picture 111462182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194" cy="76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C56F4" w14:textId="77777777" w:rsidR="00C237B0" w:rsidRDefault="00C237B0">
      <w:pPr>
        <w:spacing w:line="278" w:lineRule="auto"/>
        <w:rPr>
          <w:b/>
          <w:bCs/>
        </w:rPr>
      </w:pPr>
      <w:r>
        <w:rPr>
          <w:b/>
          <w:bCs/>
        </w:rPr>
        <w:br w:type="page"/>
      </w:r>
    </w:p>
    <w:p w14:paraId="5CC442FA" w14:textId="68E89614" w:rsidR="00E85A79" w:rsidRDefault="0079507F">
      <w:pPr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58240" behindDoc="0" locked="0" layoutInCell="1" allowOverlap="1" wp14:anchorId="6B65330B" wp14:editId="3DD2718E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5695950" cy="7764934"/>
            <wp:effectExtent l="0" t="0" r="0" b="7620"/>
            <wp:wrapSquare wrapText="bothSides"/>
            <wp:docPr id="6232577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57749" name="Picture 6232577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7" t="25620" r="24198" b="19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76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7B0">
        <w:rPr>
          <w:b/>
          <w:bCs/>
        </w:rPr>
        <w:t>Figure S2C.</w:t>
      </w:r>
    </w:p>
    <w:p w14:paraId="7020EF02" w14:textId="63199EA9" w:rsidR="00C237B0" w:rsidRPr="00C237B0" w:rsidRDefault="00C237B0">
      <w:pPr>
        <w:rPr>
          <w:b/>
          <w:bCs/>
        </w:rPr>
      </w:pPr>
    </w:p>
    <w:sectPr w:rsidR="00C237B0" w:rsidRPr="00C23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93"/>
    <w:rsid w:val="00485593"/>
    <w:rsid w:val="0079507F"/>
    <w:rsid w:val="00AA6ECC"/>
    <w:rsid w:val="00C237B0"/>
    <w:rsid w:val="00E85A79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35B1C"/>
  <w15:chartTrackingRefBased/>
  <w15:docId w15:val="{C88046FF-67BA-4DC0-B621-C6BAB665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5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5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5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5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5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5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5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5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5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5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5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5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5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59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5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59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5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59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55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5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111</Words>
  <Characters>612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Bristow</dc:creator>
  <cp:keywords/>
  <dc:description/>
  <cp:lastModifiedBy>Cynthia Bristow</cp:lastModifiedBy>
  <cp:revision>2</cp:revision>
  <dcterms:created xsi:type="dcterms:W3CDTF">2026-03-09T15:34:00Z</dcterms:created>
  <dcterms:modified xsi:type="dcterms:W3CDTF">2026-03-09T15:49:00Z</dcterms:modified>
</cp:coreProperties>
</file>