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DF0" w:rsidRPr="00ED4DF0" w:rsidRDefault="00ED4DF0" w:rsidP="00ED4DF0">
      <w:pPr>
        <w:spacing w:after="0" w:line="480" w:lineRule="auto"/>
        <w:rPr>
          <w:rFonts w:ascii="Arial" w:eastAsia="Arial" w:hAnsi="Arial" w:cs="Arial"/>
          <w:b/>
          <w:bCs/>
          <w:sz w:val="24"/>
          <w:szCs w:val="24"/>
        </w:rPr>
      </w:pPr>
      <w:bookmarkStart w:id="0" w:name="_GoBack"/>
      <w:r w:rsidRPr="00ED4DF0">
        <w:rPr>
          <w:rFonts w:ascii="Arial" w:eastAsia="Arial" w:hAnsi="Arial" w:cs="Arial"/>
          <w:b/>
          <w:bCs/>
          <w:sz w:val="24"/>
          <w:szCs w:val="24"/>
        </w:rPr>
        <w:t xml:space="preserve">Supplementary material. </w:t>
      </w:r>
    </w:p>
    <w:p w:rsidR="00ED4DF0" w:rsidRPr="00ED4DF0" w:rsidRDefault="00ED4DF0" w:rsidP="00ED4DF0">
      <w:pPr>
        <w:spacing w:after="0" w:line="360" w:lineRule="auto"/>
        <w:rPr>
          <w:rFonts w:ascii="Arial" w:eastAsia="Arial" w:hAnsi="Arial" w:cs="Arial"/>
          <w:b/>
          <w:bCs/>
          <w:sz w:val="24"/>
          <w:szCs w:val="24"/>
        </w:rPr>
      </w:pPr>
      <w:r w:rsidRPr="00ED4DF0">
        <w:rPr>
          <w:rFonts w:ascii="Arial" w:eastAsia="Arial" w:hAnsi="Arial" w:cs="Arial"/>
          <w:b/>
          <w:bCs/>
          <w:sz w:val="24"/>
          <w:szCs w:val="24"/>
        </w:rPr>
        <w:t>Whole Exome Sequencing methods.</w:t>
      </w:r>
    </w:p>
    <w:p w:rsidR="00ED4DF0" w:rsidRPr="00ED4DF0" w:rsidRDefault="00ED4DF0" w:rsidP="00ED4DF0">
      <w:pPr>
        <w:spacing w:line="360" w:lineRule="auto"/>
        <w:rPr>
          <w:rFonts w:ascii="Arial" w:eastAsia="Arial Unicode MS" w:hAnsi="Arial" w:cs="Arial"/>
          <w:sz w:val="24"/>
          <w:szCs w:val="24"/>
        </w:rPr>
      </w:pPr>
      <w:r w:rsidRPr="00ED4DF0">
        <w:rPr>
          <w:rFonts w:ascii="Arial" w:eastAsia="Arial Unicode MS" w:hAnsi="Arial" w:cs="Arial"/>
          <w:sz w:val="24"/>
          <w:szCs w:val="24"/>
        </w:rPr>
        <w:t>Whole exome sequencing was independently performed by a certified external laboratory (</w:t>
      </w:r>
      <w:proofErr w:type="spellStart"/>
      <w:r w:rsidRPr="00ED4DF0">
        <w:rPr>
          <w:rFonts w:ascii="Arial" w:eastAsia="Arial Unicode MS" w:hAnsi="Arial" w:cs="Arial"/>
          <w:sz w:val="24"/>
          <w:szCs w:val="24"/>
        </w:rPr>
        <w:t>Fundación</w:t>
      </w:r>
      <w:proofErr w:type="spellEnd"/>
      <w:r w:rsidRPr="00ED4DF0">
        <w:rPr>
          <w:rFonts w:ascii="Arial" w:eastAsia="Arial Unicode MS" w:hAnsi="Arial" w:cs="Arial"/>
          <w:sz w:val="24"/>
          <w:szCs w:val="24"/>
        </w:rPr>
        <w:t xml:space="preserve"> Valle de Lili, Cali, Colombia). Library preparation for next-generation sequencing (NGS) was carried out using the Twist Comprehensive Exome v1 kit. After genomic DNA (</w:t>
      </w:r>
      <w:proofErr w:type="spellStart"/>
      <w:r w:rsidRPr="00ED4DF0">
        <w:rPr>
          <w:rFonts w:ascii="Arial" w:eastAsia="Arial Unicode MS" w:hAnsi="Arial" w:cs="Arial"/>
          <w:sz w:val="24"/>
          <w:szCs w:val="24"/>
        </w:rPr>
        <w:t>gDNA</w:t>
      </w:r>
      <w:proofErr w:type="spellEnd"/>
      <w:r w:rsidRPr="00ED4DF0">
        <w:rPr>
          <w:rFonts w:ascii="Arial" w:eastAsia="Arial Unicode MS" w:hAnsi="Arial" w:cs="Arial"/>
          <w:sz w:val="24"/>
          <w:szCs w:val="24"/>
        </w:rPr>
        <w:t xml:space="preserve">) extraction and normalization, </w:t>
      </w:r>
      <w:proofErr w:type="spellStart"/>
      <w:r w:rsidRPr="00ED4DF0">
        <w:rPr>
          <w:rFonts w:ascii="Arial" w:eastAsia="Arial Unicode MS" w:hAnsi="Arial" w:cs="Arial"/>
          <w:sz w:val="24"/>
          <w:szCs w:val="24"/>
        </w:rPr>
        <w:t>tagmentation</w:t>
      </w:r>
      <w:proofErr w:type="spellEnd"/>
      <w:r w:rsidRPr="00ED4DF0">
        <w:rPr>
          <w:rFonts w:ascii="Arial" w:eastAsia="Arial Unicode MS" w:hAnsi="Arial" w:cs="Arial"/>
          <w:sz w:val="24"/>
          <w:szCs w:val="24"/>
        </w:rPr>
        <w:t xml:space="preserve"> was performed using transposons to fragment the DNA and attach it to magnetic beads, generating uniformly sized libraries and optimizing downstream performance. The </w:t>
      </w:r>
      <w:proofErr w:type="spellStart"/>
      <w:r w:rsidRPr="00ED4DF0">
        <w:rPr>
          <w:rFonts w:ascii="Arial" w:eastAsia="Arial Unicode MS" w:hAnsi="Arial" w:cs="Arial"/>
          <w:sz w:val="24"/>
          <w:szCs w:val="24"/>
        </w:rPr>
        <w:t>tagmented</w:t>
      </w:r>
      <w:proofErr w:type="spellEnd"/>
      <w:r w:rsidRPr="00ED4DF0">
        <w:rPr>
          <w:rFonts w:ascii="Arial" w:eastAsia="Arial Unicode MS" w:hAnsi="Arial" w:cs="Arial"/>
          <w:sz w:val="24"/>
          <w:szCs w:val="24"/>
        </w:rPr>
        <w:t xml:space="preserve"> DNA fragments were then amplified, and unique dual indexes were ligated to allow sample identification. A first DNA quantification was performed as part of quality control. Library enrichment was subsequently achieved through hybridization with biotinylated probes targeting the </w:t>
      </w:r>
      <w:proofErr w:type="spellStart"/>
      <w:r w:rsidRPr="00ED4DF0">
        <w:rPr>
          <w:rFonts w:ascii="Arial" w:eastAsia="Arial Unicode MS" w:hAnsi="Arial" w:cs="Arial"/>
          <w:sz w:val="24"/>
          <w:szCs w:val="24"/>
        </w:rPr>
        <w:t>exonic</w:t>
      </w:r>
      <w:proofErr w:type="spellEnd"/>
      <w:r w:rsidRPr="00ED4DF0">
        <w:rPr>
          <w:rFonts w:ascii="Arial" w:eastAsia="Arial Unicode MS" w:hAnsi="Arial" w:cs="Arial"/>
          <w:sz w:val="24"/>
          <w:szCs w:val="24"/>
        </w:rPr>
        <w:t xml:space="preserve"> regions of interest. Final amplification and purification of enriched libraries were performed, followed by a second quantification (required to exceed 3 ng/µl) and fragment analysis (expected size ~330 </w:t>
      </w:r>
      <w:proofErr w:type="spellStart"/>
      <w:r w:rsidRPr="00ED4DF0">
        <w:rPr>
          <w:rFonts w:ascii="Arial" w:eastAsia="Arial Unicode MS" w:hAnsi="Arial" w:cs="Arial"/>
          <w:sz w:val="24"/>
          <w:szCs w:val="24"/>
        </w:rPr>
        <w:t>bp</w:t>
      </w:r>
      <w:proofErr w:type="spellEnd"/>
      <w:r w:rsidRPr="00ED4DF0">
        <w:rPr>
          <w:rFonts w:ascii="Arial" w:eastAsia="Arial Unicode MS" w:hAnsi="Arial" w:cs="Arial"/>
          <w:sz w:val="24"/>
          <w:szCs w:val="24"/>
        </w:rPr>
        <w:t xml:space="preserve">) before sequencing. Purified libraries were loaded onto an NGS platform, where sequencing-by-synthesis was performed. Typical sequencing quality metrics included ≥94% of target bases covered at ≥20× and an average target coverage ≥100×. Copy number variants (CNVs) affecting three or more exons are generally reported, although confirmatory testing is recommended due to the intrinsic limitations of exome-based CNV detection. Some genomic regions may not be adequately assessed because of sequence composition, repetitive elements, or the presence of pseudogenes </w:t>
      </w:r>
      <w:r w:rsidRPr="00ED4DF0">
        <w:rPr>
          <w:rFonts w:ascii="Arial" w:eastAsia="Arial" w:hAnsi="Arial" w:cs="Arial"/>
          <w:sz w:val="24"/>
          <w:szCs w:val="24"/>
        </w:rPr>
        <w:t xml:space="preserve">Data analysis and interpretation (NGS Pipeline Version 1.1) were performed using the </w:t>
      </w:r>
      <w:proofErr w:type="spellStart"/>
      <w:r w:rsidRPr="00ED4DF0">
        <w:rPr>
          <w:rFonts w:ascii="Arial" w:eastAsia="Arial" w:hAnsi="Arial" w:cs="Arial"/>
          <w:sz w:val="24"/>
          <w:szCs w:val="24"/>
        </w:rPr>
        <w:t>VarSome</w:t>
      </w:r>
      <w:proofErr w:type="spellEnd"/>
      <w:r w:rsidRPr="00ED4DF0">
        <w:rPr>
          <w:rFonts w:ascii="Arial" w:eastAsia="Arial" w:hAnsi="Arial" w:cs="Arial"/>
          <w:sz w:val="24"/>
          <w:szCs w:val="24"/>
        </w:rPr>
        <w:t xml:space="preserve"> Clinical platform. BCL files were converted into FASTQ files and aligned with BWA using the GRCh37/hg19 reference genome. Variant calling was performed with GATK, and variant annotation was achieved using an internally developed pipeline containing A-GPS, I-GPS, and D-GPS components. Synonymous variants, deep </w:t>
      </w:r>
      <w:proofErr w:type="spellStart"/>
      <w:r w:rsidRPr="00ED4DF0">
        <w:rPr>
          <w:rFonts w:ascii="Arial" w:eastAsia="Arial" w:hAnsi="Arial" w:cs="Arial"/>
          <w:sz w:val="24"/>
          <w:szCs w:val="24"/>
        </w:rPr>
        <w:t>intronic</w:t>
      </w:r>
      <w:proofErr w:type="spellEnd"/>
      <w:r w:rsidRPr="00ED4DF0">
        <w:rPr>
          <w:rFonts w:ascii="Arial" w:eastAsia="Arial" w:hAnsi="Arial" w:cs="Arial"/>
          <w:sz w:val="24"/>
          <w:szCs w:val="24"/>
        </w:rPr>
        <w:t xml:space="preserve"> variants not predicted to affect splicing, and common benign variants were excluded unless previously reported as pathogenic. Variant interpretation followed ACMG 2015 criteria, classifying findings as pathogenic (P), likely pathogenic (LP), variant of uncertain significance (VUS), </w:t>
      </w:r>
      <w:r w:rsidRPr="00ED4DF0">
        <w:rPr>
          <w:rFonts w:ascii="Arial" w:eastAsia="Arial" w:hAnsi="Arial" w:cs="Arial"/>
          <w:sz w:val="24"/>
          <w:szCs w:val="24"/>
        </w:rPr>
        <w:lastRenderedPageBreak/>
        <w:t>likely benign (LB), or benign (B). Interpretation reflects the current state of knowledge about genes and variant pathogenicity.</w:t>
      </w:r>
    </w:p>
    <w:p w:rsidR="00ED4DF0" w:rsidRPr="00ED4DF0" w:rsidRDefault="00ED4DF0" w:rsidP="00ED4DF0">
      <w:pPr>
        <w:spacing w:after="0" w:line="480" w:lineRule="auto"/>
        <w:rPr>
          <w:rFonts w:ascii="Arial" w:eastAsia="Arial" w:hAnsi="Arial" w:cs="Arial"/>
          <w:sz w:val="24"/>
          <w:szCs w:val="24"/>
        </w:rPr>
      </w:pPr>
    </w:p>
    <w:p w:rsidR="00ED4DF0" w:rsidRPr="00ED4DF0" w:rsidRDefault="00ED4DF0" w:rsidP="00ED4DF0">
      <w:pPr>
        <w:spacing w:after="0" w:line="480" w:lineRule="auto"/>
        <w:rPr>
          <w:rFonts w:ascii="Arial" w:eastAsia="Arial" w:hAnsi="Arial" w:cs="Arial"/>
          <w:b/>
          <w:bCs/>
          <w:sz w:val="24"/>
          <w:szCs w:val="24"/>
        </w:rPr>
      </w:pPr>
      <w:r w:rsidRPr="00ED4DF0">
        <w:rPr>
          <w:rFonts w:ascii="Arial" w:eastAsia="Arial" w:hAnsi="Arial" w:cs="Arial"/>
          <w:b/>
          <w:bCs/>
          <w:sz w:val="24"/>
          <w:szCs w:val="24"/>
        </w:rPr>
        <w:t xml:space="preserve">Supplementary Table 1. Variant identified, arguments in favor of </w:t>
      </w:r>
      <w:proofErr w:type="gramStart"/>
      <w:r w:rsidRPr="00ED4DF0">
        <w:rPr>
          <w:rFonts w:ascii="Arial" w:eastAsia="Arial" w:hAnsi="Arial" w:cs="Arial"/>
          <w:b/>
          <w:bCs/>
          <w:sz w:val="24"/>
          <w:szCs w:val="24"/>
        </w:rPr>
        <w:t>their</w:t>
      </w:r>
      <w:proofErr w:type="gramEnd"/>
    </w:p>
    <w:p w:rsidR="00ED4DF0" w:rsidRPr="00ED4DF0" w:rsidRDefault="00ED4DF0" w:rsidP="00ED4DF0">
      <w:pPr>
        <w:spacing w:after="0" w:line="480" w:lineRule="auto"/>
        <w:rPr>
          <w:rFonts w:ascii="Arial" w:eastAsia="Arial" w:hAnsi="Arial" w:cs="Arial"/>
          <w:sz w:val="24"/>
          <w:szCs w:val="24"/>
        </w:rPr>
      </w:pPr>
      <w:r w:rsidRPr="00ED4DF0">
        <w:rPr>
          <w:rFonts w:ascii="Arial" w:eastAsia="Arial" w:hAnsi="Arial" w:cs="Arial"/>
          <w:b/>
          <w:bCs/>
          <w:sz w:val="24"/>
          <w:szCs w:val="24"/>
        </w:rPr>
        <w:t>pathogenicity, and classification ACMG/AMP.</w:t>
      </w:r>
    </w:p>
    <w:tbl>
      <w:tblPr>
        <w:tblW w:w="8415" w:type="dxa"/>
        <w:tblLayout w:type="fixed"/>
        <w:tblCellMar>
          <w:left w:w="40" w:type="dxa"/>
          <w:right w:w="40" w:type="dxa"/>
        </w:tblCellMar>
        <w:tblLook w:val="0600" w:firstRow="0" w:lastRow="0" w:firstColumn="0" w:lastColumn="0" w:noHBand="1" w:noVBand="1"/>
      </w:tblPr>
      <w:tblGrid>
        <w:gridCol w:w="1560"/>
        <w:gridCol w:w="419"/>
        <w:gridCol w:w="998"/>
        <w:gridCol w:w="141"/>
        <w:gridCol w:w="2977"/>
        <w:gridCol w:w="2320"/>
      </w:tblGrid>
      <w:tr w:rsidR="00ED4DF0" w:rsidRPr="00ED4DF0" w:rsidTr="000E0EAA">
        <w:trPr>
          <w:trHeight w:val="285"/>
        </w:trPr>
        <w:tc>
          <w:tcPr>
            <w:tcW w:w="1979" w:type="dxa"/>
            <w:gridSpan w:val="2"/>
            <w:tcBorders>
              <w:top w:val="single" w:sz="4" w:space="0" w:color="000000"/>
            </w:tcBorders>
            <w:shd w:val="clear" w:color="auto" w:fill="FFFFFF"/>
            <w:vAlign w:val="bottom"/>
          </w:tcPr>
          <w:p w:rsidR="00ED4DF0" w:rsidRPr="00ED4DF0" w:rsidRDefault="00ED4DF0" w:rsidP="000E0EAA">
            <w:pPr>
              <w:widowControl w:val="0"/>
              <w:spacing w:after="0" w:line="480" w:lineRule="auto"/>
              <w:rPr>
                <w:rFonts w:ascii="Arial" w:eastAsia="Arial" w:hAnsi="Arial" w:cs="Arial"/>
                <w:sz w:val="24"/>
                <w:szCs w:val="24"/>
              </w:rPr>
            </w:pPr>
          </w:p>
        </w:tc>
        <w:tc>
          <w:tcPr>
            <w:tcW w:w="998" w:type="dxa"/>
            <w:tcBorders>
              <w:top w:val="single" w:sz="4" w:space="0" w:color="000000"/>
            </w:tcBorders>
            <w:shd w:val="clear" w:color="auto" w:fill="FFFFFF"/>
            <w:vAlign w:val="bottom"/>
          </w:tcPr>
          <w:p w:rsidR="00ED4DF0" w:rsidRPr="00ED4DF0" w:rsidRDefault="00ED4DF0" w:rsidP="000E0EAA">
            <w:pPr>
              <w:widowControl w:val="0"/>
              <w:spacing w:after="0" w:line="480" w:lineRule="auto"/>
              <w:rPr>
                <w:rFonts w:ascii="Arial" w:eastAsia="Arial" w:hAnsi="Arial" w:cs="Arial"/>
                <w:sz w:val="24"/>
                <w:szCs w:val="24"/>
              </w:rPr>
            </w:pPr>
          </w:p>
        </w:tc>
        <w:tc>
          <w:tcPr>
            <w:tcW w:w="3118" w:type="dxa"/>
            <w:gridSpan w:val="2"/>
            <w:tcBorders>
              <w:top w:val="single" w:sz="4" w:space="0" w:color="000000"/>
            </w:tcBorders>
            <w:shd w:val="clear" w:color="auto" w:fill="FFFFFF"/>
            <w:vAlign w:val="bottom"/>
          </w:tcPr>
          <w:p w:rsidR="00ED4DF0" w:rsidRPr="00ED4DF0" w:rsidRDefault="00ED4DF0" w:rsidP="000E0EAA">
            <w:pPr>
              <w:widowControl w:val="0"/>
              <w:spacing w:after="0" w:line="480" w:lineRule="auto"/>
              <w:jc w:val="center"/>
              <w:rPr>
                <w:rFonts w:ascii="Arial" w:eastAsia="Arial" w:hAnsi="Arial" w:cs="Arial"/>
                <w:b/>
                <w:sz w:val="24"/>
                <w:szCs w:val="24"/>
              </w:rPr>
            </w:pPr>
            <w:r w:rsidRPr="00ED4DF0">
              <w:rPr>
                <w:rFonts w:ascii="Arial" w:eastAsia="Arial" w:hAnsi="Arial" w:cs="Arial"/>
                <w:b/>
                <w:sz w:val="24"/>
                <w:szCs w:val="24"/>
              </w:rPr>
              <w:t>Allele 1</w:t>
            </w:r>
          </w:p>
        </w:tc>
        <w:tc>
          <w:tcPr>
            <w:tcW w:w="2320" w:type="dxa"/>
            <w:tcBorders>
              <w:top w:val="single" w:sz="4" w:space="0" w:color="000000"/>
            </w:tcBorders>
            <w:shd w:val="clear" w:color="auto" w:fill="FFFFFF"/>
            <w:vAlign w:val="bottom"/>
          </w:tcPr>
          <w:p w:rsidR="00ED4DF0" w:rsidRPr="00ED4DF0" w:rsidRDefault="00ED4DF0" w:rsidP="000E0EAA">
            <w:pPr>
              <w:widowControl w:val="0"/>
              <w:spacing w:after="0" w:line="480" w:lineRule="auto"/>
              <w:jc w:val="center"/>
              <w:rPr>
                <w:rFonts w:ascii="Arial" w:eastAsia="Arial" w:hAnsi="Arial" w:cs="Arial"/>
                <w:b/>
                <w:sz w:val="24"/>
                <w:szCs w:val="24"/>
              </w:rPr>
            </w:pPr>
            <w:r w:rsidRPr="00ED4DF0">
              <w:rPr>
                <w:rFonts w:ascii="Arial" w:eastAsia="Arial" w:hAnsi="Arial" w:cs="Arial"/>
                <w:b/>
                <w:sz w:val="24"/>
                <w:szCs w:val="24"/>
              </w:rPr>
              <w:t>Allele 2</w:t>
            </w:r>
          </w:p>
        </w:tc>
      </w:tr>
      <w:tr w:rsidR="00ED4DF0" w:rsidRPr="00ED4DF0" w:rsidTr="000E0EAA">
        <w:trPr>
          <w:trHeight w:val="285"/>
        </w:trPr>
        <w:tc>
          <w:tcPr>
            <w:tcW w:w="1979" w:type="dxa"/>
            <w:gridSpan w:val="2"/>
            <w:shd w:val="clear" w:color="auto" w:fill="FFFFFF"/>
            <w:vAlign w:val="bottom"/>
          </w:tcPr>
          <w:p w:rsidR="00ED4DF0" w:rsidRPr="00ED4DF0" w:rsidRDefault="00ED4DF0" w:rsidP="000E0EAA">
            <w:pPr>
              <w:widowControl w:val="0"/>
              <w:spacing w:after="0" w:line="480" w:lineRule="auto"/>
              <w:rPr>
                <w:rFonts w:ascii="Arial" w:eastAsia="Arial" w:hAnsi="Arial" w:cs="Arial"/>
                <w:b/>
                <w:sz w:val="24"/>
                <w:szCs w:val="24"/>
              </w:rPr>
            </w:pPr>
            <w:r w:rsidRPr="00ED4DF0">
              <w:rPr>
                <w:rFonts w:ascii="Arial" w:eastAsia="Arial" w:hAnsi="Arial" w:cs="Arial"/>
                <w:b/>
                <w:sz w:val="24"/>
                <w:szCs w:val="24"/>
              </w:rPr>
              <w:t>Gene/ transcript</w:t>
            </w:r>
          </w:p>
        </w:tc>
        <w:tc>
          <w:tcPr>
            <w:tcW w:w="998" w:type="dxa"/>
            <w:shd w:val="clear" w:color="auto" w:fill="FFFFFF"/>
            <w:vAlign w:val="bottom"/>
          </w:tcPr>
          <w:p w:rsidR="00ED4DF0" w:rsidRPr="00ED4DF0" w:rsidRDefault="00ED4DF0" w:rsidP="000E0EAA">
            <w:pPr>
              <w:widowControl w:val="0"/>
              <w:spacing w:after="0" w:line="480" w:lineRule="auto"/>
              <w:rPr>
                <w:rFonts w:ascii="Arial" w:eastAsia="Arial" w:hAnsi="Arial" w:cs="Arial"/>
                <w:b/>
                <w:sz w:val="24"/>
                <w:szCs w:val="24"/>
              </w:rPr>
            </w:pPr>
          </w:p>
        </w:tc>
        <w:tc>
          <w:tcPr>
            <w:tcW w:w="3118" w:type="dxa"/>
            <w:gridSpan w:val="2"/>
            <w:shd w:val="clear" w:color="auto" w:fill="FFFFFF"/>
            <w:vAlign w:val="bottom"/>
          </w:tcPr>
          <w:p w:rsidR="00ED4DF0" w:rsidRPr="00ED4DF0" w:rsidRDefault="00ED4DF0" w:rsidP="000E0EAA">
            <w:pPr>
              <w:widowControl w:val="0"/>
              <w:spacing w:after="0" w:line="480" w:lineRule="auto"/>
              <w:rPr>
                <w:rFonts w:ascii="Arial" w:eastAsia="Arial" w:hAnsi="Arial" w:cs="Arial"/>
                <w:b/>
                <w:sz w:val="24"/>
                <w:szCs w:val="24"/>
              </w:rPr>
            </w:pPr>
            <w:r w:rsidRPr="00ED4DF0">
              <w:rPr>
                <w:rFonts w:ascii="Arial" w:eastAsia="Arial" w:hAnsi="Arial" w:cs="Arial"/>
                <w:b/>
                <w:sz w:val="24"/>
                <w:szCs w:val="24"/>
              </w:rPr>
              <w:t>ATM NM_000051.4</w:t>
            </w:r>
          </w:p>
        </w:tc>
        <w:tc>
          <w:tcPr>
            <w:tcW w:w="2320" w:type="dxa"/>
            <w:shd w:val="clear" w:color="auto" w:fill="FFFFFF"/>
            <w:vAlign w:val="bottom"/>
          </w:tcPr>
          <w:p w:rsidR="00ED4DF0" w:rsidRPr="00ED4DF0" w:rsidRDefault="00ED4DF0" w:rsidP="000E0EAA">
            <w:pPr>
              <w:widowControl w:val="0"/>
              <w:spacing w:after="0" w:line="480" w:lineRule="auto"/>
              <w:rPr>
                <w:rFonts w:ascii="Arial" w:eastAsia="Arial" w:hAnsi="Arial" w:cs="Arial"/>
                <w:b/>
                <w:sz w:val="24"/>
                <w:szCs w:val="24"/>
              </w:rPr>
            </w:pPr>
            <w:r w:rsidRPr="00ED4DF0">
              <w:rPr>
                <w:rFonts w:ascii="Arial" w:eastAsia="Arial" w:hAnsi="Arial" w:cs="Arial"/>
                <w:b/>
                <w:sz w:val="24"/>
                <w:szCs w:val="24"/>
              </w:rPr>
              <w:t>ATM NM_000051.4</w:t>
            </w:r>
          </w:p>
        </w:tc>
      </w:tr>
      <w:tr w:rsidR="00ED4DF0" w:rsidRPr="00ED4DF0" w:rsidTr="000E0EAA">
        <w:trPr>
          <w:trHeight w:val="556"/>
        </w:trPr>
        <w:tc>
          <w:tcPr>
            <w:tcW w:w="1979" w:type="dxa"/>
            <w:gridSpan w:val="2"/>
            <w:tcBorders>
              <w:bottom w:val="single" w:sz="4" w:space="0" w:color="000000"/>
            </w:tcBorders>
            <w:shd w:val="clear" w:color="auto" w:fill="FFFFFF"/>
            <w:vAlign w:val="bottom"/>
          </w:tcPr>
          <w:p w:rsidR="00ED4DF0" w:rsidRPr="00ED4DF0" w:rsidRDefault="00ED4DF0" w:rsidP="000E0EAA">
            <w:pPr>
              <w:widowControl w:val="0"/>
              <w:spacing w:after="0" w:line="480" w:lineRule="auto"/>
              <w:rPr>
                <w:rFonts w:ascii="Arial" w:eastAsia="Arial" w:hAnsi="Arial" w:cs="Arial"/>
                <w:b/>
                <w:sz w:val="24"/>
                <w:szCs w:val="24"/>
              </w:rPr>
            </w:pPr>
            <w:r w:rsidRPr="00ED4DF0">
              <w:rPr>
                <w:rFonts w:ascii="Arial" w:eastAsia="Arial" w:hAnsi="Arial" w:cs="Arial"/>
                <w:b/>
                <w:bCs/>
                <w:sz w:val="24"/>
                <w:szCs w:val="24"/>
              </w:rPr>
              <w:t>Variant / (status)</w:t>
            </w:r>
          </w:p>
        </w:tc>
        <w:tc>
          <w:tcPr>
            <w:tcW w:w="998" w:type="dxa"/>
            <w:tcBorders>
              <w:bottom w:val="single" w:sz="4" w:space="0" w:color="000000"/>
            </w:tcBorders>
            <w:shd w:val="clear" w:color="auto" w:fill="FFFFFF"/>
            <w:vAlign w:val="bottom"/>
          </w:tcPr>
          <w:p w:rsidR="00ED4DF0" w:rsidRPr="00ED4DF0" w:rsidRDefault="00ED4DF0" w:rsidP="000E0EAA">
            <w:pPr>
              <w:widowControl w:val="0"/>
              <w:spacing w:after="0" w:line="480" w:lineRule="auto"/>
              <w:rPr>
                <w:rFonts w:ascii="Arial" w:eastAsia="Arial" w:hAnsi="Arial" w:cs="Arial"/>
                <w:b/>
                <w:sz w:val="24"/>
                <w:szCs w:val="24"/>
              </w:rPr>
            </w:pPr>
          </w:p>
        </w:tc>
        <w:tc>
          <w:tcPr>
            <w:tcW w:w="3118" w:type="dxa"/>
            <w:gridSpan w:val="2"/>
            <w:tcBorders>
              <w:bottom w:val="single" w:sz="4" w:space="0" w:color="000000"/>
            </w:tcBorders>
            <w:shd w:val="clear" w:color="auto" w:fill="FFFFFF"/>
            <w:vAlign w:val="bottom"/>
          </w:tcPr>
          <w:p w:rsidR="00ED4DF0" w:rsidRPr="00ED4DF0" w:rsidRDefault="00ED4DF0" w:rsidP="000E0EAA">
            <w:pPr>
              <w:widowControl w:val="0"/>
              <w:spacing w:after="0" w:line="480" w:lineRule="auto"/>
              <w:rPr>
                <w:rFonts w:ascii="Arial" w:eastAsia="Arial" w:hAnsi="Arial" w:cs="Arial"/>
                <w:b/>
                <w:sz w:val="24"/>
                <w:szCs w:val="24"/>
              </w:rPr>
            </w:pPr>
            <w:r w:rsidRPr="00ED4DF0">
              <w:rPr>
                <w:rFonts w:ascii="Arial" w:eastAsia="Arial" w:hAnsi="Arial" w:cs="Arial"/>
                <w:b/>
                <w:sz w:val="24"/>
                <w:szCs w:val="24"/>
              </w:rPr>
              <w:t>c.8083G&gt;A  (p.Gly2695Ser) (</w:t>
            </w:r>
            <w:proofErr w:type="spellStart"/>
            <w:r w:rsidRPr="00ED4DF0">
              <w:rPr>
                <w:rFonts w:ascii="Arial" w:eastAsia="Arial" w:hAnsi="Arial" w:cs="Arial"/>
                <w:b/>
                <w:sz w:val="24"/>
                <w:szCs w:val="24"/>
              </w:rPr>
              <w:t>Ht</w:t>
            </w:r>
            <w:proofErr w:type="spellEnd"/>
            <w:r w:rsidRPr="00ED4DF0">
              <w:rPr>
                <w:rFonts w:ascii="Arial" w:eastAsia="Arial" w:hAnsi="Arial" w:cs="Arial"/>
                <w:b/>
                <w:sz w:val="24"/>
                <w:szCs w:val="24"/>
              </w:rPr>
              <w:t>)</w:t>
            </w:r>
          </w:p>
        </w:tc>
        <w:tc>
          <w:tcPr>
            <w:tcW w:w="2320" w:type="dxa"/>
            <w:tcBorders>
              <w:bottom w:val="single" w:sz="4" w:space="0" w:color="000000"/>
            </w:tcBorders>
            <w:shd w:val="clear" w:color="auto" w:fill="FFFFFF"/>
            <w:vAlign w:val="center"/>
          </w:tcPr>
          <w:p w:rsidR="00ED4DF0" w:rsidRPr="00ED4DF0" w:rsidRDefault="00ED4DF0" w:rsidP="000E0EAA">
            <w:pPr>
              <w:widowControl w:val="0"/>
              <w:spacing w:after="0" w:line="480" w:lineRule="auto"/>
              <w:rPr>
                <w:rFonts w:ascii="Arial" w:eastAsia="Arial" w:hAnsi="Arial" w:cs="Arial"/>
                <w:b/>
                <w:sz w:val="24"/>
                <w:szCs w:val="24"/>
              </w:rPr>
            </w:pPr>
            <w:r w:rsidRPr="00ED4DF0">
              <w:rPr>
                <w:rFonts w:ascii="Arial" w:eastAsia="Arial" w:hAnsi="Arial" w:cs="Arial"/>
                <w:b/>
                <w:sz w:val="24"/>
                <w:szCs w:val="24"/>
              </w:rPr>
              <w:t>c.2921+1G&gt;A (</w:t>
            </w:r>
            <w:proofErr w:type="spellStart"/>
            <w:r w:rsidRPr="00ED4DF0">
              <w:rPr>
                <w:rFonts w:ascii="Arial" w:eastAsia="Arial" w:hAnsi="Arial" w:cs="Arial"/>
                <w:b/>
                <w:sz w:val="24"/>
                <w:szCs w:val="24"/>
              </w:rPr>
              <w:t>Ht</w:t>
            </w:r>
            <w:proofErr w:type="spellEnd"/>
            <w:r w:rsidRPr="00ED4DF0">
              <w:rPr>
                <w:rFonts w:ascii="Arial" w:eastAsia="Arial" w:hAnsi="Arial" w:cs="Arial"/>
                <w:b/>
                <w:sz w:val="24"/>
                <w:szCs w:val="24"/>
              </w:rPr>
              <w:t>)</w:t>
            </w:r>
          </w:p>
        </w:tc>
      </w:tr>
      <w:tr w:rsidR="00ED4DF0" w:rsidRPr="00ED4DF0" w:rsidTr="000E0EAA">
        <w:trPr>
          <w:trHeight w:val="285"/>
        </w:trPr>
        <w:tc>
          <w:tcPr>
            <w:tcW w:w="1979" w:type="dxa"/>
            <w:gridSpan w:val="2"/>
            <w:tcBorders>
              <w:top w:val="single" w:sz="4" w:space="0" w:color="000000"/>
              <w:bottom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Variant effect</w:t>
            </w:r>
          </w:p>
        </w:tc>
        <w:tc>
          <w:tcPr>
            <w:tcW w:w="1139" w:type="dxa"/>
            <w:gridSpan w:val="2"/>
            <w:tcBorders>
              <w:top w:val="single" w:sz="4" w:space="0" w:color="000000"/>
              <w:bottom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p>
        </w:tc>
        <w:tc>
          <w:tcPr>
            <w:tcW w:w="2977" w:type="dxa"/>
            <w:tcBorders>
              <w:top w:val="single" w:sz="4" w:space="0" w:color="000000"/>
              <w:bottom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missense</w:t>
            </w:r>
          </w:p>
        </w:tc>
        <w:tc>
          <w:tcPr>
            <w:tcW w:w="2320" w:type="dxa"/>
            <w:tcBorders>
              <w:top w:val="single" w:sz="4" w:space="0" w:color="000000"/>
              <w:bottom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splice donor / non coding</w:t>
            </w:r>
          </w:p>
        </w:tc>
      </w:tr>
      <w:tr w:rsidR="00ED4DF0" w:rsidRPr="00ED4DF0" w:rsidTr="000E0EAA">
        <w:trPr>
          <w:trHeight w:val="315"/>
        </w:trPr>
        <w:tc>
          <w:tcPr>
            <w:tcW w:w="1560" w:type="dxa"/>
            <w:vMerge w:val="restart"/>
            <w:tcBorders>
              <w:top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Allele frequency</w:t>
            </w:r>
          </w:p>
        </w:tc>
        <w:tc>
          <w:tcPr>
            <w:tcW w:w="1558" w:type="dxa"/>
            <w:gridSpan w:val="3"/>
            <w:tcBorders>
              <w:top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proofErr w:type="spellStart"/>
            <w:r w:rsidRPr="00ED4DF0">
              <w:rPr>
                <w:rFonts w:ascii="Arial" w:eastAsia="Arial" w:hAnsi="Arial" w:cs="Arial"/>
                <w:sz w:val="24"/>
                <w:szCs w:val="24"/>
              </w:rPr>
              <w:t>gnomAD</w:t>
            </w:r>
            <w:proofErr w:type="spellEnd"/>
            <w:r w:rsidRPr="00ED4DF0">
              <w:rPr>
                <w:rFonts w:ascii="Arial" w:eastAsia="Arial" w:hAnsi="Arial" w:cs="Arial"/>
                <w:sz w:val="24"/>
                <w:szCs w:val="24"/>
              </w:rPr>
              <w:t xml:space="preserve"> Exomes</w:t>
            </w:r>
          </w:p>
        </w:tc>
        <w:tc>
          <w:tcPr>
            <w:tcW w:w="2977" w:type="dxa"/>
            <w:tcBorders>
              <w:top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 xml:space="preserve">Not found </w:t>
            </w:r>
          </w:p>
        </w:tc>
        <w:tc>
          <w:tcPr>
            <w:tcW w:w="2320" w:type="dxa"/>
            <w:tcBorders>
              <w:top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ƒ = 0.00000889</w:t>
            </w:r>
          </w:p>
        </w:tc>
      </w:tr>
      <w:tr w:rsidR="00ED4DF0" w:rsidRPr="00ED4DF0" w:rsidTr="000E0EAA">
        <w:trPr>
          <w:trHeight w:val="285"/>
        </w:trPr>
        <w:tc>
          <w:tcPr>
            <w:tcW w:w="1560" w:type="dxa"/>
            <w:vMerge/>
            <w:tcBorders>
              <w:bottom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p>
        </w:tc>
        <w:tc>
          <w:tcPr>
            <w:tcW w:w="1558" w:type="dxa"/>
            <w:gridSpan w:val="3"/>
            <w:tcBorders>
              <w:bottom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proofErr w:type="spellStart"/>
            <w:r w:rsidRPr="00ED4DF0">
              <w:rPr>
                <w:rFonts w:ascii="Arial" w:eastAsia="Arial" w:hAnsi="Arial" w:cs="Arial"/>
                <w:sz w:val="24"/>
                <w:szCs w:val="24"/>
              </w:rPr>
              <w:t>gnomAD</w:t>
            </w:r>
            <w:proofErr w:type="spellEnd"/>
            <w:r w:rsidRPr="00ED4DF0">
              <w:rPr>
                <w:rFonts w:ascii="Arial" w:eastAsia="Arial" w:hAnsi="Arial" w:cs="Arial"/>
                <w:sz w:val="24"/>
                <w:szCs w:val="24"/>
              </w:rPr>
              <w:t xml:space="preserve"> Genome</w:t>
            </w:r>
          </w:p>
        </w:tc>
        <w:tc>
          <w:tcPr>
            <w:tcW w:w="2977" w:type="dxa"/>
            <w:tcBorders>
              <w:bottom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Not found</w:t>
            </w:r>
          </w:p>
        </w:tc>
        <w:tc>
          <w:tcPr>
            <w:tcW w:w="2320" w:type="dxa"/>
            <w:tcBorders>
              <w:bottom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Not found</w:t>
            </w:r>
          </w:p>
        </w:tc>
      </w:tr>
      <w:tr w:rsidR="00ED4DF0" w:rsidRPr="00ED4DF0" w:rsidTr="000E0EAA">
        <w:trPr>
          <w:trHeight w:val="540"/>
        </w:trPr>
        <w:tc>
          <w:tcPr>
            <w:tcW w:w="1560" w:type="dxa"/>
            <w:vMerge w:val="restart"/>
            <w:tcBorders>
              <w:top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Computational and predictive data</w:t>
            </w:r>
          </w:p>
        </w:tc>
        <w:tc>
          <w:tcPr>
            <w:tcW w:w="1558" w:type="dxa"/>
            <w:gridSpan w:val="3"/>
            <w:tcBorders>
              <w:top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proofErr w:type="spellStart"/>
            <w:r w:rsidRPr="00ED4DF0">
              <w:rPr>
                <w:rFonts w:ascii="Arial" w:eastAsia="Arial" w:hAnsi="Arial" w:cs="Arial"/>
                <w:sz w:val="24"/>
                <w:szCs w:val="24"/>
              </w:rPr>
              <w:t>dbscSNV</w:t>
            </w:r>
            <w:proofErr w:type="spellEnd"/>
          </w:p>
        </w:tc>
        <w:tc>
          <w:tcPr>
            <w:tcW w:w="2977" w:type="dxa"/>
            <w:tcBorders>
              <w:top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w:t>
            </w:r>
          </w:p>
        </w:tc>
        <w:tc>
          <w:tcPr>
            <w:tcW w:w="2320" w:type="dxa"/>
            <w:tcBorders>
              <w:top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Pathogenic Strong</w:t>
            </w:r>
          </w:p>
        </w:tc>
      </w:tr>
      <w:tr w:rsidR="00ED4DF0" w:rsidRPr="00ED4DF0" w:rsidTr="000E0EAA">
        <w:trPr>
          <w:trHeight w:val="285"/>
        </w:trPr>
        <w:tc>
          <w:tcPr>
            <w:tcW w:w="1560" w:type="dxa"/>
            <w:vMerge/>
            <w:shd w:val="clear" w:color="auto" w:fill="FFFFFF"/>
          </w:tcPr>
          <w:p w:rsidR="00ED4DF0" w:rsidRPr="00ED4DF0" w:rsidRDefault="00ED4DF0" w:rsidP="000E0EAA">
            <w:pPr>
              <w:widowControl w:val="0"/>
              <w:spacing w:after="0" w:line="240" w:lineRule="auto"/>
              <w:rPr>
                <w:rFonts w:ascii="Arial" w:eastAsia="Arial" w:hAnsi="Arial" w:cs="Arial"/>
                <w:sz w:val="24"/>
                <w:szCs w:val="24"/>
              </w:rPr>
            </w:pPr>
          </w:p>
        </w:tc>
        <w:tc>
          <w:tcPr>
            <w:tcW w:w="1558" w:type="dxa"/>
            <w:gridSpan w:val="3"/>
            <w:shd w:val="clear" w:color="auto" w:fill="FFFFFF"/>
          </w:tcPr>
          <w:p w:rsidR="00ED4DF0" w:rsidRPr="00ED4DF0" w:rsidRDefault="00ED4DF0" w:rsidP="000E0EAA">
            <w:pPr>
              <w:widowControl w:val="0"/>
              <w:spacing w:after="0" w:line="240" w:lineRule="auto"/>
              <w:rPr>
                <w:rFonts w:ascii="Arial" w:eastAsia="Arial" w:hAnsi="Arial" w:cs="Arial"/>
                <w:sz w:val="24"/>
                <w:szCs w:val="24"/>
              </w:rPr>
            </w:pPr>
            <w:hyperlink r:id="rId4">
              <w:proofErr w:type="spellStart"/>
              <w:r w:rsidRPr="00ED4DF0">
                <w:rPr>
                  <w:rFonts w:ascii="Arial" w:eastAsia="Arial" w:hAnsi="Arial" w:cs="Arial"/>
                  <w:sz w:val="24"/>
                  <w:szCs w:val="24"/>
                </w:rPr>
                <w:t>MaxEntScan</w:t>
              </w:r>
              <w:proofErr w:type="spellEnd"/>
            </w:hyperlink>
          </w:p>
        </w:tc>
        <w:tc>
          <w:tcPr>
            <w:tcW w:w="2977" w:type="dxa"/>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w:t>
            </w:r>
          </w:p>
        </w:tc>
        <w:tc>
          <w:tcPr>
            <w:tcW w:w="2320" w:type="dxa"/>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Pathogenic Strong</w:t>
            </w:r>
          </w:p>
        </w:tc>
      </w:tr>
      <w:tr w:rsidR="00ED4DF0" w:rsidRPr="00ED4DF0" w:rsidTr="000E0EAA">
        <w:trPr>
          <w:trHeight w:val="285"/>
        </w:trPr>
        <w:tc>
          <w:tcPr>
            <w:tcW w:w="1560" w:type="dxa"/>
            <w:vMerge/>
            <w:shd w:val="clear" w:color="auto" w:fill="FFFFFF"/>
          </w:tcPr>
          <w:p w:rsidR="00ED4DF0" w:rsidRPr="00ED4DF0" w:rsidRDefault="00ED4DF0" w:rsidP="000E0EAA">
            <w:pPr>
              <w:widowControl w:val="0"/>
              <w:spacing w:after="0" w:line="240" w:lineRule="auto"/>
              <w:rPr>
                <w:rFonts w:ascii="Arial" w:eastAsia="Arial" w:hAnsi="Arial" w:cs="Arial"/>
                <w:sz w:val="24"/>
                <w:szCs w:val="24"/>
              </w:rPr>
            </w:pPr>
          </w:p>
        </w:tc>
        <w:tc>
          <w:tcPr>
            <w:tcW w:w="1558" w:type="dxa"/>
            <w:gridSpan w:val="3"/>
            <w:shd w:val="clear" w:color="auto" w:fill="FFFFFF"/>
          </w:tcPr>
          <w:p w:rsidR="00ED4DF0" w:rsidRPr="00ED4DF0" w:rsidRDefault="00ED4DF0" w:rsidP="000E0EAA">
            <w:pPr>
              <w:widowControl w:val="0"/>
              <w:spacing w:after="0" w:line="240" w:lineRule="auto"/>
              <w:rPr>
                <w:rFonts w:ascii="Arial" w:eastAsia="Arial" w:hAnsi="Arial" w:cs="Arial"/>
                <w:sz w:val="24"/>
                <w:szCs w:val="24"/>
              </w:rPr>
            </w:pPr>
            <w:hyperlink r:id="rId5">
              <w:r w:rsidRPr="00ED4DF0">
                <w:rPr>
                  <w:rFonts w:ascii="Arial" w:eastAsia="Arial" w:hAnsi="Arial" w:cs="Arial"/>
                  <w:sz w:val="24"/>
                  <w:szCs w:val="24"/>
                </w:rPr>
                <w:t>EVE</w:t>
              </w:r>
            </w:hyperlink>
          </w:p>
        </w:tc>
        <w:tc>
          <w:tcPr>
            <w:tcW w:w="2977" w:type="dxa"/>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Pathogenic Moderate</w:t>
            </w:r>
          </w:p>
        </w:tc>
        <w:tc>
          <w:tcPr>
            <w:tcW w:w="2320" w:type="dxa"/>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w:t>
            </w:r>
          </w:p>
        </w:tc>
      </w:tr>
      <w:tr w:rsidR="00ED4DF0" w:rsidRPr="00ED4DF0" w:rsidTr="000E0EAA">
        <w:trPr>
          <w:trHeight w:val="285"/>
        </w:trPr>
        <w:tc>
          <w:tcPr>
            <w:tcW w:w="1560" w:type="dxa"/>
            <w:vMerge/>
            <w:shd w:val="clear" w:color="auto" w:fill="FFFFFF"/>
          </w:tcPr>
          <w:p w:rsidR="00ED4DF0" w:rsidRPr="00ED4DF0" w:rsidRDefault="00ED4DF0" w:rsidP="000E0EAA">
            <w:pPr>
              <w:widowControl w:val="0"/>
              <w:spacing w:after="0" w:line="240" w:lineRule="auto"/>
              <w:rPr>
                <w:rFonts w:ascii="Arial" w:eastAsia="Arial" w:hAnsi="Arial" w:cs="Arial"/>
                <w:sz w:val="24"/>
                <w:szCs w:val="24"/>
              </w:rPr>
            </w:pPr>
          </w:p>
        </w:tc>
        <w:tc>
          <w:tcPr>
            <w:tcW w:w="1558" w:type="dxa"/>
            <w:gridSpan w:val="3"/>
            <w:shd w:val="clear" w:color="auto" w:fill="FFFFFF"/>
          </w:tcPr>
          <w:p w:rsidR="00ED4DF0" w:rsidRPr="00ED4DF0" w:rsidRDefault="00ED4DF0" w:rsidP="000E0EAA">
            <w:pPr>
              <w:widowControl w:val="0"/>
              <w:spacing w:after="0" w:line="240" w:lineRule="auto"/>
              <w:rPr>
                <w:rFonts w:ascii="Arial" w:eastAsia="Arial" w:hAnsi="Arial" w:cs="Arial"/>
                <w:sz w:val="24"/>
                <w:szCs w:val="24"/>
              </w:rPr>
            </w:pPr>
            <w:hyperlink r:id="rId6">
              <w:proofErr w:type="spellStart"/>
              <w:r w:rsidRPr="00ED4DF0">
                <w:rPr>
                  <w:rFonts w:ascii="Arial" w:eastAsia="Arial" w:hAnsi="Arial" w:cs="Arial"/>
                  <w:sz w:val="24"/>
                  <w:szCs w:val="24"/>
                </w:rPr>
                <w:t>AlphaMissense</w:t>
              </w:r>
              <w:proofErr w:type="spellEnd"/>
            </w:hyperlink>
          </w:p>
        </w:tc>
        <w:tc>
          <w:tcPr>
            <w:tcW w:w="2977" w:type="dxa"/>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Pathogenic Moderate</w:t>
            </w:r>
          </w:p>
        </w:tc>
        <w:tc>
          <w:tcPr>
            <w:tcW w:w="2320" w:type="dxa"/>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w:t>
            </w:r>
          </w:p>
        </w:tc>
      </w:tr>
      <w:tr w:rsidR="00ED4DF0" w:rsidRPr="00ED4DF0" w:rsidTr="000E0EAA">
        <w:trPr>
          <w:trHeight w:val="285"/>
        </w:trPr>
        <w:tc>
          <w:tcPr>
            <w:tcW w:w="1560" w:type="dxa"/>
            <w:vMerge/>
            <w:tcBorders>
              <w:bottom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p>
        </w:tc>
        <w:tc>
          <w:tcPr>
            <w:tcW w:w="1558" w:type="dxa"/>
            <w:gridSpan w:val="3"/>
            <w:tcBorders>
              <w:bottom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hyperlink r:id="rId7">
              <w:r w:rsidRPr="00ED4DF0">
                <w:rPr>
                  <w:rFonts w:ascii="Arial" w:eastAsia="Arial" w:hAnsi="Arial" w:cs="Arial"/>
                  <w:sz w:val="24"/>
                  <w:szCs w:val="24"/>
                </w:rPr>
                <w:t>BLOSUM</w:t>
              </w:r>
            </w:hyperlink>
          </w:p>
        </w:tc>
        <w:tc>
          <w:tcPr>
            <w:tcW w:w="2977" w:type="dxa"/>
            <w:tcBorders>
              <w:bottom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Uncertain</w:t>
            </w:r>
          </w:p>
        </w:tc>
        <w:tc>
          <w:tcPr>
            <w:tcW w:w="2320" w:type="dxa"/>
            <w:tcBorders>
              <w:bottom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w:t>
            </w:r>
          </w:p>
        </w:tc>
      </w:tr>
      <w:tr w:rsidR="00ED4DF0" w:rsidRPr="00ED4DF0" w:rsidTr="000E0EAA">
        <w:trPr>
          <w:trHeight w:val="540"/>
        </w:trPr>
        <w:tc>
          <w:tcPr>
            <w:tcW w:w="1560" w:type="dxa"/>
            <w:vMerge w:val="restart"/>
            <w:tcBorders>
              <w:top w:val="single" w:sz="4" w:space="0" w:color="auto"/>
              <w:bottom w:val="single" w:sz="4" w:space="0" w:color="000000"/>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Variant ACMG/AMP classification</w:t>
            </w:r>
          </w:p>
        </w:tc>
        <w:tc>
          <w:tcPr>
            <w:tcW w:w="1558" w:type="dxa"/>
            <w:gridSpan w:val="3"/>
            <w:tcBorders>
              <w:top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proofErr w:type="spellStart"/>
            <w:r w:rsidRPr="00ED4DF0">
              <w:rPr>
                <w:rFonts w:ascii="Arial" w:eastAsia="Arial" w:hAnsi="Arial" w:cs="Arial"/>
                <w:sz w:val="24"/>
                <w:szCs w:val="24"/>
              </w:rPr>
              <w:t>Clinvar</w:t>
            </w:r>
            <w:proofErr w:type="spellEnd"/>
          </w:p>
        </w:tc>
        <w:tc>
          <w:tcPr>
            <w:tcW w:w="2977" w:type="dxa"/>
            <w:tcBorders>
              <w:top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bCs/>
                <w:sz w:val="24"/>
                <w:szCs w:val="24"/>
              </w:rPr>
              <w:t>Uncertain Significance</w:t>
            </w:r>
          </w:p>
        </w:tc>
        <w:tc>
          <w:tcPr>
            <w:tcW w:w="2320" w:type="dxa"/>
            <w:tcBorders>
              <w:top w:val="single" w:sz="4" w:space="0" w:color="auto"/>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bCs/>
                <w:sz w:val="24"/>
                <w:szCs w:val="24"/>
              </w:rPr>
              <w:t>Pathogenic</w:t>
            </w:r>
          </w:p>
        </w:tc>
      </w:tr>
      <w:tr w:rsidR="00ED4DF0" w:rsidRPr="00ED4DF0" w:rsidTr="000E0EAA">
        <w:trPr>
          <w:trHeight w:val="285"/>
        </w:trPr>
        <w:tc>
          <w:tcPr>
            <w:tcW w:w="1560" w:type="dxa"/>
            <w:vMerge/>
            <w:tcBorders>
              <w:bottom w:val="single" w:sz="4" w:space="0" w:color="000000"/>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p>
        </w:tc>
        <w:tc>
          <w:tcPr>
            <w:tcW w:w="1558" w:type="dxa"/>
            <w:gridSpan w:val="3"/>
            <w:tcBorders>
              <w:bottom w:val="single" w:sz="4" w:space="0" w:color="000000"/>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LOVD3</w:t>
            </w:r>
          </w:p>
        </w:tc>
        <w:tc>
          <w:tcPr>
            <w:tcW w:w="2977" w:type="dxa"/>
            <w:tcBorders>
              <w:bottom w:val="single" w:sz="4" w:space="0" w:color="000000"/>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sz w:val="24"/>
                <w:szCs w:val="24"/>
              </w:rPr>
              <w:t>Pathogenic</w:t>
            </w:r>
          </w:p>
        </w:tc>
        <w:tc>
          <w:tcPr>
            <w:tcW w:w="2320" w:type="dxa"/>
            <w:tcBorders>
              <w:bottom w:val="single" w:sz="4" w:space="0" w:color="000000"/>
            </w:tcBorders>
            <w:shd w:val="clear" w:color="auto" w:fill="FFFFFF"/>
          </w:tcPr>
          <w:p w:rsidR="00ED4DF0" w:rsidRPr="00ED4DF0" w:rsidRDefault="00ED4DF0" w:rsidP="000E0EAA">
            <w:pPr>
              <w:widowControl w:val="0"/>
              <w:spacing w:after="0" w:line="240" w:lineRule="auto"/>
              <w:rPr>
                <w:rFonts w:ascii="Arial" w:eastAsia="Arial" w:hAnsi="Arial" w:cs="Arial"/>
                <w:sz w:val="24"/>
                <w:szCs w:val="24"/>
              </w:rPr>
            </w:pPr>
            <w:r w:rsidRPr="00ED4DF0">
              <w:rPr>
                <w:rFonts w:ascii="Arial" w:eastAsia="Arial" w:hAnsi="Arial" w:cs="Arial"/>
                <w:bCs/>
                <w:sz w:val="24"/>
                <w:szCs w:val="24"/>
              </w:rPr>
              <w:t>Pathogenic</w:t>
            </w:r>
          </w:p>
        </w:tc>
      </w:tr>
    </w:tbl>
    <w:p w:rsidR="00ED4DF0" w:rsidRPr="00ED4DF0" w:rsidRDefault="00ED4DF0" w:rsidP="00ED4DF0">
      <w:pPr>
        <w:spacing w:after="0" w:line="240" w:lineRule="auto"/>
        <w:rPr>
          <w:rFonts w:ascii="Arial" w:eastAsia="Arial" w:hAnsi="Arial" w:cs="Arial"/>
          <w:sz w:val="24"/>
          <w:szCs w:val="24"/>
        </w:rPr>
      </w:pPr>
    </w:p>
    <w:p w:rsidR="00ED4DF0" w:rsidRPr="00ED4DF0" w:rsidRDefault="00ED4DF0" w:rsidP="00ED4DF0">
      <w:pPr>
        <w:widowControl w:val="0"/>
        <w:spacing w:after="0" w:line="240" w:lineRule="auto"/>
        <w:rPr>
          <w:rFonts w:ascii="Arial" w:eastAsia="Arial" w:hAnsi="Arial" w:cs="Arial"/>
          <w:sz w:val="24"/>
          <w:szCs w:val="24"/>
        </w:rPr>
      </w:pPr>
      <w:r w:rsidRPr="00ED4DF0">
        <w:rPr>
          <w:rFonts w:ascii="Arial" w:eastAsia="Arial" w:hAnsi="Arial" w:cs="Arial"/>
          <w:sz w:val="24"/>
          <w:szCs w:val="24"/>
        </w:rPr>
        <w:t xml:space="preserve">References. </w:t>
      </w:r>
    </w:p>
    <w:p w:rsidR="00ED4DF0" w:rsidRPr="00ED4DF0" w:rsidRDefault="00ED4DF0" w:rsidP="00ED4DF0">
      <w:pPr>
        <w:widowControl w:val="0"/>
        <w:spacing w:after="0" w:line="240" w:lineRule="auto"/>
        <w:rPr>
          <w:rFonts w:ascii="Arial" w:eastAsia="Arial" w:hAnsi="Arial" w:cs="Arial"/>
          <w:sz w:val="24"/>
          <w:szCs w:val="24"/>
        </w:rPr>
      </w:pPr>
    </w:p>
    <w:p w:rsidR="00ED4DF0" w:rsidRPr="00ED4DF0" w:rsidRDefault="00ED4DF0" w:rsidP="00ED4DF0">
      <w:pPr>
        <w:widowControl w:val="0"/>
        <w:spacing w:after="0" w:line="240" w:lineRule="auto"/>
        <w:rPr>
          <w:rFonts w:ascii="Arial" w:eastAsia="Arial" w:hAnsi="Arial" w:cs="Arial"/>
          <w:sz w:val="24"/>
          <w:szCs w:val="24"/>
        </w:rPr>
      </w:pPr>
      <w:r w:rsidRPr="00ED4DF0">
        <w:rPr>
          <w:rFonts w:ascii="Arial" w:eastAsia="Arial" w:hAnsi="Arial" w:cs="Arial"/>
          <w:sz w:val="24"/>
          <w:szCs w:val="24"/>
        </w:rPr>
        <w:t xml:space="preserve">Allele 1: </w:t>
      </w:r>
    </w:p>
    <w:p w:rsidR="00ED4DF0" w:rsidRPr="00ED4DF0" w:rsidRDefault="00ED4DF0" w:rsidP="00ED4DF0">
      <w:pPr>
        <w:widowControl w:val="0"/>
        <w:spacing w:after="0" w:line="240" w:lineRule="auto"/>
        <w:rPr>
          <w:rFonts w:ascii="Arial" w:eastAsia="Arial" w:hAnsi="Arial" w:cs="Arial"/>
          <w:sz w:val="24"/>
          <w:szCs w:val="24"/>
        </w:rPr>
      </w:pPr>
    </w:p>
    <w:p w:rsidR="00ED4DF0" w:rsidRPr="00ED4DF0" w:rsidRDefault="00ED4DF0" w:rsidP="00ED4DF0">
      <w:pPr>
        <w:widowControl w:val="0"/>
        <w:spacing w:after="0" w:line="240" w:lineRule="auto"/>
        <w:rPr>
          <w:rFonts w:ascii="Arial" w:eastAsia="Arial" w:hAnsi="Arial" w:cs="Arial"/>
          <w:sz w:val="24"/>
          <w:szCs w:val="24"/>
        </w:rPr>
      </w:pPr>
      <w:hyperlink r:id="rId8">
        <w:r w:rsidRPr="00ED4DF0">
          <w:rPr>
            <w:rStyle w:val="Hipervnculo"/>
            <w:rFonts w:ascii="Arial" w:eastAsia="Arial" w:hAnsi="Arial" w:cs="Arial"/>
            <w:color w:val="auto"/>
            <w:sz w:val="24"/>
            <w:szCs w:val="24"/>
          </w:rPr>
          <w:t>https://varsome.com/variant/hg38/rs1555127166?https%3A%2F%2Fgnomad.broadinstitute.org%2Fvariant%2F11-108335041-G-C</w:t>
        </w:r>
      </w:hyperlink>
      <w:r w:rsidRPr="00ED4DF0">
        <w:rPr>
          <w:rFonts w:ascii="Arial" w:eastAsia="Arial" w:hAnsi="Arial" w:cs="Arial"/>
          <w:sz w:val="24"/>
          <w:szCs w:val="24"/>
        </w:rPr>
        <w:t xml:space="preserve">=; </w:t>
      </w:r>
    </w:p>
    <w:p w:rsidR="00ED4DF0" w:rsidRPr="00ED4DF0" w:rsidRDefault="00ED4DF0" w:rsidP="00ED4DF0">
      <w:pPr>
        <w:widowControl w:val="0"/>
        <w:spacing w:after="0" w:line="240" w:lineRule="auto"/>
        <w:rPr>
          <w:rFonts w:ascii="Arial" w:eastAsia="Arial" w:hAnsi="Arial" w:cs="Arial"/>
          <w:sz w:val="24"/>
          <w:szCs w:val="24"/>
        </w:rPr>
      </w:pPr>
    </w:p>
    <w:p w:rsidR="00ED4DF0" w:rsidRPr="00ED4DF0" w:rsidRDefault="00ED4DF0" w:rsidP="00ED4DF0">
      <w:pPr>
        <w:widowControl w:val="0"/>
        <w:spacing w:after="0" w:line="240" w:lineRule="auto"/>
        <w:rPr>
          <w:rFonts w:ascii="Arial" w:eastAsia="Arial" w:hAnsi="Arial" w:cs="Arial"/>
          <w:sz w:val="24"/>
          <w:szCs w:val="24"/>
        </w:rPr>
      </w:pPr>
      <w:r w:rsidRPr="00ED4DF0">
        <w:rPr>
          <w:rFonts w:ascii="Arial" w:eastAsia="Arial" w:hAnsi="Arial" w:cs="Arial"/>
          <w:sz w:val="24"/>
          <w:szCs w:val="24"/>
        </w:rPr>
        <w:t>https://gnomad.broadinstitute.org/variant/11-108335041-G-C?dataset=gnomad_r4</w:t>
      </w:r>
    </w:p>
    <w:p w:rsidR="00ED4DF0" w:rsidRPr="00ED4DF0" w:rsidRDefault="00ED4DF0" w:rsidP="00ED4DF0">
      <w:pPr>
        <w:widowControl w:val="0"/>
        <w:spacing w:after="0" w:line="240" w:lineRule="auto"/>
        <w:rPr>
          <w:rFonts w:ascii="Arial" w:eastAsia="Arial" w:hAnsi="Arial" w:cs="Arial"/>
          <w:sz w:val="24"/>
          <w:szCs w:val="24"/>
        </w:rPr>
      </w:pPr>
    </w:p>
    <w:p w:rsidR="00ED4DF0" w:rsidRPr="00ED4DF0" w:rsidRDefault="00ED4DF0" w:rsidP="00ED4DF0">
      <w:pPr>
        <w:widowControl w:val="0"/>
        <w:spacing w:after="0" w:line="240" w:lineRule="auto"/>
        <w:rPr>
          <w:rFonts w:ascii="Arial" w:eastAsia="Arial" w:hAnsi="Arial" w:cs="Arial"/>
          <w:sz w:val="24"/>
          <w:szCs w:val="24"/>
        </w:rPr>
      </w:pPr>
      <w:hyperlink r:id="rId9">
        <w:r w:rsidRPr="00ED4DF0">
          <w:rPr>
            <w:rStyle w:val="Hipervnculo"/>
            <w:rFonts w:ascii="Arial" w:eastAsia="Arial" w:hAnsi="Arial" w:cs="Arial"/>
            <w:color w:val="auto"/>
            <w:sz w:val="24"/>
            <w:szCs w:val="24"/>
          </w:rPr>
          <w:t>https://www.ncbi.nlm.nih.gov/clinvar/variation/524387/?oq=NM_000051.4+%22c.8083G%3EA;%22[VARNAME]&amp;m=NM_000051.4(ATM):c.8083G%3EA%20(p.Gly2695Ser)%3Fterm=NM_000051.4%20%20c.8083G%3EA</w:t>
        </w:r>
      </w:hyperlink>
      <w:r w:rsidRPr="00ED4DF0">
        <w:rPr>
          <w:rFonts w:ascii="Arial" w:eastAsia="Arial" w:hAnsi="Arial" w:cs="Arial"/>
          <w:sz w:val="24"/>
          <w:szCs w:val="24"/>
        </w:rPr>
        <w:t>;</w:t>
      </w:r>
    </w:p>
    <w:p w:rsidR="00ED4DF0" w:rsidRPr="00ED4DF0" w:rsidRDefault="00ED4DF0" w:rsidP="00ED4DF0">
      <w:pPr>
        <w:widowControl w:val="0"/>
        <w:spacing w:after="0" w:line="240" w:lineRule="auto"/>
        <w:rPr>
          <w:rFonts w:ascii="Arial" w:eastAsia="Arial" w:hAnsi="Arial" w:cs="Arial"/>
          <w:sz w:val="24"/>
          <w:szCs w:val="24"/>
        </w:rPr>
      </w:pPr>
    </w:p>
    <w:p w:rsidR="00ED4DF0" w:rsidRPr="00ED4DF0" w:rsidRDefault="00ED4DF0" w:rsidP="00ED4DF0">
      <w:pPr>
        <w:widowControl w:val="0"/>
        <w:spacing w:after="0" w:line="240" w:lineRule="auto"/>
        <w:rPr>
          <w:rFonts w:ascii="Arial" w:eastAsia="Arial" w:hAnsi="Arial" w:cs="Arial"/>
          <w:sz w:val="24"/>
          <w:szCs w:val="24"/>
        </w:rPr>
      </w:pPr>
      <w:hyperlink r:id="rId10" w:anchor="00000155" w:history="1">
        <w:r w:rsidRPr="00ED4DF0">
          <w:rPr>
            <w:rStyle w:val="Hipervnculo"/>
            <w:rFonts w:ascii="Arial" w:eastAsia="Arial" w:hAnsi="Arial" w:cs="Arial"/>
            <w:color w:val="auto"/>
            <w:sz w:val="24"/>
            <w:szCs w:val="24"/>
          </w:rPr>
          <w:t>https://databases.lovd.nl/shared/variants/0000474474#00000155</w:t>
        </w:r>
      </w:hyperlink>
    </w:p>
    <w:p w:rsidR="00ED4DF0" w:rsidRPr="00ED4DF0" w:rsidRDefault="00ED4DF0" w:rsidP="00ED4DF0">
      <w:pPr>
        <w:widowControl w:val="0"/>
        <w:spacing w:after="0" w:line="240" w:lineRule="auto"/>
        <w:rPr>
          <w:rFonts w:ascii="Arial" w:eastAsia="Arial" w:hAnsi="Arial" w:cs="Arial"/>
          <w:sz w:val="24"/>
          <w:szCs w:val="24"/>
        </w:rPr>
      </w:pPr>
    </w:p>
    <w:p w:rsidR="00ED4DF0" w:rsidRPr="00ED4DF0" w:rsidRDefault="00ED4DF0" w:rsidP="00ED4DF0">
      <w:pPr>
        <w:widowControl w:val="0"/>
        <w:spacing w:after="0" w:line="240" w:lineRule="auto"/>
        <w:rPr>
          <w:rFonts w:ascii="Arial" w:eastAsia="Arial" w:hAnsi="Arial" w:cs="Arial"/>
          <w:sz w:val="24"/>
          <w:szCs w:val="24"/>
        </w:rPr>
      </w:pPr>
      <w:r w:rsidRPr="00ED4DF0">
        <w:rPr>
          <w:rFonts w:ascii="Arial" w:eastAsia="Arial" w:hAnsi="Arial" w:cs="Arial"/>
          <w:sz w:val="24"/>
          <w:szCs w:val="24"/>
        </w:rPr>
        <w:t>Allele 2:</w:t>
      </w:r>
    </w:p>
    <w:p w:rsidR="00ED4DF0" w:rsidRPr="00ED4DF0" w:rsidRDefault="00ED4DF0" w:rsidP="00ED4DF0">
      <w:pPr>
        <w:widowControl w:val="0"/>
        <w:spacing w:after="0" w:line="240" w:lineRule="auto"/>
        <w:rPr>
          <w:rFonts w:ascii="Arial" w:eastAsia="Arial" w:hAnsi="Arial" w:cs="Arial"/>
          <w:sz w:val="24"/>
          <w:szCs w:val="24"/>
        </w:rPr>
      </w:pPr>
    </w:p>
    <w:p w:rsidR="00ED4DF0" w:rsidRPr="00ED4DF0" w:rsidRDefault="00ED4DF0" w:rsidP="00ED4DF0">
      <w:pPr>
        <w:widowControl w:val="0"/>
        <w:spacing w:after="0" w:line="240" w:lineRule="auto"/>
        <w:rPr>
          <w:rFonts w:ascii="Arial" w:eastAsia="Arial" w:hAnsi="Arial" w:cs="Arial"/>
          <w:sz w:val="24"/>
          <w:szCs w:val="24"/>
        </w:rPr>
      </w:pPr>
      <w:hyperlink r:id="rId11">
        <w:r w:rsidRPr="00ED4DF0">
          <w:rPr>
            <w:rStyle w:val="Hipervnculo"/>
            <w:rFonts w:ascii="Arial" w:eastAsia="Arial" w:hAnsi="Arial" w:cs="Arial"/>
            <w:color w:val="auto"/>
            <w:sz w:val="24"/>
            <w:szCs w:val="24"/>
          </w:rPr>
          <w:t>https://varsome.com/variant/hg38/rs587781558</w:t>
        </w:r>
      </w:hyperlink>
      <w:r w:rsidRPr="00ED4DF0">
        <w:rPr>
          <w:rFonts w:ascii="Arial" w:eastAsia="Arial" w:hAnsi="Arial" w:cs="Arial"/>
          <w:sz w:val="24"/>
          <w:szCs w:val="24"/>
        </w:rPr>
        <w:t>?</w:t>
      </w:r>
    </w:p>
    <w:p w:rsidR="00ED4DF0" w:rsidRPr="00ED4DF0" w:rsidRDefault="00ED4DF0" w:rsidP="00ED4DF0">
      <w:pPr>
        <w:widowControl w:val="0"/>
        <w:spacing w:after="0" w:line="240" w:lineRule="auto"/>
        <w:rPr>
          <w:rFonts w:ascii="Arial" w:eastAsia="Arial" w:hAnsi="Arial" w:cs="Arial"/>
          <w:sz w:val="24"/>
          <w:szCs w:val="24"/>
        </w:rPr>
      </w:pPr>
    </w:p>
    <w:p w:rsidR="00ED4DF0" w:rsidRPr="00ED4DF0" w:rsidRDefault="00ED4DF0" w:rsidP="00ED4DF0">
      <w:pPr>
        <w:widowControl w:val="0"/>
        <w:spacing w:after="0" w:line="240" w:lineRule="auto"/>
        <w:rPr>
          <w:rFonts w:ascii="Arial" w:eastAsia="Arial" w:hAnsi="Arial" w:cs="Arial"/>
          <w:sz w:val="24"/>
          <w:szCs w:val="24"/>
        </w:rPr>
      </w:pPr>
      <w:hyperlink r:id="rId12">
        <w:r w:rsidRPr="00ED4DF0">
          <w:rPr>
            <w:rStyle w:val="Hipervnculo"/>
            <w:rFonts w:ascii="Arial" w:eastAsia="Arial" w:hAnsi="Arial" w:cs="Arial"/>
            <w:color w:val="auto"/>
            <w:sz w:val="24"/>
            <w:szCs w:val="24"/>
          </w:rPr>
          <w:t>https://gnomad.broadinstitute.org/variant/11-108271147-G-C?dataset=gnomad_r4</w:t>
        </w:r>
      </w:hyperlink>
    </w:p>
    <w:p w:rsidR="00ED4DF0" w:rsidRPr="00ED4DF0" w:rsidRDefault="00ED4DF0" w:rsidP="00ED4DF0">
      <w:pPr>
        <w:widowControl w:val="0"/>
        <w:spacing w:after="0" w:line="240" w:lineRule="auto"/>
        <w:rPr>
          <w:rFonts w:ascii="Arial" w:eastAsia="Arial" w:hAnsi="Arial" w:cs="Arial"/>
          <w:sz w:val="24"/>
          <w:szCs w:val="24"/>
        </w:rPr>
      </w:pPr>
    </w:p>
    <w:p w:rsidR="00ED4DF0" w:rsidRPr="00ED4DF0" w:rsidRDefault="00ED4DF0" w:rsidP="00ED4DF0">
      <w:pPr>
        <w:widowControl w:val="0"/>
        <w:spacing w:after="0" w:line="240" w:lineRule="auto"/>
        <w:rPr>
          <w:rFonts w:ascii="Arial" w:eastAsia="Arial" w:hAnsi="Arial" w:cs="Arial"/>
          <w:sz w:val="24"/>
          <w:szCs w:val="24"/>
        </w:rPr>
      </w:pPr>
      <w:hyperlink r:id="rId13">
        <w:r w:rsidRPr="00ED4DF0">
          <w:rPr>
            <w:rStyle w:val="Hipervnculo"/>
            <w:rFonts w:ascii="Arial" w:eastAsia="Arial" w:hAnsi="Arial" w:cs="Arial"/>
            <w:color w:val="auto"/>
            <w:sz w:val="24"/>
            <w:szCs w:val="24"/>
          </w:rPr>
          <w:t>https://www.ncbi.nlm.nih.gov/clinvar/variation/141182/?oq=NM_000051.4+%22c.2921+1G%3EA%22[VARNAME]&amp;m=NM_000051.4(ATM):c.2921%201G%3EA</w:t>
        </w:r>
      </w:hyperlink>
    </w:p>
    <w:p w:rsidR="00ED4DF0" w:rsidRPr="00ED4DF0" w:rsidRDefault="00ED4DF0" w:rsidP="00ED4DF0">
      <w:pPr>
        <w:widowControl w:val="0"/>
        <w:spacing w:after="0" w:line="240" w:lineRule="auto"/>
        <w:rPr>
          <w:rFonts w:ascii="Arial" w:eastAsia="Arial" w:hAnsi="Arial" w:cs="Arial"/>
          <w:sz w:val="24"/>
          <w:szCs w:val="24"/>
        </w:rPr>
      </w:pPr>
    </w:p>
    <w:p w:rsidR="00ED4DF0" w:rsidRPr="00ED4DF0" w:rsidRDefault="00ED4DF0" w:rsidP="00ED4DF0">
      <w:pPr>
        <w:widowControl w:val="0"/>
        <w:spacing w:after="0" w:line="240" w:lineRule="auto"/>
        <w:rPr>
          <w:rFonts w:ascii="Arial" w:eastAsia="Arial" w:hAnsi="Arial" w:cs="Arial"/>
          <w:sz w:val="24"/>
          <w:szCs w:val="24"/>
        </w:rPr>
      </w:pPr>
      <w:r w:rsidRPr="00ED4DF0">
        <w:rPr>
          <w:rFonts w:ascii="Arial" w:eastAsia="Arial" w:hAnsi="Arial" w:cs="Arial"/>
          <w:sz w:val="24"/>
          <w:szCs w:val="24"/>
        </w:rPr>
        <w:t>https://databases.lovd.nl/shared/variants/ATM/unique#object_id=VariantOnTranscriptUnique%2CVariantOnGenome&amp;id=ATM&amp;order=VariantOnTranscript%2FDNA%2CASC&amp;search_transcriptid=00000155&amp;search_VariantOnTranscript/DNA=c.2921%2B1G&gt;A%20&amp;page_size=100&amp;page=1</w:t>
      </w:r>
    </w:p>
    <w:bookmarkEnd w:id="0"/>
    <w:p w:rsidR="00ED4DF0" w:rsidRPr="00B35191" w:rsidRDefault="00ED4DF0" w:rsidP="00ED4DF0">
      <w:pPr>
        <w:widowControl w:val="0"/>
        <w:spacing w:after="0" w:line="240" w:lineRule="auto"/>
        <w:rPr>
          <w:rFonts w:ascii="Arial" w:eastAsia="Arial" w:hAnsi="Arial" w:cs="Arial"/>
          <w:sz w:val="24"/>
          <w:szCs w:val="24"/>
        </w:rPr>
      </w:pPr>
    </w:p>
    <w:p w:rsidR="00ED4DF0" w:rsidRPr="00B35191" w:rsidRDefault="00ED4DF0" w:rsidP="00ED4DF0">
      <w:pPr>
        <w:widowControl w:val="0"/>
        <w:spacing w:after="0" w:line="240" w:lineRule="auto"/>
        <w:rPr>
          <w:rFonts w:ascii="Arial" w:eastAsia="Arial" w:hAnsi="Arial" w:cs="Arial"/>
          <w:sz w:val="24"/>
          <w:szCs w:val="24"/>
        </w:rPr>
      </w:pPr>
    </w:p>
    <w:p w:rsidR="00ED4DF0" w:rsidRPr="00B35191" w:rsidRDefault="00ED4DF0" w:rsidP="00ED4DF0">
      <w:pPr>
        <w:widowControl w:val="0"/>
        <w:spacing w:after="0" w:line="240" w:lineRule="auto"/>
        <w:rPr>
          <w:rFonts w:ascii="Arial" w:eastAsia="Arial" w:hAnsi="Arial" w:cs="Arial"/>
          <w:sz w:val="24"/>
          <w:szCs w:val="24"/>
        </w:rPr>
      </w:pPr>
    </w:p>
    <w:p w:rsidR="00ED4DF0" w:rsidRPr="00B35191" w:rsidRDefault="00ED4DF0" w:rsidP="00ED4DF0">
      <w:pPr>
        <w:widowControl w:val="0"/>
        <w:spacing w:after="0" w:line="240" w:lineRule="auto"/>
        <w:rPr>
          <w:rFonts w:ascii="Arial" w:eastAsia="Arial" w:hAnsi="Arial" w:cs="Arial"/>
          <w:sz w:val="24"/>
          <w:szCs w:val="24"/>
        </w:rPr>
      </w:pPr>
    </w:p>
    <w:p w:rsidR="00ED4DF0" w:rsidRPr="00B35191" w:rsidRDefault="00ED4DF0" w:rsidP="00ED4DF0">
      <w:pPr>
        <w:widowControl w:val="0"/>
        <w:spacing w:after="0" w:line="240" w:lineRule="auto"/>
        <w:rPr>
          <w:rFonts w:ascii="Arial" w:eastAsia="Arial" w:hAnsi="Arial" w:cs="Arial"/>
          <w:sz w:val="24"/>
          <w:szCs w:val="24"/>
        </w:rPr>
      </w:pPr>
    </w:p>
    <w:p w:rsidR="00ED4DF0" w:rsidRPr="00B35191" w:rsidRDefault="00ED4DF0" w:rsidP="00ED4DF0">
      <w:pPr>
        <w:widowControl w:val="0"/>
        <w:spacing w:after="0" w:line="480" w:lineRule="auto"/>
        <w:rPr>
          <w:rFonts w:ascii="Arial" w:eastAsia="Arial" w:hAnsi="Arial" w:cs="Arial"/>
          <w:sz w:val="24"/>
          <w:szCs w:val="24"/>
        </w:rPr>
      </w:pPr>
    </w:p>
    <w:p w:rsidR="00ED4DF0" w:rsidRPr="00B35191" w:rsidRDefault="00ED4DF0" w:rsidP="00ED4DF0">
      <w:pPr>
        <w:rPr>
          <w:rFonts w:ascii="Arial" w:hAnsi="Arial" w:cs="Arial"/>
          <w:sz w:val="24"/>
          <w:szCs w:val="24"/>
        </w:rPr>
      </w:pPr>
    </w:p>
    <w:p w:rsidR="00ED4DF0" w:rsidRPr="00B35191" w:rsidRDefault="00ED4DF0" w:rsidP="00ED4DF0">
      <w:pPr>
        <w:rPr>
          <w:rFonts w:ascii="Arial" w:hAnsi="Arial" w:cs="Arial"/>
          <w:sz w:val="24"/>
          <w:szCs w:val="24"/>
        </w:rPr>
      </w:pPr>
    </w:p>
    <w:p w:rsidR="00ED4DF0" w:rsidRPr="00B35191" w:rsidRDefault="00ED4DF0" w:rsidP="00ED4DF0">
      <w:pPr>
        <w:rPr>
          <w:rFonts w:ascii="Arial" w:hAnsi="Arial" w:cs="Arial"/>
          <w:sz w:val="24"/>
          <w:szCs w:val="24"/>
        </w:rPr>
      </w:pPr>
    </w:p>
    <w:p w:rsidR="00386B21" w:rsidRDefault="00386B21"/>
    <w:sectPr w:rsidR="00386B21">
      <w:pgSz w:w="11906" w:h="16838"/>
      <w:pgMar w:top="1417" w:right="1701" w:bottom="1417" w:left="1701"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DF0"/>
    <w:rsid w:val="00386B21"/>
    <w:rsid w:val="00ED4D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9DC8F1-733E-4556-90FE-DB3BC7D0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DF0"/>
    <w:pPr>
      <w:suppressAutoHyphens/>
    </w:pPr>
    <w:rPr>
      <w:rFonts w:ascii="Calibri" w:eastAsia="Calibri" w:hAnsi="Calibri" w:cs="Calibri"/>
      <w:lang w:val="en-U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D4D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rsome.com/variant/hg38/rs1555127166?https%3A%2F%2Fgnomad.broadinstitute.org%2Fvariant%2F11-108335041-G-C" TargetMode="External"/><Relationship Id="rId13" Type="http://schemas.openxmlformats.org/officeDocument/2006/relationships/hyperlink" Target="https://www.ncbi.nlm.nih.gov/clinvar/variation/141182/?oq=NM_000051.4+%22c.2921+1G%3EA%22%5BVARNAME%5D&amp;m=NM_000051.4(ATM):c.2921%201G%3EA" TargetMode="External"/><Relationship Id="rId3" Type="http://schemas.openxmlformats.org/officeDocument/2006/relationships/webSettings" Target="webSettings.xml"/><Relationship Id="rId7" Type="http://schemas.openxmlformats.org/officeDocument/2006/relationships/hyperlink" Target="https://en.wikipedia.org/wiki/BLOSUM" TargetMode="External"/><Relationship Id="rId12" Type="http://schemas.openxmlformats.org/officeDocument/2006/relationships/hyperlink" Target="https://gnomad.broadinstitute.org/variant/11-108271147-G-C?dataset=gnomad_r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org/doi/10.1126/science.adg7492" TargetMode="External"/><Relationship Id="rId11" Type="http://schemas.openxmlformats.org/officeDocument/2006/relationships/hyperlink" Target="https://varsome.com/variant/hg38/rs587781558" TargetMode="External"/><Relationship Id="rId5" Type="http://schemas.openxmlformats.org/officeDocument/2006/relationships/hyperlink" Target="https://evemodel.org/" TargetMode="External"/><Relationship Id="rId15" Type="http://schemas.openxmlformats.org/officeDocument/2006/relationships/theme" Target="theme/theme1.xml"/><Relationship Id="rId10" Type="http://schemas.openxmlformats.org/officeDocument/2006/relationships/hyperlink" Target="https://databases.lovd.nl/shared/variants/0000474474" TargetMode="External"/><Relationship Id="rId4" Type="http://schemas.openxmlformats.org/officeDocument/2006/relationships/hyperlink" Target="http://hollywood.mit.edu/burgelab/maxent/Xmaxentscan_scoreseq.html" TargetMode="External"/><Relationship Id="rId9" Type="http://schemas.openxmlformats.org/officeDocument/2006/relationships/hyperlink" Target="https://www.ncbi.nlm.nih.gov/clinvar/variation/524387/?oq=NM_000051.4+%22c.8083G%3EA;%22%5BVARNAME%5D&amp;m=NM_000051.4(ATM):c.8083G%3EA%20(p.Gly2695Ser)%3Fterm=NM_000051.4%20%20c.8083G%3EA"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4327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dc:creator>
  <cp:keywords/>
  <dc:description/>
  <cp:lastModifiedBy>Viviana</cp:lastModifiedBy>
  <cp:revision>1</cp:revision>
  <dcterms:created xsi:type="dcterms:W3CDTF">2026-03-23T21:06:00Z</dcterms:created>
  <dcterms:modified xsi:type="dcterms:W3CDTF">2026-03-23T21:07:00Z</dcterms:modified>
</cp:coreProperties>
</file>