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78C6" w14:textId="77777777" w:rsidR="00EE5649" w:rsidRPr="00142CA6" w:rsidRDefault="00EE5649">
      <w:pPr>
        <w:rPr>
          <w:rFonts w:asciiTheme="majorBidi" w:hAnsiTheme="majorBidi" w:cstheme="majorBidi"/>
        </w:rPr>
      </w:pPr>
    </w:p>
    <w:p w14:paraId="71646D16" w14:textId="77777777" w:rsidR="00846B7C" w:rsidRPr="00142CA6" w:rsidRDefault="00846B7C">
      <w:pPr>
        <w:rPr>
          <w:rFonts w:asciiTheme="majorBidi" w:hAnsiTheme="majorBidi" w:cstheme="majorBidi"/>
        </w:rPr>
      </w:pPr>
    </w:p>
    <w:p w14:paraId="582D9CD8" w14:textId="77777777" w:rsidR="00846B7C" w:rsidRPr="00142CA6" w:rsidRDefault="00846B7C">
      <w:pPr>
        <w:rPr>
          <w:rFonts w:asciiTheme="majorBidi" w:hAnsiTheme="majorBidi" w:cstheme="majorBidi"/>
        </w:rPr>
      </w:pPr>
    </w:p>
    <w:p w14:paraId="0B584301" w14:textId="77777777" w:rsidR="00846B7C" w:rsidRPr="00142CA6" w:rsidRDefault="00846B7C">
      <w:pPr>
        <w:rPr>
          <w:rFonts w:asciiTheme="majorBidi" w:hAnsiTheme="majorBidi" w:cstheme="majorBidi"/>
        </w:rPr>
      </w:pPr>
    </w:p>
    <w:p w14:paraId="4B833F52" w14:textId="7AB8ACE8" w:rsidR="00142CA6" w:rsidRPr="00142CA6" w:rsidRDefault="00142CA6" w:rsidP="00142CA6">
      <w:pPr>
        <w:spacing w:line="480" w:lineRule="auto"/>
        <w:jc w:val="center"/>
        <w:rPr>
          <w:rFonts w:ascii="Times New Roman" w:hAnsi="Times New Roman"/>
          <w:b/>
          <w:bCs/>
          <w:i/>
          <w:iCs/>
          <w:sz w:val="144"/>
          <w:szCs w:val="144"/>
          <w:lang w:bidi="fa-IR"/>
        </w:rPr>
      </w:pPr>
      <w:r w:rsidRPr="00142CA6">
        <w:rPr>
          <w:rFonts w:ascii="Times New Roman" w:hAnsi="Times New Roman"/>
          <w:b/>
          <w:bCs/>
          <w:i/>
          <w:iCs/>
          <w:sz w:val="144"/>
          <w:szCs w:val="144"/>
          <w:lang w:bidi="fa-IR"/>
        </w:rPr>
        <w:t>Supplementary Figures</w:t>
      </w:r>
    </w:p>
    <w:p w14:paraId="5FC8B77E" w14:textId="77777777" w:rsidR="00142CA6" w:rsidRDefault="00142CA6" w:rsidP="00142CA6">
      <w:pPr>
        <w:spacing w:line="480" w:lineRule="auto"/>
        <w:jc w:val="center"/>
        <w:rPr>
          <w:rFonts w:ascii="Times New Roman" w:hAnsi="Times New Roman"/>
          <w:b/>
          <w:bCs/>
          <w:sz w:val="96"/>
          <w:szCs w:val="96"/>
          <w:lang w:bidi="fa-IR"/>
        </w:rPr>
      </w:pPr>
    </w:p>
    <w:p w14:paraId="448B65C2" w14:textId="05210BA7" w:rsidR="00142CA6" w:rsidRPr="00142CA6" w:rsidRDefault="00142CA6" w:rsidP="00142CA6">
      <w:pPr>
        <w:spacing w:line="480" w:lineRule="auto"/>
        <w:jc w:val="center"/>
        <w:rPr>
          <w:rFonts w:ascii="Times New Roman" w:hAnsi="Times New Roman"/>
          <w:b/>
          <w:bCs/>
          <w:sz w:val="96"/>
          <w:szCs w:val="96"/>
          <w:lang w:bidi="fa-IR"/>
        </w:rPr>
      </w:pPr>
      <w:r w:rsidRPr="00A65B67">
        <w:rPr>
          <w:rFonts w:ascii="Times New Roman" w:hAnsi="Times New Roman"/>
          <w:b/>
          <w:bCs/>
          <w:sz w:val="96"/>
          <w:szCs w:val="96"/>
          <w:lang w:bidi="fa-IR"/>
        </w:rPr>
        <w:t>Deep Learning and Feature Selection Reveal Compact Gene Panels</w:t>
      </w:r>
      <w:r w:rsidRPr="00142CA6">
        <w:rPr>
          <w:rFonts w:ascii="Times New Roman" w:hAnsi="Times New Roman"/>
          <w:b/>
          <w:bCs/>
          <w:sz w:val="96"/>
          <w:szCs w:val="96"/>
          <w:lang w:bidi="fa-IR"/>
        </w:rPr>
        <w:t xml:space="preserve"> Characterizing </w:t>
      </w:r>
      <w:r w:rsidRPr="00A65B67">
        <w:rPr>
          <w:rFonts w:ascii="Times New Roman" w:hAnsi="Times New Roman"/>
          <w:b/>
          <w:bCs/>
          <w:sz w:val="96"/>
          <w:szCs w:val="96"/>
          <w:lang w:bidi="fa-IR"/>
        </w:rPr>
        <w:t>Drought and Heat Stress Responses in Rice</w:t>
      </w:r>
    </w:p>
    <w:p w14:paraId="32CBA39C" w14:textId="77777777" w:rsidR="00142CA6" w:rsidRPr="00A65B67" w:rsidRDefault="00142CA6" w:rsidP="00142CA6">
      <w:pPr>
        <w:spacing w:line="480" w:lineRule="auto"/>
        <w:jc w:val="center"/>
        <w:rPr>
          <w:rFonts w:ascii="Times New Roman" w:hAnsi="Times New Roman"/>
          <w:sz w:val="56"/>
          <w:szCs w:val="56"/>
          <w:lang w:bidi="fa-IR"/>
        </w:rPr>
      </w:pPr>
    </w:p>
    <w:p w14:paraId="4950733C" w14:textId="77777777" w:rsidR="00142CA6" w:rsidRPr="008B31A8" w:rsidRDefault="00142CA6" w:rsidP="00142CA6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kern w:val="0"/>
          <w:sz w:val="56"/>
          <w:szCs w:val="56"/>
          <w:vertAlign w:val="superscript"/>
          <w14:ligatures w14:val="none"/>
        </w:rPr>
      </w:pPr>
      <w:r w:rsidRPr="008B31A8">
        <w:rPr>
          <w:rFonts w:ascii="Times New Roman" w:eastAsia="Calibri" w:hAnsi="Times New Roman" w:cs="Times New Roman"/>
          <w:b/>
          <w:bCs/>
          <w:kern w:val="0"/>
          <w:sz w:val="56"/>
          <w:szCs w:val="56"/>
          <w14:ligatures w14:val="none"/>
        </w:rPr>
        <w:t xml:space="preserve">Masoud Shahsavari </w:t>
      </w:r>
      <w:r w:rsidRPr="00142CA6">
        <w:rPr>
          <w:rFonts w:ascii="Times New Roman" w:eastAsia="Calibri" w:hAnsi="Times New Roman" w:cs="Times New Roman"/>
          <w:b/>
          <w:bCs/>
          <w:kern w:val="0"/>
          <w:sz w:val="56"/>
          <w:szCs w:val="56"/>
          <w:vertAlign w:val="superscript"/>
          <w14:ligatures w14:val="none"/>
        </w:rPr>
        <w:t xml:space="preserve">a, </w:t>
      </w:r>
      <w:r w:rsidRPr="00142CA6">
        <w:rPr>
          <w:rFonts w:ascii="Times New Roman" w:eastAsia="Calibri" w:hAnsi="Times New Roman" w:cs="Times New Roman"/>
          <w:b/>
          <w:bCs/>
          <w:kern w:val="0"/>
          <w:sz w:val="56"/>
          <w:szCs w:val="56"/>
          <w14:ligatures w14:val="none"/>
        </w:rPr>
        <w:t>*</w:t>
      </w:r>
    </w:p>
    <w:p w14:paraId="2E619D4A" w14:textId="77777777" w:rsidR="00142CA6" w:rsidRPr="00142CA6" w:rsidRDefault="00142CA6" w:rsidP="00142CA6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kern w:val="0"/>
          <w:sz w:val="56"/>
          <w:szCs w:val="56"/>
          <w14:ligatures w14:val="none"/>
        </w:rPr>
      </w:pPr>
    </w:p>
    <w:p w14:paraId="71DBE736" w14:textId="77777777" w:rsidR="00142CA6" w:rsidRPr="00142CA6" w:rsidRDefault="00142CA6" w:rsidP="00142CA6">
      <w:pPr>
        <w:spacing w:line="480" w:lineRule="auto"/>
        <w:jc w:val="center"/>
        <w:rPr>
          <w:rFonts w:ascii="Times New Roman" w:eastAsia="Calibri" w:hAnsi="Times New Roman" w:cs="Times New Roman"/>
          <w:kern w:val="0"/>
          <w:sz w:val="56"/>
          <w:szCs w:val="56"/>
          <w14:ligatures w14:val="none"/>
        </w:rPr>
      </w:pPr>
      <w:r w:rsidRPr="008B31A8">
        <w:rPr>
          <w:rFonts w:ascii="Times New Roman" w:eastAsia="Calibri" w:hAnsi="Times New Roman" w:cs="Times New Roman"/>
          <w:b/>
          <w:bCs/>
          <w:kern w:val="0"/>
          <w:sz w:val="72"/>
          <w:szCs w:val="72"/>
          <w:vertAlign w:val="superscript"/>
          <w14:ligatures w14:val="none"/>
        </w:rPr>
        <w:t>a</w:t>
      </w:r>
      <w:r w:rsidRPr="008B31A8">
        <w:rPr>
          <w:rFonts w:ascii="Times New Roman" w:eastAsia="Calibri" w:hAnsi="Times New Roman" w:cs="Times New Roman"/>
          <w:b/>
          <w:bCs/>
          <w:kern w:val="0"/>
          <w:sz w:val="72"/>
          <w:szCs w:val="72"/>
          <w14:ligatures w14:val="none"/>
        </w:rPr>
        <w:t xml:space="preserve"> </w:t>
      </w:r>
      <w:r w:rsidRPr="008B31A8">
        <w:rPr>
          <w:rFonts w:ascii="Times New Roman" w:eastAsia="Calibri" w:hAnsi="Times New Roman" w:cs="Times New Roman"/>
          <w:kern w:val="0"/>
          <w:sz w:val="56"/>
          <w:szCs w:val="56"/>
          <w14:ligatures w14:val="none"/>
        </w:rPr>
        <w:t>Department of Agronomy and Plant Breeding, College of Agriculture and Natural Resources, University of Tehran, Karaj, Iran.</w:t>
      </w:r>
    </w:p>
    <w:p w14:paraId="1C41FFD3" w14:textId="77777777" w:rsidR="00142CA6" w:rsidRPr="008B31A8" w:rsidRDefault="00142CA6" w:rsidP="00142CA6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kern w:val="0"/>
          <w:sz w:val="72"/>
          <w:szCs w:val="72"/>
          <w14:ligatures w14:val="none"/>
        </w:rPr>
      </w:pPr>
    </w:p>
    <w:p w14:paraId="2B000936" w14:textId="77777777" w:rsidR="00142CA6" w:rsidRPr="008B31A8" w:rsidRDefault="00142CA6" w:rsidP="00142CA6">
      <w:pPr>
        <w:spacing w:line="480" w:lineRule="auto"/>
        <w:jc w:val="center"/>
        <w:rPr>
          <w:rFonts w:asciiTheme="majorBidi" w:eastAsia="Calibri" w:hAnsiTheme="majorBidi" w:cstheme="majorBidi"/>
          <w:kern w:val="0"/>
          <w:sz w:val="56"/>
          <w:szCs w:val="56"/>
          <w14:ligatures w14:val="none"/>
        </w:rPr>
      </w:pPr>
      <w:r w:rsidRPr="008B31A8">
        <w:rPr>
          <w:rFonts w:asciiTheme="majorBidi" w:eastAsia="Calibri" w:hAnsiTheme="majorBidi" w:cstheme="majorBidi"/>
          <w:kern w:val="0"/>
          <w:sz w:val="56"/>
          <w:szCs w:val="56"/>
          <w:vertAlign w:val="superscript"/>
          <w14:ligatures w14:val="none"/>
        </w:rPr>
        <w:t>*</w:t>
      </w:r>
      <w:r w:rsidRPr="008B31A8">
        <w:rPr>
          <w:rFonts w:asciiTheme="majorBidi" w:eastAsia="Calibri" w:hAnsiTheme="majorBidi" w:cstheme="majorBidi"/>
          <w:kern w:val="0"/>
          <w:sz w:val="56"/>
          <w:szCs w:val="56"/>
          <w14:ligatures w14:val="none"/>
        </w:rPr>
        <w:t xml:space="preserve"> Corresponding author: </w:t>
      </w:r>
      <w:r w:rsidRPr="008B31A8">
        <w:rPr>
          <w:rFonts w:asciiTheme="majorBidi" w:eastAsia="Calibri" w:hAnsiTheme="majorBidi" w:cstheme="majorBidi"/>
          <w:i/>
          <w:iCs/>
          <w:kern w:val="0"/>
          <w:sz w:val="56"/>
          <w:szCs w:val="56"/>
          <w14:ligatures w14:val="none"/>
        </w:rPr>
        <w:t>Mobile</w:t>
      </w:r>
      <w:r w:rsidRPr="008B31A8">
        <w:rPr>
          <w:rFonts w:asciiTheme="majorBidi" w:eastAsia="Calibri" w:hAnsiTheme="majorBidi" w:cstheme="majorBidi"/>
          <w:kern w:val="0"/>
          <w:sz w:val="56"/>
          <w:szCs w:val="56"/>
          <w14:ligatures w14:val="none"/>
        </w:rPr>
        <w:t xml:space="preserve">: +989352326448. </w:t>
      </w:r>
      <w:r w:rsidRPr="008B31A8">
        <w:rPr>
          <w:rFonts w:asciiTheme="majorBidi" w:eastAsia="Calibri" w:hAnsiTheme="majorBidi" w:cstheme="majorBidi"/>
          <w:i/>
          <w:iCs/>
          <w:kern w:val="0"/>
          <w:sz w:val="56"/>
          <w:szCs w:val="56"/>
          <w14:ligatures w14:val="none"/>
        </w:rPr>
        <w:t>E-mail address</w:t>
      </w:r>
      <w:r w:rsidRPr="00142CA6">
        <w:rPr>
          <w:rFonts w:asciiTheme="majorBidi" w:eastAsia="Calibri" w:hAnsiTheme="majorBidi" w:cstheme="majorBidi"/>
          <w:i/>
          <w:iCs/>
          <w:kern w:val="0"/>
          <w:sz w:val="56"/>
          <w:szCs w:val="56"/>
          <w14:ligatures w14:val="none"/>
        </w:rPr>
        <w:t>es</w:t>
      </w:r>
      <w:r w:rsidRPr="008B31A8">
        <w:rPr>
          <w:rFonts w:asciiTheme="majorBidi" w:eastAsia="Calibri" w:hAnsiTheme="majorBidi" w:cstheme="majorBidi"/>
          <w:kern w:val="0"/>
          <w:sz w:val="56"/>
          <w:szCs w:val="56"/>
          <w14:ligatures w14:val="none"/>
        </w:rPr>
        <w:t xml:space="preserve">: </w:t>
      </w:r>
      <w:hyperlink r:id="rId4" w:tgtFrame="_blank" w:history="1">
        <w:r w:rsidRPr="008B31A8">
          <w:rPr>
            <w:rFonts w:asciiTheme="majorBidi" w:eastAsia="Calibri" w:hAnsiTheme="majorBidi" w:cstheme="majorBidi"/>
            <w:kern w:val="0"/>
            <w:sz w:val="56"/>
            <w:szCs w:val="56"/>
            <w:u w:val="single"/>
            <w14:ligatures w14:val="none"/>
          </w:rPr>
          <w:t>mshahsavari@ut.ac.ir</w:t>
        </w:r>
      </w:hyperlink>
      <w:r w:rsidRPr="00142CA6">
        <w:rPr>
          <w:rFonts w:asciiTheme="majorBidi" w:eastAsia="Calibri" w:hAnsiTheme="majorBidi" w:cstheme="majorBidi"/>
          <w:sz w:val="52"/>
          <w:szCs w:val="52"/>
        </w:rPr>
        <w:t xml:space="preserve">; </w:t>
      </w:r>
      <w:hyperlink r:id="rId5" w:history="1">
        <w:r w:rsidRPr="00142CA6">
          <w:rPr>
            <w:rStyle w:val="Hyperlink"/>
            <w:rFonts w:asciiTheme="majorBidi" w:eastAsia="Calibri" w:hAnsiTheme="majorBidi" w:cstheme="majorBidi"/>
            <w:color w:val="000000" w:themeColor="text1"/>
            <w:sz w:val="52"/>
            <w:szCs w:val="52"/>
          </w:rPr>
          <w:t>masoudsisa@gmail.com</w:t>
        </w:r>
      </w:hyperlink>
      <w:r w:rsidRPr="00142CA6">
        <w:rPr>
          <w:rFonts w:asciiTheme="majorBidi" w:eastAsia="Calibri" w:hAnsiTheme="majorBidi" w:cstheme="majorBidi"/>
          <w:color w:val="000000" w:themeColor="text1"/>
          <w:sz w:val="52"/>
          <w:szCs w:val="52"/>
        </w:rPr>
        <w:t xml:space="preserve"> </w:t>
      </w:r>
    </w:p>
    <w:p w14:paraId="3B6E2200" w14:textId="77777777" w:rsidR="00142CA6" w:rsidRDefault="00142CA6" w:rsidP="00142CA6">
      <w:pPr>
        <w:spacing w:line="480" w:lineRule="auto"/>
        <w:jc w:val="lowKashida"/>
        <w:rPr>
          <w:rFonts w:ascii="Times New Roman" w:hAnsi="Times New Roman"/>
          <w:b/>
          <w:bCs/>
          <w:sz w:val="36"/>
          <w:szCs w:val="36"/>
        </w:rPr>
      </w:pPr>
    </w:p>
    <w:p w14:paraId="68863A9C" w14:textId="77777777" w:rsidR="00846B7C" w:rsidRPr="00142CA6" w:rsidRDefault="00846B7C">
      <w:pPr>
        <w:rPr>
          <w:rFonts w:asciiTheme="majorBidi" w:hAnsiTheme="majorBidi" w:cstheme="majorBidi"/>
        </w:rPr>
      </w:pPr>
    </w:p>
    <w:p w14:paraId="48ADA8AA" w14:textId="77777777" w:rsidR="00846B7C" w:rsidRPr="00142CA6" w:rsidRDefault="00846B7C">
      <w:pPr>
        <w:rPr>
          <w:rFonts w:asciiTheme="majorBidi" w:hAnsiTheme="majorBidi" w:cstheme="majorBidi"/>
        </w:rPr>
      </w:pPr>
    </w:p>
    <w:p w14:paraId="48B117F7" w14:textId="77777777" w:rsidR="00846B7C" w:rsidRPr="00142CA6" w:rsidRDefault="00846B7C">
      <w:pPr>
        <w:rPr>
          <w:rFonts w:asciiTheme="majorBidi" w:hAnsiTheme="majorBidi" w:cstheme="majorBidi"/>
        </w:rPr>
      </w:pPr>
    </w:p>
    <w:p w14:paraId="5B989BC8" w14:textId="77777777" w:rsidR="00846B7C" w:rsidRPr="00142CA6" w:rsidRDefault="00846B7C">
      <w:pPr>
        <w:rPr>
          <w:rFonts w:asciiTheme="majorBidi" w:hAnsiTheme="majorBidi" w:cstheme="majorBidi"/>
        </w:rPr>
      </w:pPr>
    </w:p>
    <w:p w14:paraId="10120BB1" w14:textId="77777777" w:rsidR="00846B7C" w:rsidRPr="00142CA6" w:rsidRDefault="00846B7C">
      <w:pPr>
        <w:rPr>
          <w:rFonts w:asciiTheme="majorBidi" w:hAnsiTheme="majorBidi" w:cstheme="majorBidi"/>
        </w:rPr>
      </w:pPr>
    </w:p>
    <w:p w14:paraId="6EBA0C84" w14:textId="77777777" w:rsidR="00846B7C" w:rsidRPr="00142CA6" w:rsidRDefault="00846B7C">
      <w:pPr>
        <w:rPr>
          <w:rFonts w:asciiTheme="majorBidi" w:hAnsiTheme="majorBidi" w:cstheme="majorBidi"/>
        </w:rPr>
      </w:pPr>
    </w:p>
    <w:p w14:paraId="1119B59C" w14:textId="77777777" w:rsidR="00846B7C" w:rsidRPr="00142CA6" w:rsidRDefault="00846B7C">
      <w:pPr>
        <w:rPr>
          <w:rFonts w:asciiTheme="majorBidi" w:hAnsiTheme="majorBidi" w:cstheme="majorBidi"/>
        </w:rPr>
      </w:pPr>
    </w:p>
    <w:p w14:paraId="48377EF9" w14:textId="77777777" w:rsidR="00846B7C" w:rsidRPr="00142CA6" w:rsidRDefault="00846B7C">
      <w:pPr>
        <w:rPr>
          <w:rFonts w:asciiTheme="majorBidi" w:hAnsiTheme="majorBidi" w:cstheme="majorBidi"/>
        </w:rPr>
      </w:pPr>
    </w:p>
    <w:p w14:paraId="1B33F026" w14:textId="77777777" w:rsidR="00846B7C" w:rsidRPr="00142CA6" w:rsidRDefault="00846B7C">
      <w:pPr>
        <w:rPr>
          <w:rFonts w:asciiTheme="majorBidi" w:hAnsiTheme="majorBidi" w:cstheme="majorBidi"/>
        </w:rPr>
      </w:pPr>
    </w:p>
    <w:p w14:paraId="6FCCFC0D" w14:textId="77777777" w:rsidR="00846B7C" w:rsidRPr="00142CA6" w:rsidRDefault="00846B7C">
      <w:pPr>
        <w:rPr>
          <w:rFonts w:asciiTheme="majorBidi" w:hAnsiTheme="majorBidi" w:cstheme="majorBidi"/>
        </w:rPr>
      </w:pPr>
    </w:p>
    <w:p w14:paraId="45C2474C" w14:textId="77777777" w:rsidR="00846B7C" w:rsidRPr="00142CA6" w:rsidRDefault="00846B7C">
      <w:pPr>
        <w:rPr>
          <w:rFonts w:asciiTheme="majorBidi" w:hAnsiTheme="majorBidi" w:cstheme="majorBidi"/>
        </w:rPr>
      </w:pPr>
    </w:p>
    <w:p w14:paraId="3A7303FE" w14:textId="77777777" w:rsidR="00846B7C" w:rsidRPr="00142CA6" w:rsidRDefault="00846B7C">
      <w:pPr>
        <w:rPr>
          <w:rFonts w:asciiTheme="majorBidi" w:hAnsiTheme="majorBidi" w:cstheme="majorBidi"/>
        </w:rPr>
      </w:pPr>
    </w:p>
    <w:p w14:paraId="17BDB01C" w14:textId="77777777" w:rsidR="00142CA6" w:rsidRDefault="00142CA6">
      <w:pPr>
        <w:rPr>
          <w:rFonts w:asciiTheme="majorBidi" w:hAnsiTheme="majorBidi" w:cstheme="majorBidi"/>
        </w:rPr>
      </w:pPr>
    </w:p>
    <w:p w14:paraId="05F0111B" w14:textId="77777777" w:rsidR="00142CA6" w:rsidRDefault="00142CA6">
      <w:pPr>
        <w:rPr>
          <w:rFonts w:asciiTheme="majorBidi" w:hAnsiTheme="majorBidi" w:cstheme="majorBidi"/>
        </w:rPr>
      </w:pPr>
    </w:p>
    <w:p w14:paraId="02019927" w14:textId="77777777" w:rsidR="00142CA6" w:rsidRDefault="00142CA6">
      <w:pPr>
        <w:rPr>
          <w:rFonts w:asciiTheme="majorBidi" w:hAnsiTheme="majorBidi" w:cstheme="majorBidi"/>
        </w:rPr>
      </w:pPr>
    </w:p>
    <w:p w14:paraId="189218F0" w14:textId="77777777" w:rsidR="00142CA6" w:rsidRDefault="00142CA6">
      <w:pPr>
        <w:rPr>
          <w:rFonts w:asciiTheme="majorBidi" w:hAnsiTheme="majorBidi" w:cstheme="majorBidi"/>
        </w:rPr>
      </w:pPr>
    </w:p>
    <w:p w14:paraId="473CFA3C" w14:textId="77777777" w:rsidR="00142CA6" w:rsidRPr="00142CA6" w:rsidRDefault="00142CA6">
      <w:pPr>
        <w:rPr>
          <w:rFonts w:asciiTheme="majorBidi" w:hAnsiTheme="majorBidi" w:cstheme="majorBidi"/>
        </w:rPr>
      </w:pPr>
    </w:p>
    <w:p w14:paraId="184DA8A1" w14:textId="2A001950" w:rsidR="00846B7C" w:rsidRPr="00142CA6" w:rsidRDefault="00846B7C">
      <w:pPr>
        <w:rPr>
          <w:rFonts w:asciiTheme="majorBidi" w:hAnsiTheme="majorBidi" w:cstheme="majorBidi"/>
        </w:rPr>
      </w:pPr>
      <w:r w:rsidRPr="00142CA6">
        <w:rPr>
          <w:rFonts w:asciiTheme="majorBidi" w:hAnsiTheme="majorBidi" w:cstheme="majorBidi"/>
          <w:noProof/>
        </w:rPr>
        <w:drawing>
          <wp:inline distT="0" distB="0" distL="0" distR="0" wp14:anchorId="60D7EAC7" wp14:editId="7C9D9C11">
            <wp:extent cx="18745200" cy="4176395"/>
            <wp:effectExtent l="0" t="0" r="0" b="0"/>
            <wp:docPr id="1669568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68994" name="Picture 166956899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0" cy="417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91007" w14:textId="315418C2" w:rsidR="00142CA6" w:rsidRPr="00142CA6" w:rsidRDefault="00142CA6" w:rsidP="00142CA6">
      <w:pPr>
        <w:spacing w:line="480" w:lineRule="auto"/>
        <w:jc w:val="center"/>
        <w:rPr>
          <w:rFonts w:asciiTheme="majorBidi" w:hAnsiTheme="majorBidi" w:cstheme="majorBidi"/>
          <w:sz w:val="56"/>
          <w:szCs w:val="56"/>
          <w:lang w:bidi="fa-IR"/>
        </w:rPr>
      </w:pPr>
      <w:r w:rsidRPr="00142CA6">
        <w:rPr>
          <w:rFonts w:asciiTheme="majorBidi" w:hAnsiTheme="majorBidi" w:cstheme="majorBidi"/>
          <w:b/>
          <w:bCs/>
          <w:sz w:val="56"/>
          <w:szCs w:val="56"/>
          <w:lang w:bidi="fa-IR"/>
        </w:rPr>
        <w:t>Fig. S1</w:t>
      </w:r>
      <w:r w:rsidRPr="00142CA6">
        <w:rPr>
          <w:rFonts w:asciiTheme="majorBidi" w:hAnsiTheme="majorBidi" w:cstheme="majorBidi"/>
          <w:sz w:val="56"/>
          <w:szCs w:val="56"/>
          <w:lang w:bidi="fa-IR"/>
        </w:rPr>
        <w:t xml:space="preserve"> Boxplots of RNA‑seq samples (control and drought‑stressed) prior to preprocessing</w:t>
      </w:r>
    </w:p>
    <w:p w14:paraId="2B7B5B30" w14:textId="77777777" w:rsidR="00142CA6" w:rsidRDefault="00142CA6" w:rsidP="00142CA6">
      <w:pPr>
        <w:spacing w:line="480" w:lineRule="auto"/>
        <w:jc w:val="center"/>
        <w:rPr>
          <w:rFonts w:asciiTheme="majorBidi" w:hAnsiTheme="majorBidi" w:cstheme="majorBidi"/>
          <w:sz w:val="56"/>
          <w:szCs w:val="56"/>
          <w:lang w:bidi="fa-IR"/>
        </w:rPr>
      </w:pPr>
    </w:p>
    <w:p w14:paraId="2A119CA5" w14:textId="77777777" w:rsidR="00142CA6" w:rsidRDefault="00142CA6" w:rsidP="00142CA6">
      <w:pPr>
        <w:spacing w:line="480" w:lineRule="auto"/>
        <w:jc w:val="center"/>
        <w:rPr>
          <w:rFonts w:asciiTheme="majorBidi" w:hAnsiTheme="majorBidi" w:cstheme="majorBidi"/>
          <w:sz w:val="56"/>
          <w:szCs w:val="56"/>
          <w:lang w:bidi="fa-IR"/>
        </w:rPr>
      </w:pPr>
    </w:p>
    <w:p w14:paraId="777A6F23" w14:textId="77777777" w:rsidR="00142CA6" w:rsidRPr="00142CA6" w:rsidRDefault="00142CA6" w:rsidP="00142CA6">
      <w:pPr>
        <w:spacing w:line="480" w:lineRule="auto"/>
        <w:jc w:val="center"/>
        <w:rPr>
          <w:rFonts w:asciiTheme="majorBidi" w:hAnsiTheme="majorBidi" w:cstheme="majorBidi"/>
          <w:sz w:val="56"/>
          <w:szCs w:val="56"/>
          <w:lang w:bidi="fa-IR"/>
        </w:rPr>
      </w:pPr>
    </w:p>
    <w:p w14:paraId="04673A5A" w14:textId="77777777" w:rsidR="00142CA6" w:rsidRPr="00142CA6" w:rsidRDefault="00142CA6" w:rsidP="00142CA6">
      <w:pPr>
        <w:spacing w:line="480" w:lineRule="auto"/>
        <w:jc w:val="center"/>
        <w:rPr>
          <w:rFonts w:asciiTheme="majorBidi" w:hAnsiTheme="majorBidi" w:cstheme="majorBidi"/>
          <w:sz w:val="56"/>
          <w:szCs w:val="56"/>
          <w:lang w:bidi="fa-IR"/>
        </w:rPr>
      </w:pPr>
    </w:p>
    <w:p w14:paraId="010276C9" w14:textId="7AC16B7D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noProof/>
          <w:sz w:val="56"/>
          <w:szCs w:val="56"/>
        </w:rPr>
        <w:drawing>
          <wp:inline distT="0" distB="0" distL="0" distR="0" wp14:anchorId="69458E79" wp14:editId="13CA043E">
            <wp:extent cx="18745200" cy="4181475"/>
            <wp:effectExtent l="0" t="0" r="0" b="9525"/>
            <wp:docPr id="6211124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112437" name="Picture 6211124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C346E" w14:textId="0246982E" w:rsidR="00142CA6" w:rsidRPr="00142CA6" w:rsidRDefault="00142CA6" w:rsidP="00142CA6">
      <w:pPr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b/>
          <w:bCs/>
          <w:sz w:val="56"/>
          <w:szCs w:val="56"/>
        </w:rPr>
        <w:t>Fig. S2</w:t>
      </w:r>
      <w:r w:rsidRPr="00142CA6">
        <w:rPr>
          <w:rFonts w:asciiTheme="majorBidi" w:hAnsiTheme="majorBidi" w:cstheme="majorBidi"/>
          <w:sz w:val="56"/>
          <w:szCs w:val="56"/>
        </w:rPr>
        <w:t xml:space="preserve"> Boxplots of RNA‑seq samples (control and drought‑stressed) after preprocessing</w:t>
      </w:r>
    </w:p>
    <w:p w14:paraId="45B27962" w14:textId="77777777" w:rsidR="00142CA6" w:rsidRPr="00142CA6" w:rsidRDefault="00142CA6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4E1E4465" w14:textId="77777777" w:rsidR="00142CA6" w:rsidRPr="00142CA6" w:rsidRDefault="00142CA6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05FB9F76" w14:textId="77777777" w:rsidR="00142CA6" w:rsidRPr="00142CA6" w:rsidRDefault="00142CA6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0F8B73AE" w14:textId="77777777" w:rsidR="00142CA6" w:rsidRPr="00142CA6" w:rsidRDefault="00142CA6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171F5587" w14:textId="77777777" w:rsidR="00142CA6" w:rsidRDefault="00142CA6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0DDA1216" w14:textId="77777777" w:rsidR="00142CA6" w:rsidRPr="00142CA6" w:rsidRDefault="00142CA6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3AA9D7D8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09DFD26C" w14:textId="6B8AAD31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noProof/>
          <w:sz w:val="56"/>
          <w:szCs w:val="56"/>
        </w:rPr>
        <w:drawing>
          <wp:inline distT="0" distB="0" distL="0" distR="0" wp14:anchorId="42231E32" wp14:editId="00B38DE7">
            <wp:extent cx="18745200" cy="3712210"/>
            <wp:effectExtent l="0" t="0" r="0" b="2540"/>
            <wp:docPr id="17492683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268386" name="Picture 17492683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0" cy="371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7BC8C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0401FD95" w14:textId="77777777" w:rsidR="00142CA6" w:rsidRPr="00142CA6" w:rsidRDefault="00142CA6" w:rsidP="00142CA6">
      <w:pPr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b/>
          <w:bCs/>
          <w:sz w:val="56"/>
          <w:szCs w:val="56"/>
        </w:rPr>
        <w:t>Fig. S3</w:t>
      </w:r>
      <w:r w:rsidRPr="00142CA6">
        <w:rPr>
          <w:rFonts w:asciiTheme="majorBidi" w:hAnsiTheme="majorBidi" w:cstheme="majorBidi"/>
          <w:sz w:val="56"/>
          <w:szCs w:val="56"/>
        </w:rPr>
        <w:t xml:space="preserve"> Boxplots of RNA‑seq samples (control and heat‑stressed) prior to preprocessing</w:t>
      </w:r>
    </w:p>
    <w:p w14:paraId="57161039" w14:textId="77777777" w:rsidR="00142CA6" w:rsidRPr="00142CA6" w:rsidRDefault="00142CA6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37B0FE3E" w14:textId="77777777" w:rsidR="00142CA6" w:rsidRPr="00142CA6" w:rsidRDefault="00142CA6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0D843C0A" w14:textId="77777777" w:rsidR="00846B7C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1EA6629F" w14:textId="77777777" w:rsidR="00142CA6" w:rsidRDefault="00142CA6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3D7EE05F" w14:textId="77777777" w:rsidR="00142CA6" w:rsidRDefault="00142CA6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0F106DE8" w14:textId="77777777" w:rsidR="00142CA6" w:rsidRPr="00142CA6" w:rsidRDefault="00142CA6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0B079110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1E025722" w14:textId="37BD019E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noProof/>
          <w:sz w:val="56"/>
          <w:szCs w:val="56"/>
        </w:rPr>
        <w:drawing>
          <wp:inline distT="0" distB="0" distL="0" distR="0" wp14:anchorId="68F3ED74" wp14:editId="508EDD3B">
            <wp:extent cx="18745200" cy="3716655"/>
            <wp:effectExtent l="0" t="0" r="0" b="0"/>
            <wp:docPr id="12283898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89825" name="Picture 122838982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D0C51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78F00952" w14:textId="77777777" w:rsidR="00142CA6" w:rsidRPr="00142CA6" w:rsidRDefault="00142CA6" w:rsidP="00142CA6">
      <w:pPr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b/>
          <w:bCs/>
          <w:sz w:val="56"/>
          <w:szCs w:val="56"/>
        </w:rPr>
        <w:t>Fig. S4</w:t>
      </w:r>
      <w:r w:rsidRPr="00142CA6">
        <w:rPr>
          <w:rFonts w:asciiTheme="majorBidi" w:hAnsiTheme="majorBidi" w:cstheme="majorBidi"/>
          <w:sz w:val="56"/>
          <w:szCs w:val="56"/>
        </w:rPr>
        <w:t xml:space="preserve"> Boxplots of RNA‑seq samples (control and heat‑stressed) after preprocessing</w:t>
      </w:r>
    </w:p>
    <w:p w14:paraId="42D361C7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34F66BCB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37D62A04" w14:textId="1C165263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noProof/>
          <w:sz w:val="56"/>
          <w:szCs w:val="56"/>
        </w:rPr>
        <w:lastRenderedPageBreak/>
        <w:drawing>
          <wp:inline distT="0" distB="0" distL="0" distR="0" wp14:anchorId="0335EC4D" wp14:editId="16E4549E">
            <wp:extent cx="17734547" cy="11400780"/>
            <wp:effectExtent l="0" t="0" r="1270" b="0"/>
            <wp:docPr id="9730782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078253" name="Picture 97307825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9893" cy="1141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AFE7A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7AE9AE2D" w14:textId="77777777" w:rsidR="00142CA6" w:rsidRPr="00142CA6" w:rsidRDefault="00142CA6" w:rsidP="00142CA6">
      <w:pPr>
        <w:spacing w:line="480" w:lineRule="auto"/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b/>
          <w:bCs/>
          <w:sz w:val="56"/>
          <w:szCs w:val="56"/>
        </w:rPr>
        <w:t>Fig. S5</w:t>
      </w:r>
      <w:r w:rsidRPr="00142CA6">
        <w:rPr>
          <w:rFonts w:asciiTheme="majorBidi" w:hAnsiTheme="majorBidi" w:cstheme="majorBidi"/>
          <w:sz w:val="56"/>
          <w:szCs w:val="56"/>
        </w:rPr>
        <w:t xml:space="preserve"> Distribution of MImRMR</w:t>
      </w:r>
      <w:r w:rsidRPr="00142CA6">
        <w:rPr>
          <w:rFonts w:asciiTheme="majorBidi" w:hAnsiTheme="majorBidi" w:cstheme="majorBidi"/>
          <w:sz w:val="56"/>
          <w:szCs w:val="56"/>
        </w:rPr>
        <w:noBreakHyphen/>
        <w:t xml:space="preserve">selected genes according to log₂ fold change and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 xml:space="preserve">value in the drought vs. control differential expression analysis. Points are colored as follows: red, DEGs; blue, genes passing only the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&lt; 10e⁻³ threshold; green, genes passing only the |log₂FC| &gt; 0.1 threshold; and grey, genes meeting neither criterion.</w:t>
      </w:r>
    </w:p>
    <w:p w14:paraId="47C19512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29B0C91F" w14:textId="4831E43E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noProof/>
          <w:sz w:val="56"/>
          <w:szCs w:val="56"/>
        </w:rPr>
        <w:lastRenderedPageBreak/>
        <w:drawing>
          <wp:inline distT="0" distB="0" distL="0" distR="0" wp14:anchorId="3D0DEACD" wp14:editId="5A1137D6">
            <wp:extent cx="18745200" cy="12050395"/>
            <wp:effectExtent l="0" t="0" r="0" b="8255"/>
            <wp:docPr id="204500860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08600" name="Picture 204500860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0" cy="1205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0159C" w14:textId="77777777" w:rsidR="00142CA6" w:rsidRPr="00142CA6" w:rsidRDefault="00142CA6" w:rsidP="00142CA6">
      <w:pPr>
        <w:spacing w:line="480" w:lineRule="auto"/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b/>
          <w:bCs/>
          <w:sz w:val="56"/>
          <w:szCs w:val="56"/>
        </w:rPr>
        <w:t>Fig. S6</w:t>
      </w:r>
      <w:r w:rsidRPr="00142CA6">
        <w:rPr>
          <w:rFonts w:asciiTheme="majorBidi" w:hAnsiTheme="majorBidi" w:cstheme="majorBidi"/>
          <w:sz w:val="56"/>
          <w:szCs w:val="56"/>
        </w:rPr>
        <w:t xml:space="preserve"> Distribution of Boruta</w:t>
      </w:r>
      <w:r w:rsidRPr="00142CA6">
        <w:rPr>
          <w:rFonts w:asciiTheme="majorBidi" w:hAnsiTheme="majorBidi" w:cstheme="majorBidi"/>
          <w:sz w:val="56"/>
          <w:szCs w:val="56"/>
        </w:rPr>
        <w:noBreakHyphen/>
        <w:t xml:space="preserve">selected genes according to log₂ fold change and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in the drought vs. control differential expression analysis.</w:t>
      </w:r>
      <w:r>
        <w:rPr>
          <w:rFonts w:asciiTheme="majorBidi" w:hAnsiTheme="majorBidi" w:cstheme="majorBidi"/>
          <w:sz w:val="56"/>
          <w:szCs w:val="56"/>
        </w:rPr>
        <w:t xml:space="preserve"> </w:t>
      </w:r>
      <w:r w:rsidRPr="00142CA6">
        <w:rPr>
          <w:rFonts w:asciiTheme="majorBidi" w:hAnsiTheme="majorBidi" w:cstheme="majorBidi"/>
          <w:sz w:val="56"/>
          <w:szCs w:val="56"/>
        </w:rPr>
        <w:t xml:space="preserve">Points are colored as follows: red, DEGs; blue, genes passing only the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&lt; 10e⁻³ threshold; green, genes passing only the |log₂FC| &gt; 0.1 threshold; and grey, genes meeting neither criterion.</w:t>
      </w:r>
    </w:p>
    <w:p w14:paraId="67178F5D" w14:textId="2009F537" w:rsidR="00142CA6" w:rsidRPr="00142CA6" w:rsidRDefault="00142CA6" w:rsidP="00142CA6">
      <w:pPr>
        <w:rPr>
          <w:rFonts w:asciiTheme="majorBidi" w:hAnsiTheme="majorBidi" w:cstheme="majorBidi"/>
          <w:sz w:val="56"/>
          <w:szCs w:val="56"/>
        </w:rPr>
      </w:pPr>
    </w:p>
    <w:p w14:paraId="3E34053E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333AD726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457A4DB7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3E9EF738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3EAC1A5C" w14:textId="77777777" w:rsidR="00846B7C" w:rsidRPr="00142CA6" w:rsidRDefault="00846B7C" w:rsidP="00142CA6">
      <w:pPr>
        <w:rPr>
          <w:rFonts w:asciiTheme="majorBidi" w:hAnsiTheme="majorBidi" w:cstheme="majorBidi"/>
          <w:sz w:val="56"/>
          <w:szCs w:val="56"/>
        </w:rPr>
      </w:pPr>
    </w:p>
    <w:p w14:paraId="133CD206" w14:textId="5747018D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noProof/>
          <w:sz w:val="56"/>
          <w:szCs w:val="56"/>
        </w:rPr>
        <w:lastRenderedPageBreak/>
        <w:drawing>
          <wp:inline distT="0" distB="0" distL="0" distR="0" wp14:anchorId="5A1364E0" wp14:editId="1A610408">
            <wp:extent cx="18624884" cy="11973140"/>
            <wp:effectExtent l="0" t="0" r="6350" b="9525"/>
            <wp:docPr id="13123517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351756" name="Picture 131235175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1247" cy="1198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87F04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4C07657F" w14:textId="21AB699F" w:rsidR="00142CA6" w:rsidRPr="00142CA6" w:rsidRDefault="00142CA6" w:rsidP="00142CA6">
      <w:pPr>
        <w:spacing w:line="480" w:lineRule="auto"/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b/>
          <w:bCs/>
          <w:sz w:val="56"/>
          <w:szCs w:val="56"/>
        </w:rPr>
        <w:t>Fig. S7</w:t>
      </w:r>
      <w:r w:rsidRPr="00142CA6">
        <w:rPr>
          <w:rFonts w:asciiTheme="majorBidi" w:hAnsiTheme="majorBidi" w:cstheme="majorBidi"/>
          <w:sz w:val="56"/>
          <w:szCs w:val="56"/>
        </w:rPr>
        <w:t xml:space="preserve"> Distribution of SS</w:t>
      </w:r>
      <w:r w:rsidRPr="00142CA6">
        <w:rPr>
          <w:rFonts w:asciiTheme="majorBidi" w:hAnsiTheme="majorBidi" w:cstheme="majorBidi"/>
          <w:sz w:val="56"/>
          <w:szCs w:val="56"/>
        </w:rPr>
        <w:noBreakHyphen/>
        <w:t xml:space="preserve">selected genes according to log₂ fold change and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in the drought vs. control differential expression analysis.</w:t>
      </w:r>
      <w:r>
        <w:rPr>
          <w:rFonts w:asciiTheme="majorBidi" w:hAnsiTheme="majorBidi" w:cstheme="majorBidi"/>
          <w:sz w:val="56"/>
          <w:szCs w:val="56"/>
        </w:rPr>
        <w:t xml:space="preserve"> </w:t>
      </w:r>
      <w:r w:rsidRPr="00142CA6">
        <w:rPr>
          <w:rFonts w:asciiTheme="majorBidi" w:hAnsiTheme="majorBidi" w:cstheme="majorBidi"/>
          <w:sz w:val="56"/>
          <w:szCs w:val="56"/>
        </w:rPr>
        <w:t xml:space="preserve">Points are colored as follows: red, DEGs; blue, genes passing only the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&lt; 10e⁻³ threshold; green, genes passing only the |log₂FC| &gt; 0.1 threshold; and grey, genes meeting neither criterion.</w:t>
      </w:r>
    </w:p>
    <w:p w14:paraId="6B48D4DE" w14:textId="77777777" w:rsidR="00846B7C" w:rsidRPr="00142CA6" w:rsidRDefault="00846B7C" w:rsidP="00142CA6">
      <w:pPr>
        <w:rPr>
          <w:rFonts w:asciiTheme="majorBidi" w:hAnsiTheme="majorBidi" w:cstheme="majorBidi"/>
          <w:sz w:val="56"/>
          <w:szCs w:val="56"/>
        </w:rPr>
      </w:pPr>
    </w:p>
    <w:p w14:paraId="00C4AA2A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64FC5A7A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553D90DB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160863B5" w14:textId="32586F9E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noProof/>
          <w:sz w:val="56"/>
          <w:szCs w:val="56"/>
        </w:rPr>
        <w:lastRenderedPageBreak/>
        <w:drawing>
          <wp:inline distT="0" distB="0" distL="0" distR="0" wp14:anchorId="05BECDF4" wp14:editId="0D65EDD0">
            <wp:extent cx="18745200" cy="12050486"/>
            <wp:effectExtent l="0" t="0" r="0" b="8255"/>
            <wp:docPr id="14690080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00803" name="Picture 14690080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8441" cy="12058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1F035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1B495ABC" w14:textId="0C0794C0" w:rsidR="00142CA6" w:rsidRPr="00142CA6" w:rsidRDefault="00142CA6" w:rsidP="00142CA6">
      <w:pPr>
        <w:spacing w:line="480" w:lineRule="auto"/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b/>
          <w:bCs/>
          <w:sz w:val="56"/>
          <w:szCs w:val="56"/>
        </w:rPr>
        <w:t>Fig. S8</w:t>
      </w:r>
      <w:r w:rsidRPr="00142CA6">
        <w:rPr>
          <w:rFonts w:asciiTheme="majorBidi" w:hAnsiTheme="majorBidi" w:cstheme="majorBidi"/>
          <w:sz w:val="56"/>
          <w:szCs w:val="56"/>
        </w:rPr>
        <w:t xml:space="preserve"> Distribution of EGBFS</w:t>
      </w:r>
      <w:r w:rsidRPr="00142CA6">
        <w:rPr>
          <w:rFonts w:asciiTheme="majorBidi" w:hAnsiTheme="majorBidi" w:cstheme="majorBidi"/>
          <w:sz w:val="56"/>
          <w:szCs w:val="56"/>
        </w:rPr>
        <w:noBreakHyphen/>
        <w:t xml:space="preserve">selected genes according to log₂ fold change and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in the drought vs. control differential expression analysis.</w:t>
      </w:r>
      <w:r>
        <w:rPr>
          <w:rFonts w:asciiTheme="majorBidi" w:hAnsiTheme="majorBidi" w:cstheme="majorBidi"/>
          <w:sz w:val="56"/>
          <w:szCs w:val="56"/>
        </w:rPr>
        <w:t xml:space="preserve"> </w:t>
      </w:r>
      <w:r w:rsidRPr="00142CA6">
        <w:rPr>
          <w:rFonts w:asciiTheme="majorBidi" w:hAnsiTheme="majorBidi" w:cstheme="majorBidi"/>
          <w:sz w:val="56"/>
          <w:szCs w:val="56"/>
        </w:rPr>
        <w:t xml:space="preserve">Points are colored as follows: red, DEGs; blue, genes passing only the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&lt; 10e⁻³ threshold; green, genes passing only the |log₂FC| &gt; 0.1 threshold; and grey, genes meeting neither criterion.</w:t>
      </w:r>
    </w:p>
    <w:p w14:paraId="63C62D1A" w14:textId="77777777" w:rsidR="00846B7C" w:rsidRPr="00142CA6" w:rsidRDefault="00846B7C" w:rsidP="00142CA6">
      <w:pPr>
        <w:rPr>
          <w:rFonts w:asciiTheme="majorBidi" w:hAnsiTheme="majorBidi" w:cstheme="majorBidi"/>
          <w:sz w:val="56"/>
          <w:szCs w:val="56"/>
        </w:rPr>
      </w:pPr>
    </w:p>
    <w:p w14:paraId="26A40B52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68C8B0D4" w14:textId="5599F1B3" w:rsidR="00846B7C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noProof/>
          <w:sz w:val="56"/>
          <w:szCs w:val="56"/>
        </w:rPr>
        <w:lastRenderedPageBreak/>
        <w:drawing>
          <wp:inline distT="0" distB="0" distL="0" distR="0" wp14:anchorId="75813ABC" wp14:editId="1A147045">
            <wp:extent cx="18745200" cy="12050395"/>
            <wp:effectExtent l="0" t="0" r="0" b="8255"/>
            <wp:docPr id="1689132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13273" name="Picture 16891327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5200" cy="1205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B4188" w14:textId="288CEBE9" w:rsidR="00142CA6" w:rsidRPr="00142CA6" w:rsidRDefault="00142CA6" w:rsidP="00142CA6">
      <w:pPr>
        <w:spacing w:line="480" w:lineRule="auto"/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b/>
          <w:bCs/>
          <w:sz w:val="56"/>
          <w:szCs w:val="56"/>
        </w:rPr>
        <w:t>Fig. S9</w:t>
      </w:r>
      <w:r w:rsidRPr="00142CA6">
        <w:rPr>
          <w:rFonts w:asciiTheme="majorBidi" w:hAnsiTheme="majorBidi" w:cstheme="majorBidi"/>
          <w:sz w:val="56"/>
          <w:szCs w:val="56"/>
        </w:rPr>
        <w:t xml:space="preserve"> Distribution of GA</w:t>
      </w:r>
      <w:r w:rsidRPr="00142CA6">
        <w:rPr>
          <w:rFonts w:asciiTheme="majorBidi" w:hAnsiTheme="majorBidi" w:cstheme="majorBidi"/>
          <w:sz w:val="56"/>
          <w:szCs w:val="56"/>
        </w:rPr>
        <w:noBreakHyphen/>
        <w:t xml:space="preserve">selected genes according to log₂ fold change and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in the drought vs. control differential expression analysis.</w:t>
      </w:r>
      <w:r>
        <w:rPr>
          <w:rFonts w:asciiTheme="majorBidi" w:hAnsiTheme="majorBidi" w:cstheme="majorBidi"/>
          <w:sz w:val="56"/>
          <w:szCs w:val="56"/>
        </w:rPr>
        <w:t xml:space="preserve"> </w:t>
      </w:r>
      <w:r w:rsidRPr="00142CA6">
        <w:rPr>
          <w:rFonts w:asciiTheme="majorBidi" w:hAnsiTheme="majorBidi" w:cstheme="majorBidi"/>
          <w:sz w:val="56"/>
          <w:szCs w:val="56"/>
        </w:rPr>
        <w:t xml:space="preserve">Points are colored as follows: red, DEGs; blue, genes passing only the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&lt; 10e⁻³ threshold; green, genes passing only the |log₂FC| &gt; 0.1 threshold; and grey, genes meeting neither criterion.</w:t>
      </w:r>
    </w:p>
    <w:p w14:paraId="5A2B0FCA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2815DC8D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413C6E20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74B40CA9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701F46E3" w14:textId="77777777" w:rsidR="00846B7C" w:rsidRPr="00142CA6" w:rsidRDefault="00846B7C" w:rsidP="00142CA6">
      <w:pPr>
        <w:rPr>
          <w:rFonts w:asciiTheme="majorBidi" w:hAnsiTheme="majorBidi" w:cstheme="majorBidi"/>
          <w:sz w:val="56"/>
          <w:szCs w:val="56"/>
        </w:rPr>
      </w:pPr>
    </w:p>
    <w:p w14:paraId="4CA4D799" w14:textId="096ED9DD" w:rsidR="00846B7C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noProof/>
          <w:sz w:val="56"/>
          <w:szCs w:val="56"/>
        </w:rPr>
        <w:lastRenderedPageBreak/>
        <w:drawing>
          <wp:inline distT="0" distB="0" distL="0" distR="0" wp14:anchorId="7CA8B96A" wp14:editId="00B14842">
            <wp:extent cx="18673010" cy="12004078"/>
            <wp:effectExtent l="0" t="0" r="0" b="0"/>
            <wp:docPr id="155538900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389003" name="Picture 155538900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7635" cy="1200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C9538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0C756D2B" w14:textId="0DD704DC" w:rsidR="00142CA6" w:rsidRPr="00142CA6" w:rsidRDefault="00142CA6" w:rsidP="00142CA6">
      <w:pPr>
        <w:spacing w:line="480" w:lineRule="auto"/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b/>
          <w:bCs/>
          <w:sz w:val="56"/>
          <w:szCs w:val="56"/>
        </w:rPr>
        <w:t>Fig. S10</w:t>
      </w:r>
      <w:r w:rsidRPr="00142CA6">
        <w:rPr>
          <w:rFonts w:asciiTheme="majorBidi" w:hAnsiTheme="majorBidi" w:cstheme="majorBidi"/>
          <w:sz w:val="56"/>
          <w:szCs w:val="56"/>
        </w:rPr>
        <w:t xml:space="preserve"> Distribution of RFECV</w:t>
      </w:r>
      <w:r w:rsidRPr="00142CA6">
        <w:rPr>
          <w:rFonts w:asciiTheme="majorBidi" w:hAnsiTheme="majorBidi" w:cstheme="majorBidi"/>
          <w:sz w:val="56"/>
          <w:szCs w:val="56"/>
        </w:rPr>
        <w:noBreakHyphen/>
        <w:t xml:space="preserve">selected genes according to log₂ fold change and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in the drought vs. control differential expression analysis.</w:t>
      </w:r>
      <w:r>
        <w:rPr>
          <w:rFonts w:asciiTheme="majorBidi" w:hAnsiTheme="majorBidi" w:cstheme="majorBidi"/>
          <w:sz w:val="56"/>
          <w:szCs w:val="56"/>
        </w:rPr>
        <w:t xml:space="preserve"> </w:t>
      </w:r>
      <w:r w:rsidRPr="00142CA6">
        <w:rPr>
          <w:rFonts w:asciiTheme="majorBidi" w:hAnsiTheme="majorBidi" w:cstheme="majorBidi"/>
          <w:sz w:val="56"/>
          <w:szCs w:val="56"/>
        </w:rPr>
        <w:t xml:space="preserve">Points are colored as follows: red, DEGs; blue, genes passing only the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&lt; 10e⁻³ threshold; green, genes passing only the |log₂FC| &gt; 0.1 threshold; and grey, genes meeting neither criterion.</w:t>
      </w:r>
    </w:p>
    <w:p w14:paraId="15E89060" w14:textId="77777777" w:rsidR="00846B7C" w:rsidRPr="00142CA6" w:rsidRDefault="00846B7C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24F63DE5" w14:textId="77777777" w:rsidR="00E45E1B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69F39B3A" w14:textId="77777777" w:rsidR="00E45E1B" w:rsidRPr="00142CA6" w:rsidRDefault="00E45E1B" w:rsidP="00142CA6">
      <w:pPr>
        <w:rPr>
          <w:rFonts w:asciiTheme="majorBidi" w:hAnsiTheme="majorBidi" w:cstheme="majorBidi"/>
          <w:sz w:val="56"/>
          <w:szCs w:val="56"/>
        </w:rPr>
      </w:pPr>
    </w:p>
    <w:p w14:paraId="54690359" w14:textId="77777777" w:rsidR="00E45E1B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639A5B0C" w14:textId="53AF494B" w:rsidR="00E45E1B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noProof/>
          <w:sz w:val="56"/>
          <w:szCs w:val="56"/>
        </w:rPr>
        <w:lastRenderedPageBreak/>
        <w:drawing>
          <wp:inline distT="0" distB="0" distL="0" distR="0" wp14:anchorId="069BB424" wp14:editId="5DF7A63D">
            <wp:extent cx="18841452" cy="12108997"/>
            <wp:effectExtent l="0" t="0" r="0" b="6985"/>
            <wp:docPr id="111364120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641207" name="Picture 111364120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9635" cy="1211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D079C" w14:textId="77777777" w:rsidR="00E45E1B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38ABE837" w14:textId="77777777" w:rsidR="00E45E1B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2D4F076E" w14:textId="4E6F3EE1" w:rsidR="00142CA6" w:rsidRPr="00142CA6" w:rsidRDefault="00142CA6" w:rsidP="00142CA6">
      <w:pPr>
        <w:spacing w:line="480" w:lineRule="auto"/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b/>
          <w:bCs/>
          <w:sz w:val="56"/>
          <w:szCs w:val="56"/>
        </w:rPr>
        <w:t>Fig. S11</w:t>
      </w:r>
      <w:r w:rsidRPr="00142CA6">
        <w:rPr>
          <w:rFonts w:asciiTheme="majorBidi" w:hAnsiTheme="majorBidi" w:cstheme="majorBidi"/>
          <w:sz w:val="56"/>
          <w:szCs w:val="56"/>
        </w:rPr>
        <w:t xml:space="preserve"> Distribution of MImRMR</w:t>
      </w:r>
      <w:r w:rsidRPr="00142CA6">
        <w:rPr>
          <w:rFonts w:asciiTheme="majorBidi" w:hAnsiTheme="majorBidi" w:cstheme="majorBidi"/>
          <w:sz w:val="56"/>
          <w:szCs w:val="56"/>
        </w:rPr>
        <w:noBreakHyphen/>
        <w:t xml:space="preserve">selected genes according to log₂ fold change and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in the heat vs. control differential expression analysis.</w:t>
      </w:r>
      <w:r>
        <w:rPr>
          <w:rFonts w:asciiTheme="majorBidi" w:hAnsiTheme="majorBidi" w:cstheme="majorBidi"/>
          <w:sz w:val="56"/>
          <w:szCs w:val="56"/>
        </w:rPr>
        <w:t xml:space="preserve"> </w:t>
      </w:r>
      <w:r w:rsidRPr="00142CA6">
        <w:rPr>
          <w:rFonts w:asciiTheme="majorBidi" w:hAnsiTheme="majorBidi" w:cstheme="majorBidi"/>
          <w:sz w:val="56"/>
          <w:szCs w:val="56"/>
        </w:rPr>
        <w:t xml:space="preserve">Points are colored as follows: red, DEGs; blue, genes passing only the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&lt; 10e⁻³ threshold; green, genes passing only the |log₂FC| &gt; 0.1 threshold; and grey, genes meeting neither criterion.</w:t>
      </w:r>
    </w:p>
    <w:p w14:paraId="13A656CB" w14:textId="77777777" w:rsidR="00E45E1B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46515B4B" w14:textId="77777777" w:rsidR="00E45E1B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2F0B0588" w14:textId="77777777" w:rsidR="00E45E1B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6C60A000" w14:textId="77777777" w:rsidR="00E45E1B" w:rsidRPr="00142CA6" w:rsidRDefault="00E45E1B" w:rsidP="00142CA6">
      <w:pPr>
        <w:rPr>
          <w:rFonts w:asciiTheme="majorBidi" w:hAnsiTheme="majorBidi" w:cstheme="majorBidi"/>
          <w:sz w:val="56"/>
          <w:szCs w:val="56"/>
        </w:rPr>
      </w:pPr>
    </w:p>
    <w:p w14:paraId="2880D706" w14:textId="008C3C08" w:rsidR="00E45E1B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noProof/>
          <w:sz w:val="56"/>
          <w:szCs w:val="56"/>
        </w:rPr>
        <w:lastRenderedPageBreak/>
        <w:drawing>
          <wp:inline distT="0" distB="0" distL="0" distR="0" wp14:anchorId="1EE7B9A7" wp14:editId="0F7A32B3">
            <wp:extent cx="18828084" cy="12103768"/>
            <wp:effectExtent l="0" t="0" r="0" b="0"/>
            <wp:docPr id="20779339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33943" name="Picture 207793394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5503" cy="12108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BFD24" w14:textId="77777777" w:rsidR="00E45E1B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58795B78" w14:textId="77777777" w:rsidR="00E45E1B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7CBA01BF" w14:textId="0A74674F" w:rsidR="00E45E1B" w:rsidRPr="00142CA6" w:rsidRDefault="00142CA6" w:rsidP="00142CA6">
      <w:pPr>
        <w:spacing w:line="480" w:lineRule="auto"/>
        <w:jc w:val="center"/>
        <w:rPr>
          <w:rFonts w:asciiTheme="majorBidi" w:hAnsiTheme="majorBidi" w:cstheme="majorBidi"/>
          <w:sz w:val="56"/>
          <w:szCs w:val="56"/>
        </w:rPr>
      </w:pPr>
      <w:r w:rsidRPr="00142CA6">
        <w:rPr>
          <w:rFonts w:asciiTheme="majorBidi" w:hAnsiTheme="majorBidi" w:cstheme="majorBidi"/>
          <w:b/>
          <w:bCs/>
          <w:sz w:val="56"/>
          <w:szCs w:val="56"/>
        </w:rPr>
        <w:t>Fig. S12</w:t>
      </w:r>
      <w:r w:rsidRPr="00142CA6">
        <w:rPr>
          <w:rFonts w:asciiTheme="majorBidi" w:hAnsiTheme="majorBidi" w:cstheme="majorBidi"/>
          <w:sz w:val="56"/>
          <w:szCs w:val="56"/>
        </w:rPr>
        <w:t xml:space="preserve"> Distribution of SS</w:t>
      </w:r>
      <w:r w:rsidRPr="00142CA6">
        <w:rPr>
          <w:rFonts w:asciiTheme="majorBidi" w:hAnsiTheme="majorBidi" w:cstheme="majorBidi"/>
          <w:sz w:val="56"/>
          <w:szCs w:val="56"/>
        </w:rPr>
        <w:noBreakHyphen/>
        <w:t xml:space="preserve">selected genes according to log₂ fold change and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in the heat vs. control differential expression analysis.</w:t>
      </w:r>
      <w:r w:rsidRPr="00142CA6">
        <w:rPr>
          <w:rFonts w:asciiTheme="majorBidi" w:hAnsiTheme="majorBidi" w:cstheme="majorBidi"/>
          <w:sz w:val="56"/>
          <w:szCs w:val="56"/>
        </w:rPr>
        <w:t xml:space="preserve"> </w:t>
      </w:r>
      <w:r w:rsidRPr="00142CA6">
        <w:rPr>
          <w:rFonts w:asciiTheme="majorBidi" w:hAnsiTheme="majorBidi" w:cstheme="majorBidi"/>
          <w:sz w:val="56"/>
          <w:szCs w:val="56"/>
        </w:rPr>
        <w:t xml:space="preserve">Points are colored as follows: red, DEGs; blue, genes passing only the adjusted </w:t>
      </w:r>
      <w:r w:rsidRPr="00142CA6">
        <w:rPr>
          <w:rFonts w:asciiTheme="majorBidi" w:hAnsiTheme="majorBidi" w:cstheme="majorBidi"/>
          <w:i/>
          <w:iCs/>
          <w:sz w:val="56"/>
          <w:szCs w:val="56"/>
        </w:rPr>
        <w:t>p</w:t>
      </w:r>
      <w:r w:rsidRPr="00142CA6">
        <w:rPr>
          <w:rFonts w:asciiTheme="majorBidi" w:hAnsiTheme="majorBidi" w:cstheme="majorBidi"/>
          <w:sz w:val="56"/>
          <w:szCs w:val="56"/>
        </w:rPr>
        <w:noBreakHyphen/>
        <w:t>value &lt; 10e⁻³ threshold; green, genes passing only the |log₂FC| &gt; 0.1 threshold; and grey, genes meeting neither criterion.</w:t>
      </w:r>
    </w:p>
    <w:p w14:paraId="26A9BE58" w14:textId="77777777" w:rsidR="00E45E1B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3F412CD9" w14:textId="77777777" w:rsidR="00E45E1B" w:rsidRPr="00142CA6" w:rsidRDefault="00E45E1B" w:rsidP="00142CA6">
      <w:pPr>
        <w:jc w:val="center"/>
        <w:rPr>
          <w:rFonts w:asciiTheme="majorBidi" w:hAnsiTheme="majorBidi" w:cstheme="majorBidi"/>
          <w:sz w:val="56"/>
          <w:szCs w:val="56"/>
        </w:rPr>
      </w:pPr>
    </w:p>
    <w:p w14:paraId="607F776E" w14:textId="77777777" w:rsidR="00E45E1B" w:rsidRPr="00142CA6" w:rsidRDefault="00E45E1B" w:rsidP="00142CA6">
      <w:pPr>
        <w:rPr>
          <w:rFonts w:asciiTheme="majorBidi" w:hAnsiTheme="majorBidi" w:cstheme="majorBidi"/>
          <w:sz w:val="56"/>
          <w:szCs w:val="56"/>
        </w:rPr>
      </w:pPr>
    </w:p>
    <w:p w14:paraId="50656805" w14:textId="77777777" w:rsidR="00846B7C" w:rsidRPr="00142CA6" w:rsidRDefault="00846B7C" w:rsidP="00142CA6">
      <w:pPr>
        <w:rPr>
          <w:rFonts w:asciiTheme="majorBidi" w:hAnsiTheme="majorBidi" w:cstheme="majorBidi"/>
          <w:sz w:val="56"/>
          <w:szCs w:val="56"/>
        </w:rPr>
      </w:pPr>
    </w:p>
    <w:sectPr w:rsidR="00846B7C" w:rsidRPr="00142CA6" w:rsidSect="00846B7C">
      <w:pgSz w:w="31680" w:h="3168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54B"/>
    <w:rsid w:val="00142CA6"/>
    <w:rsid w:val="0023581C"/>
    <w:rsid w:val="0048197D"/>
    <w:rsid w:val="004D1809"/>
    <w:rsid w:val="005235EB"/>
    <w:rsid w:val="005B454B"/>
    <w:rsid w:val="00846B7C"/>
    <w:rsid w:val="00DF5DD4"/>
    <w:rsid w:val="00E45E1B"/>
    <w:rsid w:val="00EE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0F8D2"/>
  <w15:chartTrackingRefBased/>
  <w15:docId w15:val="{BC07A3A7-1864-4555-BB66-43A2F167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4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5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5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5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5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5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5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5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5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5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5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5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54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2C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hyperlink" Target="mailto:masoudsisa@gmail.com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hyperlink" Target="mailto:mshahsavari@ut.ac.ir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11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masoud shahsavari</dc:creator>
  <cp:keywords/>
  <dc:description/>
  <cp:lastModifiedBy>masoud shahsavari</cp:lastModifiedBy>
  <cp:revision>3</cp:revision>
  <dcterms:created xsi:type="dcterms:W3CDTF">2026-05-14T10:43:00Z</dcterms:created>
  <dcterms:modified xsi:type="dcterms:W3CDTF">2026-05-17T13:00:00Z</dcterms:modified>
</cp:coreProperties>
</file>