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F0C8" w14:textId="77777777" w:rsidR="00A062A8" w:rsidRDefault="00A062A8" w:rsidP="00A062A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Materials</w:t>
      </w:r>
    </w:p>
    <w:p w14:paraId="20E3050C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following supplementary tables are provided to support the findings presented in this manuscript:</w:t>
      </w:r>
    </w:p>
    <w:p w14:paraId="40454F69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</w:t>
      </w:r>
      <w:r>
        <w:rPr>
          <w:rFonts w:ascii="Times New Roman" w:hAnsi="Times New Roman" w:cs="Times New Roman"/>
          <w:sz w:val="22"/>
          <w:szCs w:val="22"/>
        </w:rPr>
        <w:t>: Detailed information on data sources used in the analyses.</w:t>
      </w:r>
    </w:p>
    <w:p w14:paraId="3E0455DF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2</w:t>
      </w:r>
      <w:r>
        <w:rPr>
          <w:rFonts w:ascii="Times New Roman" w:hAnsi="Times New Roman" w:cs="Times New Roman"/>
          <w:sz w:val="22"/>
          <w:szCs w:val="22"/>
        </w:rPr>
        <w:t>: Information on the cardiometabolic risk (CMR) traits included in the study.</w:t>
      </w:r>
    </w:p>
    <w:p w14:paraId="475F26F9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3</w:t>
      </w:r>
      <w:r>
        <w:rPr>
          <w:rFonts w:ascii="Times New Roman" w:hAnsi="Times New Roman" w:cs="Times New Roman"/>
          <w:sz w:val="22"/>
          <w:szCs w:val="22"/>
        </w:rPr>
        <w:t>: Overview of the GWAS datasets for cardiometabolic diseases.</w:t>
      </w:r>
    </w:p>
    <w:p w14:paraId="28670BEE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4</w:t>
      </w:r>
      <w:r>
        <w:rPr>
          <w:rFonts w:ascii="Times New Roman" w:hAnsi="Times New Roman" w:cs="Times New Roman"/>
          <w:sz w:val="22"/>
          <w:szCs w:val="22"/>
        </w:rPr>
        <w:t>: Results of meta-analyses conducted across GWAS datasets.</w:t>
      </w:r>
    </w:p>
    <w:p w14:paraId="14416B67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5 &amp; 6</w:t>
      </w:r>
      <w:r>
        <w:rPr>
          <w:rFonts w:ascii="Times New Roman" w:hAnsi="Times New Roman" w:cs="Times New Roman"/>
          <w:sz w:val="22"/>
          <w:szCs w:val="22"/>
        </w:rPr>
        <w:t>: Genetic correlation analyses between type 2 diabetes (T2D) and CMR traits using LD Score Regression (LDSC) and High-definition Likelihood (HDL), respectively.</w:t>
      </w:r>
    </w:p>
    <w:p w14:paraId="2CC1FBE7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7 &amp; 8</w:t>
      </w:r>
      <w:r>
        <w:rPr>
          <w:rFonts w:ascii="Times New Roman" w:hAnsi="Times New Roman" w:cs="Times New Roman"/>
          <w:sz w:val="22"/>
          <w:szCs w:val="22"/>
        </w:rPr>
        <w:t>: Results of univariate and bivariate MiXeR analyses, characterizing genetic architecture overlap.</w:t>
      </w:r>
    </w:p>
    <w:p w14:paraId="28E98A36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9 &amp; 10</w:t>
      </w:r>
      <w:r>
        <w:rPr>
          <w:rFonts w:ascii="Times New Roman" w:hAnsi="Times New Roman" w:cs="Times New Roman"/>
          <w:sz w:val="22"/>
          <w:szCs w:val="22"/>
        </w:rPr>
        <w:t>: Genomic loci uniquely associated with T2D or CMR traits at conditional FDR &lt; 0.01.</w:t>
      </w:r>
    </w:p>
    <w:p w14:paraId="2268036C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11</w:t>
      </w:r>
      <w:r>
        <w:rPr>
          <w:rFonts w:ascii="Times New Roman" w:hAnsi="Times New Roman" w:cs="Times New Roman"/>
          <w:sz w:val="22"/>
          <w:szCs w:val="22"/>
        </w:rPr>
        <w:t>: Shared genomic loci between T2D and CMR traits identified by conjunctional FDR analysis.</w:t>
      </w:r>
    </w:p>
    <w:p w14:paraId="0B581CDB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12</w:t>
      </w:r>
      <w:r>
        <w:rPr>
          <w:rFonts w:ascii="Times New Roman" w:hAnsi="Times New Roman" w:cs="Times New Roman"/>
          <w:sz w:val="22"/>
          <w:szCs w:val="22"/>
        </w:rPr>
        <w:t>: Genes mapped to candidate SNPs shared between T2D and CMR traits (conjunctional FDR &lt; 0.05).</w:t>
      </w:r>
    </w:p>
    <w:p w14:paraId="4E57B022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13</w:t>
      </w:r>
      <w:r>
        <w:rPr>
          <w:rFonts w:ascii="Times New Roman" w:hAnsi="Times New Roman" w:cs="Times New Roman"/>
          <w:sz w:val="22"/>
          <w:szCs w:val="22"/>
        </w:rPr>
        <w:t>: Multiple-trait mapping results identifying 1,184 genes (including 514 unique genes) associated with T2D and CMR traits.</w:t>
      </w:r>
    </w:p>
    <w:p w14:paraId="150CF97F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Tables 14–17</w:t>
      </w:r>
      <w:r>
        <w:rPr>
          <w:rFonts w:ascii="Times New Roman" w:hAnsi="Times New Roman" w:cs="Times New Roman"/>
          <w:sz w:val="22"/>
          <w:szCs w:val="22"/>
        </w:rPr>
        <w:t xml:space="preserve">: Results from S-PrediXcan (single-tissue) and S-MulTiXcan (cross-tissue) TWAS analyses for T2D and key CMR traits (adjusted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0.05, Benjamini-Hochberg correction).</w:t>
      </w:r>
    </w:p>
    <w:p w14:paraId="2DCC3B41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18</w:t>
      </w:r>
      <w:r>
        <w:rPr>
          <w:rFonts w:ascii="Times New Roman" w:hAnsi="Times New Roman" w:cs="Times New Roman"/>
          <w:sz w:val="22"/>
          <w:szCs w:val="22"/>
        </w:rPr>
        <w:t xml:space="preserve">: SMR analysis of blood eQTLs in relation to T2D and 14 cardiometabolic conditions (adjusted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0.05).</w:t>
      </w:r>
    </w:p>
    <w:p w14:paraId="0F09F659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19</w:t>
      </w:r>
      <w:r>
        <w:rPr>
          <w:rFonts w:ascii="Times New Roman" w:hAnsi="Times New Roman" w:cs="Times New Roman"/>
          <w:sz w:val="22"/>
          <w:szCs w:val="22"/>
        </w:rPr>
        <w:t>: Detailed information on 31 single-cell eQTLs used in downstream analyses.</w:t>
      </w:r>
    </w:p>
    <w:p w14:paraId="0C3C5D9F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20</w:t>
      </w:r>
      <w:r>
        <w:rPr>
          <w:rFonts w:ascii="Times New Roman" w:hAnsi="Times New Roman" w:cs="Times New Roman"/>
          <w:sz w:val="22"/>
          <w:szCs w:val="22"/>
        </w:rPr>
        <w:t>: List of SNPs retained after exposure-outcome harmonization for final Mendelian randomization analyses.</w:t>
      </w:r>
    </w:p>
    <w:p w14:paraId="02E05377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Supplementary Table 21: Mendelian randomization results of single-cell eQTLs for T2D and 14 CMR traits (adjusted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0.05).</w:t>
      </w:r>
    </w:p>
    <w:p w14:paraId="72EEA045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supplementary tables are available online as part of the manuscript submission.</w:t>
      </w:r>
    </w:p>
    <w:p w14:paraId="47875F12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</w:p>
    <w:p w14:paraId="2F570497" w14:textId="77777777" w:rsidR="00A062A8" w:rsidRDefault="00A062A8" w:rsidP="00A062A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 Methods are provided in the Supplementary Information.</w:t>
      </w:r>
    </w:p>
    <w:p w14:paraId="3857E089" w14:textId="77777777" w:rsidR="00E023F9" w:rsidRDefault="00E023F9"/>
    <w:sectPr w:rsidR="00E023F9" w:rsidSect="00A062A8">
      <w:head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CCE3" w14:textId="77777777" w:rsidR="00000000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572A8" wp14:editId="140C63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146FF5" w14:textId="77777777" w:rsidR="00000000" w:rsidRDefault="00000000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572A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1146FF5" w14:textId="77777777" w:rsidR="00000000" w:rsidRDefault="00000000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A8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062A8"/>
    <w:rsid w:val="00B10170"/>
    <w:rsid w:val="00B260B7"/>
    <w:rsid w:val="00B85331"/>
    <w:rsid w:val="00C94D66"/>
    <w:rsid w:val="00DE7E69"/>
    <w:rsid w:val="00E023F9"/>
    <w:rsid w:val="00E4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635AC"/>
  <w15:chartTrackingRefBased/>
  <w15:docId w15:val="{FCBFE1E6-3303-4E17-A20D-DA26F76C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2A8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2A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2A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2A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2A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2A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2A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2A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2A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2A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2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2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2A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6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2A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6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2A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6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2A8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6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2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2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qFormat/>
    <w:rsid w:val="00A062A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A062A8"/>
    <w:rPr>
      <w:rFonts w:eastAsiaTheme="minorEastAsia"/>
      <w:sz w:val="18"/>
      <w:lang w:val="en-US"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06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2026-07-01T09:56:00Z</dcterms:created>
  <dcterms:modified xsi:type="dcterms:W3CDTF">2026-07-01T09:56:00Z</dcterms:modified>
</cp:coreProperties>
</file>