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1DF9" w14:textId="39A716E0" w:rsidR="009C488D" w:rsidRDefault="009C488D" w:rsidP="00A528DA">
      <w:pPr>
        <w:rPr>
          <w:b/>
          <w:bCs/>
        </w:rPr>
      </w:pPr>
      <w:r>
        <w:rPr>
          <w:b/>
          <w:bCs/>
        </w:rPr>
        <w:t xml:space="preserve">Supplementary </w:t>
      </w:r>
      <w:r w:rsidR="00E16788">
        <w:rPr>
          <w:b/>
          <w:bCs/>
        </w:rPr>
        <w:t>Methods</w:t>
      </w:r>
    </w:p>
    <w:p w14:paraId="4AB6411E" w14:textId="214DE9FC" w:rsidR="007B77B4" w:rsidRPr="00EC5421" w:rsidRDefault="00EC5421" w:rsidP="00A528DA">
      <w:pPr>
        <w:rPr>
          <w:b/>
          <w:bCs/>
        </w:rPr>
      </w:pPr>
      <w:r w:rsidRPr="00EC5421">
        <w:rPr>
          <w:b/>
          <w:bCs/>
        </w:rPr>
        <w:t>Whole-Genome Sequencing, Variant Calling, and Ancestry PC Derivation</w:t>
      </w:r>
    </w:p>
    <w:p w14:paraId="164802E1" w14:textId="7E796526" w:rsidR="00AD20B7" w:rsidRPr="00183E8F" w:rsidRDefault="00AD20B7" w:rsidP="00AD20B7">
      <w:pPr>
        <w:rPr>
          <w:sz w:val="22"/>
          <w:szCs w:val="22"/>
        </w:rPr>
      </w:pPr>
      <w:r w:rsidRPr="00183E8F">
        <w:rPr>
          <w:sz w:val="22"/>
          <w:szCs w:val="22"/>
        </w:rPr>
        <w:t>Whole-genome sequencing (WGS) was performed on blood-derived DNA samples. Genomic DNA was extracted from peripheral whole blood using the Gentra Puregene Blood Kit (Qiagen, USA). DNA concentration and purity were assessed using a NanoDrop 2000 spectrophotometer, and all samples were stored at −80 °C prior to library preparation. For each sample, 300 ng of genomic DNA was used as input material.</w:t>
      </w:r>
      <w:r>
        <w:rPr>
          <w:sz w:val="22"/>
          <w:szCs w:val="22"/>
        </w:rPr>
        <w:t xml:space="preserve"> </w:t>
      </w:r>
      <w:r w:rsidRPr="00183E8F">
        <w:rPr>
          <w:sz w:val="22"/>
          <w:szCs w:val="22"/>
        </w:rPr>
        <w:t>Sequencing libraries were constructed using the KAPA DNA LTP library preparation kit (KAPA Biosystems, USA) on a Biomek FX Laboratory Automation Workstation (Beckman Coulter, USA). Library preparation involved DNA nanoball (DNB) generation through ligation-mediated polymerase chain reaction, followed by single-strand separation, cyclization, and rolling-circle amplification. WGS was conducted at an average sequencing depth of approximately 15× using the DNBSEQ-500 platform (BGI Americas Corporation, Cambridge, MA, USA), generating paired-end reads with an insert size of 350 bp.</w:t>
      </w:r>
      <w:r>
        <w:rPr>
          <w:sz w:val="22"/>
          <w:szCs w:val="22"/>
        </w:rPr>
        <w:t xml:space="preserve"> </w:t>
      </w:r>
      <w:r w:rsidRPr="00183E8F">
        <w:rPr>
          <w:sz w:val="22"/>
          <w:szCs w:val="22"/>
        </w:rPr>
        <w:t>After quality control, sequencing reads were aligned to the human reference genome (GRCh38/hg38) using the Burrows–Wheeler Aligner (BWA, v0.7.12)</w:t>
      </w:r>
      <w:r>
        <w:rPr>
          <w:sz w:val="22"/>
          <w:szCs w:val="22"/>
        </w:rPr>
        <w:t xml:space="preserve"> </w:t>
      </w:r>
      <w:r>
        <w:rPr>
          <w:sz w:val="22"/>
          <w:szCs w:val="22"/>
        </w:rPr>
        <w:fldChar w:fldCharType="begin"/>
      </w:r>
      <w:r w:rsidR="00B97E89">
        <w:rPr>
          <w:sz w:val="22"/>
          <w:szCs w:val="22"/>
        </w:rPr>
        <w:instrText xml:space="preserve"> ADDIN EN.CITE &lt;EndNote&gt;&lt;Cite&gt;&lt;Author&gt;Li&lt;/Author&gt;&lt;Year&gt;2009&lt;/Year&gt;&lt;RecNum&gt;13&lt;/RecNum&gt;&lt;DisplayText&gt;[1]&lt;/DisplayText&gt;&lt;record&gt;&lt;rec-number&gt;13&lt;/rec-number&gt;&lt;foreign-keys&gt;&lt;key app="EN" db-id="pxw5p9exs29tsnea0afp092b5s22ez9rxvdw" timestamp="1769016937"&gt;13&lt;/key&gt;&lt;/foreign-keys&gt;&lt;ref-type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-4811&lt;/isbn&gt;&lt;urls&gt;&lt;/urls&gt;&lt;/record&gt;&lt;/Cite&gt;&lt;/EndNote&gt;</w:instrText>
      </w:r>
      <w:r>
        <w:rPr>
          <w:sz w:val="22"/>
          <w:szCs w:val="22"/>
        </w:rPr>
        <w:fldChar w:fldCharType="separate"/>
      </w:r>
      <w:r w:rsidR="00A136CC">
        <w:rPr>
          <w:noProof/>
          <w:sz w:val="22"/>
          <w:szCs w:val="22"/>
        </w:rPr>
        <w:t>[1]</w:t>
      </w:r>
      <w:r>
        <w:rPr>
          <w:sz w:val="22"/>
          <w:szCs w:val="22"/>
        </w:rPr>
        <w:fldChar w:fldCharType="end"/>
      </w:r>
      <w:r w:rsidRPr="00183E8F">
        <w:rPr>
          <w:sz w:val="22"/>
          <w:szCs w:val="22"/>
        </w:rPr>
        <w:t>. Variant calling was performed following the Genome Analysis Toolkit (GATK, v4.0.3) Best Practices workflow</w:t>
      </w:r>
      <w:r>
        <w:rPr>
          <w:sz w:val="22"/>
          <w:szCs w:val="22"/>
        </w:rPr>
        <w:t xml:space="preserve"> </w:t>
      </w:r>
      <w:r>
        <w:rPr>
          <w:sz w:val="22"/>
          <w:szCs w:val="22"/>
        </w:rPr>
        <w:fldChar w:fldCharType="begin"/>
      </w:r>
      <w:r w:rsidR="00B97E89">
        <w:rPr>
          <w:sz w:val="22"/>
          <w:szCs w:val="22"/>
        </w:rPr>
        <w:instrText xml:space="preserve"> ADDIN EN.CITE &lt;EndNote&gt;&lt;Cite&gt;&lt;Author&gt;Van der Auwera&lt;/Author&gt;&lt;Year&gt;2013&lt;/Year&gt;&lt;RecNum&gt;14&lt;/RecNum&gt;&lt;DisplayText&gt;[2]&lt;/DisplayText&gt;&lt;record&gt;&lt;rec-number&gt;14&lt;/rec-number&gt;&lt;foreign-keys&gt;&lt;key app="EN" db-id="pxw5p9exs29tsnea0afp092b5s22ez9rxvdw" timestamp="1769016937"&gt;14&lt;/key&gt;&lt;/foreign-keys&gt;&lt;ref-type name="Journal Article"&gt;17&lt;/ref-type&gt;&lt;contributors&gt;&lt;authors&gt;&lt;author&gt;Van der Auwera, Geraldine A&lt;/author&gt;&lt;author&gt;Carneiro, Mauricio O&lt;/author&gt;&lt;author&gt;Hartl, Christopher&lt;/author&gt;&lt;author&gt;Poplin, Ryan&lt;/author&gt;&lt;author&gt;Del Ang</w:instrText>
      </w:r>
      <w:r w:rsidR="00B97E89">
        <w:rPr>
          <w:rFonts w:hint="eastAsia"/>
          <w:sz w:val="22"/>
          <w:szCs w:val="22"/>
        </w:rPr>
        <w:instrText>el, Guillermo&lt;/author&gt;&lt;author&gt;Levy</w:instrText>
      </w:r>
      <w:r w:rsidR="00B97E89">
        <w:rPr>
          <w:rFonts w:hint="eastAsia"/>
          <w:sz w:val="22"/>
          <w:szCs w:val="22"/>
        </w:rPr>
        <w:instrText>‐</w:instrText>
      </w:r>
      <w:r w:rsidR="00B97E89">
        <w:rPr>
          <w:rFonts w:hint="eastAsia"/>
          <w:sz w:val="22"/>
          <w:szCs w:val="22"/>
        </w:rPr>
        <w:instrText>Moonshine, Ami&lt;/author&gt;&lt;author&gt;Jordan, Tadeusz&lt;/author&gt;&lt;author&gt;Shakir, Khalid&lt;/author&gt;&lt;author&gt;Roazen, David&lt;/author&gt;&lt;author&gt;Thibault, Joel&lt;/author&gt;&lt;/authors&gt;&lt;/contributors&gt;&lt;titles&gt;&lt;title&gt;From FastQ data to high</w:instrText>
      </w:r>
      <w:r w:rsidR="00B97E89">
        <w:rPr>
          <w:rFonts w:hint="eastAsia"/>
          <w:sz w:val="22"/>
          <w:szCs w:val="22"/>
        </w:rPr>
        <w:instrText>‐</w:instrText>
      </w:r>
      <w:r w:rsidR="00B97E89">
        <w:rPr>
          <w:rFonts w:hint="eastAsia"/>
          <w:sz w:val="22"/>
          <w:szCs w:val="22"/>
        </w:rPr>
        <w:instrText>confidenc</w:instrText>
      </w:r>
      <w:r w:rsidR="00B97E89">
        <w:rPr>
          <w:sz w:val="22"/>
          <w:szCs w:val="22"/>
        </w:rPr>
        <w:instrText>e variant calls: the genome analysis toolkit best practices pipeline&lt;/title&gt;&lt;secondary-title&gt;Current protocols in bioinformatics&lt;/secondary-title&gt;&lt;/titles&gt;&lt;periodical&gt;&lt;full-title&gt;Current protocols in bioinformatics&lt;/full-title&gt;&lt;/periodical&gt;&lt;pages&gt;11.10. 1-11.10. 33&lt;/pages&gt;&lt;volume&gt;43&lt;/volume&gt;&lt;number&gt;1&lt;/number&gt;&lt;dates&gt;&lt;year&gt;2013&lt;/year&gt;&lt;/dates&gt;&lt;isbn&gt;1934-3396&lt;/isbn&gt;&lt;urls&gt;&lt;/urls&gt;&lt;/record&gt;&lt;/Cite&gt;&lt;/EndNote&gt;</w:instrText>
      </w:r>
      <w:r>
        <w:rPr>
          <w:sz w:val="22"/>
          <w:szCs w:val="22"/>
        </w:rPr>
        <w:fldChar w:fldCharType="separate"/>
      </w:r>
      <w:r w:rsidR="00A136CC">
        <w:rPr>
          <w:noProof/>
          <w:sz w:val="22"/>
          <w:szCs w:val="22"/>
        </w:rPr>
        <w:t>[2]</w:t>
      </w:r>
      <w:r>
        <w:rPr>
          <w:sz w:val="22"/>
          <w:szCs w:val="22"/>
        </w:rPr>
        <w:fldChar w:fldCharType="end"/>
      </w:r>
      <w:r w:rsidRPr="00183E8F">
        <w:rPr>
          <w:sz w:val="22"/>
          <w:szCs w:val="22"/>
        </w:rPr>
        <w:t>. Single-nucleotide polymorphisms (SNPs) and insertions/deletions (InDels) were identified using GATK HaplotypeCaller, and variant quality score recalibration (VQSR) was applied to obtain high-confidence variant calls</w:t>
      </w:r>
      <w:r>
        <w:rPr>
          <w:sz w:val="22"/>
          <w:szCs w:val="22"/>
        </w:rPr>
        <w:t xml:space="preserve"> </w:t>
      </w:r>
      <w:r>
        <w:rPr>
          <w:sz w:val="22"/>
          <w:szCs w:val="22"/>
        </w:rPr>
        <w:fldChar w:fldCharType="begin"/>
      </w:r>
      <w:r w:rsidR="00B97E89">
        <w:rPr>
          <w:sz w:val="22"/>
          <w:szCs w:val="22"/>
        </w:rPr>
        <w:instrText xml:space="preserve"> ADDIN EN.CITE &lt;EndNote&gt;&lt;Cite&gt;&lt;Author&gt;McKenna&lt;/Author&gt;&lt;Year&gt;2010&lt;/Year&gt;&lt;RecNum&gt;15&lt;/RecNum&gt;&lt;DisplayText&gt;[3]&lt;/DisplayText&gt;&lt;record&gt;&lt;rec-number&gt;15&lt;/rec-number&gt;&lt;foreign-keys&gt;&lt;key app="EN" db-id="pxw5p9exs29tsnea0afp092b5s22ez9rxvdw" timestamp="1769016937"&gt;15&lt;/key&gt;&lt;/foreign-keys&gt;&lt;ref-type name="Journal Article"&gt;17&lt;/ref-type&gt;&lt;contributors&gt;&lt;authors&gt;&lt;author&gt;McKenna, Aaron&lt;/author&gt;&lt;author&gt;Hanna, Matthew&lt;/author&gt;&lt;author&gt;Banks, Eric&lt;/author&gt;&lt;author&gt;Sivachenko, Andrey&lt;/author&gt;&lt;author&gt;Cibulskis, Kristian&lt;/author&gt;&lt;author&gt;Kernytsky, Andrew&lt;/author&gt;&lt;author&gt;Garimella, Kiran&lt;/author&gt;&lt;author&gt;Altshuler, David&lt;/author&gt;&lt;author&gt;Gabriel, Stacey&lt;/author&gt;&lt;author&gt;Daly, Mark&lt;/author&gt;&lt;/authors&gt;&lt;/contributors&gt;&lt;titles&gt;&lt;title&gt;The Genome Analysis Toolkit: a MapReduce framework for analyzing next-generation DNA sequencing data&lt;/title&gt;&lt;secondary-title&gt;Genome research&lt;/secondary-title&gt;&lt;/titles&gt;&lt;periodical&gt;&lt;full-title&gt;Genome research&lt;/full-title&gt;&lt;/periodical&gt;&lt;pages&gt;1297-1303&lt;/pages&gt;&lt;volume&gt;20&lt;/volume&gt;&lt;number&gt;9&lt;/number&gt;&lt;dates&gt;&lt;year&gt;2010&lt;/year&gt;&lt;/dates&gt;&lt;isbn&gt;1088-9051&lt;/isbn&gt;&lt;urls&gt;&lt;/urls&gt;&lt;/record&gt;&lt;/Cite&gt;&lt;/EndNote&gt;</w:instrText>
      </w:r>
      <w:r>
        <w:rPr>
          <w:sz w:val="22"/>
          <w:szCs w:val="22"/>
        </w:rPr>
        <w:fldChar w:fldCharType="separate"/>
      </w:r>
      <w:r w:rsidR="00A136CC">
        <w:rPr>
          <w:noProof/>
          <w:sz w:val="22"/>
          <w:szCs w:val="22"/>
        </w:rPr>
        <w:t>[3]</w:t>
      </w:r>
      <w:r>
        <w:rPr>
          <w:sz w:val="22"/>
          <w:szCs w:val="22"/>
        </w:rPr>
        <w:fldChar w:fldCharType="end"/>
      </w:r>
      <w:r w:rsidRPr="00183E8F">
        <w:rPr>
          <w:sz w:val="22"/>
          <w:szCs w:val="22"/>
        </w:rPr>
        <w:t>. Variants labeled as “PASS” in the final VCF files were retained for downstream analyses.</w:t>
      </w:r>
      <w:r>
        <w:rPr>
          <w:sz w:val="22"/>
          <w:szCs w:val="22"/>
        </w:rPr>
        <w:t xml:space="preserve"> </w:t>
      </w:r>
      <w:r w:rsidRPr="00183E8F">
        <w:rPr>
          <w:sz w:val="22"/>
          <w:szCs w:val="22"/>
        </w:rPr>
        <w:t xml:space="preserve">For SNP recalibration, the VQSR model was trained using multiple high-quality reference datasets, including HapMap v3.3, Omni 2.5M genotyping array data, and high-confidence SNP sites from the 1000 Genomes Project </w:t>
      </w:r>
      <w:r>
        <w:rPr>
          <w:sz w:val="22"/>
          <w:szCs w:val="22"/>
        </w:rPr>
        <w:fldChar w:fldCharType="begin">
          <w:fldData xml:space="preserve">PEVuZE5vdGU+PENpdGU+PEF1dGhvcj5BbmlhZ3d1PC9BdXRob3I+PFllYXI+MjAwMzwvWWVhcj48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</w:fldData>
        </w:fldChar>
      </w:r>
      <w:r w:rsidR="00B97E89">
        <w:rPr>
          <w:sz w:val="22"/>
          <w:szCs w:val="22"/>
        </w:rPr>
        <w:instrText xml:space="preserve"> ADDIN EN.CITE </w:instrText>
      </w:r>
      <w:r w:rsidR="00B97E89">
        <w:rPr>
          <w:sz w:val="22"/>
          <w:szCs w:val="22"/>
        </w:rPr>
        <w:fldChar w:fldCharType="begin">
          <w:fldData xml:space="preserve">PEVuZE5vdGU+PENpdGU+PEF1dGhvcj5BbmlhZ3d1PC9BdXRob3I+PFllYXI+MjAwMzwvWWVhcj48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</w:fldData>
        </w:fldChar>
      </w:r>
      <w:r w:rsidR="00B97E89">
        <w:rPr>
          <w:sz w:val="22"/>
          <w:szCs w:val="22"/>
        </w:rPr>
        <w:instrText xml:space="preserve"> ADDIN EN.CITE.DATA </w:instrText>
      </w:r>
      <w:r w:rsidR="00B97E89">
        <w:rPr>
          <w:sz w:val="22"/>
          <w:szCs w:val="22"/>
        </w:rPr>
      </w:r>
      <w:r w:rsidR="00B97E89">
        <w:rPr>
          <w:sz w:val="22"/>
          <w:szCs w:val="22"/>
        </w:rPr>
        <w:fldChar w:fldCharType="end"/>
      </w:r>
      <w:r>
        <w:rPr>
          <w:sz w:val="22"/>
          <w:szCs w:val="22"/>
        </w:rPr>
      </w:r>
      <w:r>
        <w:rPr>
          <w:sz w:val="22"/>
          <w:szCs w:val="22"/>
        </w:rPr>
        <w:fldChar w:fldCharType="separate"/>
      </w:r>
      <w:r w:rsidR="00A136CC">
        <w:rPr>
          <w:noProof/>
          <w:sz w:val="22"/>
          <w:szCs w:val="22"/>
        </w:rPr>
        <w:t>[4-6]</w:t>
      </w:r>
      <w:r>
        <w:rPr>
          <w:sz w:val="22"/>
          <w:szCs w:val="22"/>
        </w:rPr>
        <w:fldChar w:fldCharType="end"/>
      </w:r>
      <w:r w:rsidRPr="00183E8F">
        <w:rPr>
          <w:sz w:val="22"/>
          <w:szCs w:val="22"/>
        </w:rPr>
        <w:t>. Variant annotations used as features in the recalibration model included sequencing depth (DP), quality by depth (QD), Fisher strand bias (FS), strand odds ratio (SOR), and read position rank sum (ReadPosRankSum)</w:t>
      </w:r>
      <w:r>
        <w:rPr>
          <w:sz w:val="22"/>
          <w:szCs w:val="22"/>
        </w:rPr>
        <w:t xml:space="preserve"> </w:t>
      </w:r>
      <w:r>
        <w:rPr>
          <w:sz w:val="22"/>
          <w:szCs w:val="22"/>
        </w:rPr>
        <w:fldChar w:fldCharType="begin"/>
      </w:r>
      <w:r w:rsidR="00B97E89">
        <w:rPr>
          <w:sz w:val="22"/>
          <w:szCs w:val="22"/>
        </w:rPr>
        <w:instrText xml:space="preserve"> ADDIN EN.CITE &lt;EndNote&gt;&lt;Cite&gt;&lt;Author&gt;Reza&lt;/Author&gt;&lt;Year&gt;2025&lt;/Year&gt;&lt;RecNum&gt;3&lt;/RecNum&gt;&lt;DisplayText&gt;[7]&lt;/DisplayText&gt;&lt;record&gt;&lt;rec-number&gt;3&lt;/rec-number&gt;&lt;foreign-keys&gt;&lt;key app="EN" db-id="pxw5p9exs29tsnea0afp092b5s22ez9rxvdw" timestamp="1769016937"&gt;3&lt;/key&gt;&lt;/</w:instrText>
      </w:r>
      <w:r w:rsidR="00B97E89">
        <w:rPr>
          <w:rFonts w:hint="eastAsia"/>
          <w:sz w:val="22"/>
          <w:szCs w:val="22"/>
        </w:rPr>
        <w:instrText>foreign-keys&gt;&lt;ref-type name="Journal Article"&gt;17&lt;/ref-type&gt;&lt;contributors&gt;&lt;authors&gt;&lt;author&gt;Reza, Md Selim&lt;/author&gt;&lt;author&gt;Qiu, Chuan&lt;/author&gt;&lt;author&gt;Lin, Xu&lt;/author&gt;&lt;author&gt;Su, Kuan</w:instrText>
      </w:r>
      <w:r w:rsidR="00B97E89">
        <w:rPr>
          <w:rFonts w:hint="eastAsia"/>
          <w:sz w:val="22"/>
          <w:szCs w:val="22"/>
        </w:rPr>
        <w:instrText>‐</w:instrText>
      </w:r>
      <w:r w:rsidR="00B97E89">
        <w:rPr>
          <w:rFonts w:hint="eastAsia"/>
          <w:sz w:val="22"/>
          <w:szCs w:val="22"/>
        </w:rPr>
        <w:instrText>Jui&lt;/author&gt;&lt;author&gt;Liu, Anqi&lt;/author&gt;&lt;author&gt;Zhang, Xiao&lt;/author&gt;&lt;author&gt;Gong, Yun&lt;/author&gt;&lt;author&gt;Luo, Zhe&lt;/author&gt;&lt;author&gt;Tian, Qing&lt;/author&gt;&lt;author&gt;Nwadiugwu, Martin&lt;/author&gt;&lt;/authors&gt;&lt;/contributors&gt;&lt;titles&gt;&lt;title&gt;An Attention</w:instrText>
      </w:r>
      <w:r w:rsidR="00B97E89">
        <w:rPr>
          <w:rFonts w:hint="eastAsia"/>
          <w:sz w:val="22"/>
          <w:szCs w:val="22"/>
        </w:rPr>
        <w:instrText>‐</w:instrText>
      </w:r>
      <w:r w:rsidR="00B97E89">
        <w:rPr>
          <w:rFonts w:hint="eastAsia"/>
          <w:sz w:val="22"/>
          <w:szCs w:val="22"/>
        </w:rPr>
        <w:instrText>Aware Multi</w:instrText>
      </w:r>
      <w:r w:rsidR="00B97E89">
        <w:rPr>
          <w:rFonts w:hint="eastAsia"/>
          <w:sz w:val="22"/>
          <w:szCs w:val="22"/>
        </w:rPr>
        <w:instrText>‐</w:instrText>
      </w:r>
      <w:r w:rsidR="00B97E89">
        <w:rPr>
          <w:rFonts w:hint="eastAsia"/>
          <w:sz w:val="22"/>
          <w:szCs w:val="22"/>
        </w:rPr>
        <w:instrText>Task Learning Framework Identifies Candidate Targets for Drug Repurposing in Sarcopeni</w:instrText>
      </w:r>
      <w:r w:rsidR="00B97E89">
        <w:rPr>
          <w:sz w:val="22"/>
          <w:szCs w:val="22"/>
        </w:rPr>
        <w:instrText>a&lt;/title&gt;&lt;secondary-title&gt;Journal of Cachexia, Sarcopenia and Muscle&lt;/secondary-title&gt;&lt;/titles&gt;&lt;periodical&gt;&lt;full-title&gt;Journal of Cachexia, Sarcopenia and Muscle&lt;/full-title&gt;&lt;/periodical&gt;&lt;pages&gt;e13661&lt;/pages&gt;&lt;volume&gt;16&lt;/volume&gt;&lt;number&gt;2&lt;/number&gt;&lt;dates&gt;&lt;year&gt;2025&lt;/year&gt;&lt;/dates&gt;&lt;isbn&gt;2190-5991&lt;/isbn&gt;&lt;urls&gt;&lt;/urls&gt;&lt;/record&gt;&lt;/Cite&gt;&lt;/EndNote&gt;</w:instrText>
      </w:r>
      <w:r>
        <w:rPr>
          <w:sz w:val="22"/>
          <w:szCs w:val="22"/>
        </w:rPr>
        <w:fldChar w:fldCharType="separate"/>
      </w:r>
      <w:r w:rsidR="00A136CC">
        <w:rPr>
          <w:noProof/>
          <w:sz w:val="22"/>
          <w:szCs w:val="22"/>
        </w:rPr>
        <w:t>[7]</w:t>
      </w:r>
      <w:r>
        <w:rPr>
          <w:sz w:val="22"/>
          <w:szCs w:val="22"/>
        </w:rPr>
        <w:fldChar w:fldCharType="end"/>
      </w:r>
      <w:r w:rsidRPr="00183E8F">
        <w:rPr>
          <w:sz w:val="22"/>
          <w:szCs w:val="22"/>
        </w:rPr>
        <w:t>.</w:t>
      </w:r>
    </w:p>
    <w:p w14:paraId="63A3225D" w14:textId="2EDAE4EE" w:rsidR="00AD20B7" w:rsidRPr="00C2379D" w:rsidRDefault="00AD20B7" w:rsidP="00AD20B7">
      <w:pPr>
        <w:rPr>
          <w:sz w:val="22"/>
          <w:szCs w:val="22"/>
        </w:rPr>
      </w:pPr>
      <w:r w:rsidRPr="00C2379D">
        <w:rPr>
          <w:sz w:val="22"/>
          <w:szCs w:val="22"/>
        </w:rPr>
        <w:t>Genome-wide SNP data were processed using PLINK v1.9</w:t>
      </w:r>
      <w:r>
        <w:rPr>
          <w:sz w:val="22"/>
          <w:szCs w:val="22"/>
        </w:rPr>
        <w:t xml:space="preserve"> </w:t>
      </w:r>
      <w:r>
        <w:rPr>
          <w:sz w:val="22"/>
          <w:szCs w:val="22"/>
        </w:rPr>
        <w:fldChar w:fldCharType="begin"/>
      </w:r>
      <w:r w:rsidR="00B97E89">
        <w:rPr>
          <w:sz w:val="22"/>
          <w:szCs w:val="22"/>
        </w:rPr>
        <w:instrText xml:space="preserve"> ADDIN EN.CITE &lt;EndNote&gt;&lt;Cite&gt;&lt;Author&gt;Chang&lt;/Author&gt;&lt;Year&gt;2015&lt;/Year&gt;&lt;RecNum&gt;19&lt;/RecNum&gt;&lt;DisplayText&gt;[8]&lt;/DisplayText&gt;&lt;record&gt;&lt;rec-number&gt;19&lt;/rec-number&gt;&lt;foreign-keys&gt;&lt;key app="EN" db-id="pxw5p9exs29tsnea0afp092b5s22ez9rxvdw" timestamp="1769016937"&gt;19&lt;/key&gt;&lt;/foreign-keys&gt;&lt;ref-type name="Journal Article"&gt;17&lt;/ref-type&gt;&lt;contributors&gt;&lt;authors&gt;&lt;author&gt;Chang, Christopher C&lt;/author&gt;&lt;author&gt;Chow, Carson C&lt;/author&gt;&lt;author&gt;Tellier, Laurent CAM&lt;/author&gt;&lt;author&gt;Vattikuti, Shashaank&lt;/author&gt;&lt;author&gt;Purcell, Shaun M&lt;/author&gt;&lt;author&gt;Lee, James J&lt;/author&gt;&lt;/authors&gt;&lt;/contributors&gt;&lt;titles&gt;&lt;title&gt;Second-generation PLINK: rising to the challenge of larger and richer datasets&lt;/title&gt;&lt;secondary-title&gt;Gigascience&lt;/secondary-title&gt;&lt;/titles&gt;&lt;periodical&gt;&lt;full-title&gt;Gigascience&lt;/full-title&gt;&lt;/periodical&gt;&lt;pages&gt;s13742-015-0047-8&lt;/pages&gt;&lt;volume&gt;4&lt;/volume&gt;&lt;number&gt;1&lt;/number&gt;&lt;dates&gt;&lt;year&gt;2015&lt;/year&gt;&lt;/dates&gt;&lt;isbn&gt;2047-217X&lt;/isbn&gt;&lt;urls&gt;&lt;/urls&gt;&lt;/record&gt;&lt;/Cite&gt;&lt;/EndNote&gt;</w:instrText>
      </w:r>
      <w:r>
        <w:rPr>
          <w:sz w:val="22"/>
          <w:szCs w:val="22"/>
        </w:rPr>
        <w:fldChar w:fldCharType="separate"/>
      </w:r>
      <w:r w:rsidR="00A136CC">
        <w:rPr>
          <w:noProof/>
          <w:sz w:val="22"/>
          <w:szCs w:val="22"/>
        </w:rPr>
        <w:t>[8]</w:t>
      </w:r>
      <w:r>
        <w:rPr>
          <w:sz w:val="22"/>
          <w:szCs w:val="22"/>
        </w:rPr>
        <w:fldChar w:fldCharType="end"/>
      </w:r>
      <w:r w:rsidRPr="00C2379D">
        <w:rPr>
          <w:sz w:val="22"/>
          <w:szCs w:val="22"/>
        </w:rPr>
        <w:t xml:space="preserve"> following standard quality control and linkage disequilibrium (LD) pruning procedures prior to ancestry inference. Briefly, autosomal variants (chromosomes 1–22) were filtered to retain SNPs only, excluding variants with minor allele frequency (MAF) &lt; 0.05, genotype missingness &gt; 5%, or deviation from Hardy–Weinberg equilibrium (P &lt; 1 × 10</w:t>
      </w:r>
      <w:r w:rsidRPr="00C2379D">
        <w:rPr>
          <w:rFonts w:ascii="Cambria Math" w:hAnsi="Cambria Math" w:cs="Cambria Math"/>
          <w:sz w:val="22"/>
          <w:szCs w:val="22"/>
        </w:rPr>
        <w:t>⁻</w:t>
      </w:r>
      <w:r w:rsidRPr="00C2379D">
        <w:rPr>
          <w:rFonts w:ascii="Aptos" w:hAnsi="Aptos" w:cs="Aptos"/>
          <w:sz w:val="22"/>
          <w:szCs w:val="22"/>
        </w:rPr>
        <w:t>⁶</w:t>
      </w:r>
      <w:r w:rsidRPr="00C2379D">
        <w:rPr>
          <w:sz w:val="22"/>
          <w:szCs w:val="22"/>
        </w:rPr>
        <w:t xml:space="preserve">). These filters were applied independently to each chromosome, and the resulting high-quality SNP sets were carried forward for LD pruning </w:t>
      </w:r>
    </w:p>
    <w:p w14:paraId="046A4592" w14:textId="77777777" w:rsidR="00AD20B7" w:rsidRPr="00C2379D" w:rsidRDefault="00AD20B7" w:rsidP="00AD20B7">
      <w:pPr>
        <w:rPr>
          <w:sz w:val="22"/>
          <w:szCs w:val="22"/>
        </w:rPr>
      </w:pPr>
      <w:r w:rsidRPr="00C2379D">
        <w:rPr>
          <w:sz w:val="22"/>
          <w:szCs w:val="22"/>
        </w:rPr>
        <w:t>To obtain a set of approximately independent variants for ancestry estimation, LD pruning was performed on each chromosome using a sliding window of 50 SNPs, advanced by 5 SNPs per step, with an LD threshold of r² &lt; 0.2. SNPs retained after pruning were extracted to generate LD-reduced genotype datasets. The pruned SNPs across all autosomes were then merged into a single dataset for principal component analysis</w:t>
      </w:r>
      <w:r>
        <w:rPr>
          <w:sz w:val="22"/>
          <w:szCs w:val="22"/>
        </w:rPr>
        <w:t xml:space="preserve"> (PCA)</w:t>
      </w:r>
      <w:r w:rsidRPr="00C2379D">
        <w:rPr>
          <w:sz w:val="22"/>
          <w:szCs w:val="22"/>
        </w:rPr>
        <w:t>.</w:t>
      </w:r>
    </w:p>
    <w:p w14:paraId="75CF0280" w14:textId="0947138A" w:rsidR="003609CC" w:rsidRDefault="00AD20B7">
      <w:r>
        <w:rPr>
          <w:sz w:val="22"/>
          <w:szCs w:val="22"/>
        </w:rPr>
        <w:t>PCA</w:t>
      </w:r>
      <w:r w:rsidRPr="00C2379D">
        <w:rPr>
          <w:sz w:val="22"/>
          <w:szCs w:val="22"/>
        </w:rPr>
        <w:t xml:space="preserve"> was conducted on the LD-pruned, genome-wide SNP set using PLINK’s eigen decomposition implementation. The leading principal components represent major axes of global genetic ancestry and capture broad-scale population structure in the cohort</w:t>
      </w:r>
      <w:r>
        <w:rPr>
          <w:sz w:val="22"/>
          <w:szCs w:val="22"/>
        </w:rPr>
        <w:t xml:space="preserve"> </w:t>
      </w:r>
      <w:r>
        <w:rPr>
          <w:sz w:val="22"/>
          <w:szCs w:val="22"/>
        </w:rPr>
        <w:fldChar w:fldCharType="begin"/>
      </w:r>
      <w:r w:rsidR="00B97E89">
        <w:rPr>
          <w:sz w:val="22"/>
          <w:szCs w:val="22"/>
        </w:rPr>
        <w:instrText xml:space="preserve"> ADDIN EN.CITE &lt;EndNote&gt;&lt;Cite&gt;&lt;Author&gt;Price&lt;/Author&gt;&lt;Year&gt;2006&lt;/Year&gt;&lt;RecNum&gt;12&lt;/RecNum&gt;&lt;DisplayText&gt;[9]&lt;/DisplayText&gt;&lt;record&gt;&lt;rec-number&gt;12&lt;/rec-number&gt;&lt;foreign-keys&gt;&lt;key app="EN" db-id="pxw5p9exs29tsnea0afp092b5s22ez9rxvdw" timestamp="1769016937"&gt;12&lt;/key&gt;&lt;/foreign-keys&gt;&lt;ref-type name="Journal Article"&gt;17&lt;/ref-type&gt;&lt;contributors&gt;&lt;authors&gt;&lt;author&gt;Price, Alkes L&lt;/author&gt;&lt;author&gt;Patterson, Nick J&lt;/author&gt;&lt;author&gt;Plenge, Robert M&lt;/author&gt;&lt;author&gt;Weinblatt, Michael E&lt;/author&gt;&lt;author&gt;Shadick, Nancy A&lt;/author&gt;&lt;author&gt;Reich, David&lt;/author&gt;&lt;/authors&gt;&lt;/contributors&gt;&lt;titles&gt;&lt;title&gt;Principal components analysis corrects for stratification in genome-wide association studies&lt;/title&gt;&lt;secondary-title&gt;Nature genetics&lt;/secondary-title&gt;&lt;/titles&gt;&lt;periodical&gt;&lt;full-title&gt;Nature genetics&lt;/full-title&gt;&lt;/periodical&gt;&lt;pages&gt;904-909&lt;/pages&gt;&lt;volume&gt;38&lt;/volume&gt;&lt;number&gt;8&lt;/number&gt;&lt;dates&gt;&lt;year&gt;2006&lt;/year&gt;&lt;/dates&gt;&lt;isbn&gt;1061-4036&lt;/isbn&gt;&lt;urls&gt;&lt;/urls&gt;&lt;/record&gt;&lt;/Cite&gt;&lt;/EndNote&gt;</w:instrText>
      </w:r>
      <w:r>
        <w:rPr>
          <w:sz w:val="22"/>
          <w:szCs w:val="22"/>
        </w:rPr>
        <w:fldChar w:fldCharType="separate"/>
      </w:r>
      <w:r w:rsidR="00A136CC">
        <w:rPr>
          <w:noProof/>
          <w:sz w:val="22"/>
          <w:szCs w:val="22"/>
        </w:rPr>
        <w:t>[9]</w:t>
      </w:r>
      <w:r>
        <w:rPr>
          <w:sz w:val="22"/>
          <w:szCs w:val="22"/>
        </w:rPr>
        <w:fldChar w:fldCharType="end"/>
      </w:r>
      <w:r w:rsidRPr="00C2379D">
        <w:rPr>
          <w:sz w:val="22"/>
          <w:szCs w:val="22"/>
        </w:rPr>
        <w:t>.</w:t>
      </w:r>
      <w:r w:rsidR="00683893">
        <w:rPr>
          <w:sz w:val="22"/>
          <w:szCs w:val="22"/>
        </w:rPr>
        <w:t xml:space="preserve"> </w:t>
      </w:r>
    </w:p>
    <w:p w14:paraId="353C5E6B" w14:textId="11CEEF14" w:rsidR="008B3E0E" w:rsidRPr="008B3E0E" w:rsidRDefault="008B3E0E">
      <w:pPr>
        <w:rPr>
          <w:b/>
          <w:bCs/>
        </w:rPr>
      </w:pPr>
      <w:r w:rsidRPr="008B3E0E">
        <w:rPr>
          <w:b/>
          <w:bCs/>
        </w:rPr>
        <w:lastRenderedPageBreak/>
        <w:t>Experimental and Bioinformatic Procedures for Metagenomic Data Generation</w:t>
      </w:r>
    </w:p>
    <w:p w14:paraId="2D63DC7D" w14:textId="509CB71D" w:rsidR="007B1E13" w:rsidRPr="0081314B" w:rsidRDefault="007B1E13" w:rsidP="007B1E13">
      <w:pPr>
        <w:rPr>
          <w:sz w:val="22"/>
          <w:szCs w:val="22"/>
        </w:rPr>
      </w:pPr>
      <w:r w:rsidRPr="0010446B">
        <w:rPr>
          <w:sz w:val="22"/>
          <w:szCs w:val="22"/>
        </w:rPr>
        <w:t>Shotgun metagenomic sequencing was performed on stool samples.</w:t>
      </w:r>
      <w:r w:rsidRPr="0081314B">
        <w:rPr>
          <w:sz w:val="22"/>
          <w:szCs w:val="22"/>
        </w:rPr>
        <w:t xml:space="preserve"> Fecal samples were self-collected using the OMNIgene•GUT (OMR-200) stabilization kit (DNA Genotek, Ottawa, Canada) and immediately stored at −80 °C until DNA extraction. Microbial DNA was isolated using the NucleoSpin Soil kit (MACHEREY-NAGEL) in accordance with the manufacturer’s protocol, following previously published procedures</w:t>
      </w:r>
      <w:r>
        <w:rPr>
          <w:sz w:val="22"/>
          <w:szCs w:val="22"/>
        </w:rPr>
        <w:t xml:space="preserve"> </w:t>
      </w:r>
      <w:r>
        <w:rPr>
          <w:sz w:val="22"/>
          <w:szCs w:val="22"/>
        </w:rPr>
        <w:fldChar w:fldCharType="begin">
          <w:fldData xml:space="preserve">PEVuZE5vdGU+PENpdGU+PEF1dGhvcj5MaW48L0F1dGhvcj48WWVhcj4yMDIzPC9ZZWFyPjxSZWNO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</w:fldData>
        </w:fldChar>
      </w:r>
      <w:r w:rsidR="00B97E89">
        <w:rPr>
          <w:sz w:val="22"/>
          <w:szCs w:val="22"/>
        </w:rPr>
        <w:instrText xml:space="preserve"> ADDIN EN.CITE </w:instrText>
      </w:r>
      <w:r w:rsidR="00B97E89">
        <w:rPr>
          <w:sz w:val="22"/>
          <w:szCs w:val="22"/>
        </w:rPr>
        <w:fldChar w:fldCharType="begin">
          <w:fldData xml:space="preserve">PEVuZE5vdGU+PENpdGU+PEF1dGhvcj5MaW48L0F1dGhvcj48WWVhcj4yMDIzPC9ZZWFyPjxSZWNO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</w:fldData>
        </w:fldChar>
      </w:r>
      <w:r w:rsidR="00B97E89">
        <w:rPr>
          <w:sz w:val="22"/>
          <w:szCs w:val="22"/>
        </w:rPr>
        <w:instrText xml:space="preserve"> ADDIN EN.CITE.DATA </w:instrText>
      </w:r>
      <w:r w:rsidR="00B97E89">
        <w:rPr>
          <w:sz w:val="22"/>
          <w:szCs w:val="22"/>
        </w:rPr>
      </w:r>
      <w:r w:rsidR="00B97E89">
        <w:rPr>
          <w:sz w:val="22"/>
          <w:szCs w:val="22"/>
        </w:rPr>
        <w:fldChar w:fldCharType="end"/>
      </w:r>
      <w:r>
        <w:rPr>
          <w:sz w:val="22"/>
          <w:szCs w:val="22"/>
        </w:rPr>
      </w:r>
      <w:r>
        <w:rPr>
          <w:sz w:val="22"/>
          <w:szCs w:val="22"/>
        </w:rPr>
        <w:fldChar w:fldCharType="separate"/>
      </w:r>
      <w:r w:rsidR="00A136CC">
        <w:rPr>
          <w:noProof/>
          <w:sz w:val="22"/>
          <w:szCs w:val="22"/>
        </w:rPr>
        <w:t>[10-16]</w:t>
      </w:r>
      <w:r>
        <w:rPr>
          <w:sz w:val="22"/>
          <w:szCs w:val="22"/>
        </w:rPr>
        <w:fldChar w:fldCharType="end"/>
      </w:r>
      <w:r w:rsidRPr="0081314B">
        <w:rPr>
          <w:sz w:val="22"/>
          <w:szCs w:val="22"/>
        </w:rPr>
        <w:t>. Purified DNA was eluted in 50 μl elution buffer and stored at −80 °C prior to library preparation.</w:t>
      </w:r>
    </w:p>
    <w:p w14:paraId="6B0E7A0E" w14:textId="3E3624EB" w:rsidR="007B1E13" w:rsidRPr="0081314B" w:rsidRDefault="007B1E13" w:rsidP="007B1E13">
      <w:pPr>
        <w:rPr>
          <w:sz w:val="22"/>
          <w:szCs w:val="22"/>
        </w:rPr>
      </w:pPr>
      <w:r w:rsidRPr="0081314B">
        <w:rPr>
          <w:sz w:val="22"/>
          <w:szCs w:val="22"/>
        </w:rPr>
        <w:t xml:space="preserve">Sequencing was conducted at two facilities: </w:t>
      </w:r>
      <w:r>
        <w:rPr>
          <w:sz w:val="22"/>
          <w:szCs w:val="22"/>
        </w:rPr>
        <w:t>481</w:t>
      </w:r>
      <w:r w:rsidRPr="0081314B">
        <w:rPr>
          <w:sz w:val="22"/>
          <w:szCs w:val="22"/>
        </w:rPr>
        <w:t xml:space="preserve"> samples were processed at LC Sciences (Houston, TX), and 1,990 samples at BGI Americas (Cambridge, MA). For samples sequenced at LC Sciences, DNA libraries were prepared using the TruSeq Nano DNA LT Library Preparation Kit (Illumina) and sequenced in paired-end mode (2 × 150 bp) on an Illumina HiSeq 4000 platform, following standard vendor protocols</w:t>
      </w:r>
      <w:r>
        <w:rPr>
          <w:sz w:val="22"/>
          <w:szCs w:val="22"/>
        </w:rPr>
        <w:t xml:space="preserve"> </w:t>
      </w:r>
      <w:r>
        <w:rPr>
          <w:sz w:val="22"/>
          <w:szCs w:val="22"/>
        </w:rPr>
        <w:fldChar w:fldCharType="begin"/>
      </w:r>
      <w:r w:rsidR="00B97E89">
        <w:rPr>
          <w:sz w:val="22"/>
          <w:szCs w:val="22"/>
        </w:rPr>
        <w:instrText xml:space="preserve"> ADDIN EN.CITE &lt;EndNote&gt;&lt;Cite&gt;&lt;Author&gt;Bentley&lt;/Author&gt;&lt;Year&gt;2008&lt;/Year&gt;&lt;RecNum&gt;27&lt;/RecNum&gt;&lt;DisplayText&gt;[17]&lt;/DisplayText&gt;&lt;record&gt;&lt;rec-number&gt;27&lt;/rec-number&gt;&lt;foreign-keys&gt;&lt;key app="EN" db-id="pxw5p9exs29tsnea0afp092b5s22ez9rxvdw" timestamp="1769016938"&gt;27&lt;/key&gt;&lt;/foreign-keys&gt;&lt;ref-type name="Journal Article"&gt;17&lt;/ref-type&gt;&lt;contributors&gt;&lt;authors&gt;&lt;author&gt;Bentley, David R&lt;/author&gt;&lt;author&gt;Balasubramanian, Shankar&lt;/author&gt;&lt;author&gt;Swerdlow, Harold P&lt;/author&gt;&lt;author&gt;Smith, Geoffrey P&lt;/author&gt;&lt;author&gt;Milton, John&lt;/author&gt;&lt;author&gt;Brown, Clive G&lt;/author&gt;&lt;author&gt;Hall, Kevin P&lt;/author&gt;&lt;author&gt;Evers, Dirk J&lt;/author&gt;&lt;author&gt;Barnes, Colin L&lt;/author&gt;&lt;author&gt;Bignell, Helen R&lt;/author&gt;&lt;/authors&gt;&lt;/contributors&gt;&lt;titles&gt;&lt;title&gt;Accurate whole human genome sequencing using reversible terminator chemistry&lt;/title&gt;&lt;secondary-title&gt;nature&lt;/secondary-title&gt;&lt;/titles&gt;&lt;periodical&gt;&lt;full-title&gt;Nature&lt;/full-title&gt;&lt;/periodical&gt;&lt;pages&gt;53-59&lt;/pages&gt;&lt;volume&gt;456&lt;/volume&gt;&lt;number&gt;7218&lt;/number&gt;&lt;dates&gt;&lt;year&gt;2008&lt;/year&gt;&lt;/dates&gt;&lt;isbn&gt;0028-0836&lt;/isbn&gt;&lt;urls&gt;&lt;/urls&gt;&lt;/record&gt;&lt;/Cite&gt;&lt;/EndNote&gt;</w:instrText>
      </w:r>
      <w:r>
        <w:rPr>
          <w:sz w:val="22"/>
          <w:szCs w:val="22"/>
        </w:rPr>
        <w:fldChar w:fldCharType="separate"/>
      </w:r>
      <w:r w:rsidR="00A136CC">
        <w:rPr>
          <w:noProof/>
          <w:sz w:val="22"/>
          <w:szCs w:val="22"/>
        </w:rPr>
        <w:t>[17]</w:t>
      </w:r>
      <w:r>
        <w:rPr>
          <w:sz w:val="22"/>
          <w:szCs w:val="22"/>
        </w:rPr>
        <w:fldChar w:fldCharType="end"/>
      </w:r>
      <w:r w:rsidRPr="0081314B">
        <w:rPr>
          <w:sz w:val="22"/>
          <w:szCs w:val="22"/>
        </w:rPr>
        <w:t>.</w:t>
      </w:r>
    </w:p>
    <w:p w14:paraId="256D5257" w14:textId="267CA443" w:rsidR="007B1E13" w:rsidRPr="00331A6F" w:rsidRDefault="007B1E13" w:rsidP="007B1E13">
      <w:pPr>
        <w:rPr>
          <w:sz w:val="22"/>
          <w:szCs w:val="22"/>
        </w:rPr>
      </w:pPr>
      <w:r w:rsidRPr="0081314B">
        <w:rPr>
          <w:sz w:val="22"/>
          <w:szCs w:val="22"/>
        </w:rPr>
        <w:t>Raw sequencing data were subjected to a standardized quality control and preprocessing pipeline. Adapter sequences were removed using cutadapt v1.9</w:t>
      </w:r>
      <w:r>
        <w:rPr>
          <w:sz w:val="22"/>
          <w:szCs w:val="22"/>
        </w:rPr>
        <w:t xml:space="preserve"> </w:t>
      </w:r>
      <w:r>
        <w:rPr>
          <w:sz w:val="22"/>
          <w:szCs w:val="22"/>
        </w:rPr>
        <w:fldChar w:fldCharType="begin"/>
      </w:r>
      <w:r w:rsidR="00B97E89">
        <w:rPr>
          <w:sz w:val="22"/>
          <w:szCs w:val="22"/>
        </w:rPr>
        <w:instrText xml:space="preserve"> ADDIN EN.CITE &lt;EndNote&gt;&lt;Cite&gt;&lt;Author&gt;Martin&lt;/Author&gt;&lt;Year&gt;2011&lt;/Year&gt;&lt;RecNum&gt;28&lt;/RecNum&gt;&lt;DisplayText&gt;[18]&lt;/DisplayText&gt;&lt;record&gt;&lt;rec-number&gt;28&lt;/rec-number&gt;&lt;foreign-keys&gt;&lt;key app="EN" db-id="pxw5p9exs29tsnea0afp092b5s22ez9rxvdw" timestamp="1769016938"&gt;28&lt;/key&gt;&lt;/foreign-keys&gt;&lt;ref-type name="Journal Article"&gt;17&lt;/ref-type&gt;&lt;contributors&gt;&lt;authors&gt;&lt;author&gt;Martin, Marcel&lt;/author&gt;&lt;/authors&gt;&lt;/contributors&gt;&lt;titles&gt;&lt;title&gt;Cutadapt removes adapter sequences from high-throughput sequencing reads&lt;/title&gt;&lt;secondary-title&gt;EMBnet. journal&lt;/secondary-title&gt;&lt;/titles&gt;&lt;periodical&gt;&lt;full-title&gt;EMBnet. journal&lt;/full-title&gt;&lt;/periodical&gt;&lt;pages&gt;10-12&lt;/pages&gt;&lt;volume&gt;17&lt;/volume&gt;&lt;number&gt;1&lt;/number&gt;&lt;dates&gt;&lt;year&gt;2011&lt;/year&gt;&lt;/dates&gt;&lt;isbn&gt;2226-6089&lt;/isbn&gt;&lt;urls&gt;&lt;/urls&gt;&lt;/record&gt;&lt;/Cite&gt;&lt;/EndNote&gt;</w:instrText>
      </w:r>
      <w:r>
        <w:rPr>
          <w:sz w:val="22"/>
          <w:szCs w:val="22"/>
        </w:rPr>
        <w:fldChar w:fldCharType="separate"/>
      </w:r>
      <w:r w:rsidR="00A136CC">
        <w:rPr>
          <w:noProof/>
          <w:sz w:val="22"/>
          <w:szCs w:val="22"/>
        </w:rPr>
        <w:t>[18]</w:t>
      </w:r>
      <w:r>
        <w:rPr>
          <w:sz w:val="22"/>
          <w:szCs w:val="22"/>
        </w:rPr>
        <w:fldChar w:fldCharType="end"/>
      </w:r>
      <w:r w:rsidRPr="0081314B">
        <w:rPr>
          <w:sz w:val="22"/>
          <w:szCs w:val="22"/>
        </w:rPr>
        <w:t xml:space="preserve">, and low-quality bases were trimmed with fqtrim v0.94 </w:t>
      </w:r>
      <w:r>
        <w:rPr>
          <w:sz w:val="22"/>
          <w:szCs w:val="22"/>
        </w:rPr>
        <w:fldChar w:fldCharType="begin"/>
      </w:r>
      <w:r w:rsidR="00B97E89">
        <w:rPr>
          <w:sz w:val="22"/>
          <w:szCs w:val="22"/>
        </w:rPr>
        <w:instrText xml:space="preserve"> ADDIN EN.CITE &lt;EndNote&gt;&lt;Cite&gt;&lt;Year&gt;2015&lt;/Year&gt;&lt;RecNum&gt;29&lt;/RecNum&gt;&lt;DisplayText&gt;[19]&lt;/DisplayText&gt;&lt;record&gt;&lt;rec-number&gt;29&lt;/rec-number&gt;&lt;foreign-keys&gt;&lt;key app="EN" db-id="pxw5p9exs29tsnea0afp092b5s22ez9rxvdw" timestamp="1769016938"&gt;29&lt;/key&gt;&lt;/foreign-keys&gt;&lt;ref-type name="Computer Program"&gt;9&lt;/ref-type&gt;&lt;contributors&gt;&lt;/contributors&gt;&lt;titles&gt;&lt;title&gt;fqtrim: a quality trimming tool for FASTQ data&lt;/title&gt;&lt;/titles&gt;&lt;edition&gt;Version 0.9.4&lt;/edition&gt;&lt;dates&gt;&lt;year&gt;2015&lt;/year&gt;&lt;/dates&gt;&lt;publisher&gt;fqtrim software&lt;/publisher&gt;&lt;urls&gt;&lt;related-urls&gt;&lt;url&gt;http://dx.doi.org/10.5281/zenodo.20552&lt;/url&gt;&lt;/related-urls&gt;&lt;/urls&gt;&lt;/record&gt;&lt;/Cite&gt;&lt;/EndNote&gt;</w:instrText>
      </w:r>
      <w:r>
        <w:rPr>
          <w:sz w:val="22"/>
          <w:szCs w:val="22"/>
        </w:rPr>
        <w:fldChar w:fldCharType="separate"/>
      </w:r>
      <w:r w:rsidR="00A136CC">
        <w:rPr>
          <w:noProof/>
          <w:sz w:val="22"/>
          <w:szCs w:val="22"/>
        </w:rPr>
        <w:t>[19]</w:t>
      </w:r>
      <w:r>
        <w:rPr>
          <w:sz w:val="22"/>
          <w:szCs w:val="22"/>
        </w:rPr>
        <w:fldChar w:fldCharType="end"/>
      </w:r>
      <w:r w:rsidRPr="0081314B">
        <w:rPr>
          <w:sz w:val="22"/>
          <w:szCs w:val="22"/>
        </w:rPr>
        <w:t xml:space="preserve"> using a sliding-window approach. Reads mapping to the human reference genome were excluded using bowtie2 v2.2.0 to eliminate host contamination </w:t>
      </w:r>
      <w:r>
        <w:rPr>
          <w:sz w:val="22"/>
          <w:szCs w:val="22"/>
        </w:rPr>
        <w:fldChar w:fldCharType="begin"/>
      </w:r>
      <w:r w:rsidR="00B97E89">
        <w:rPr>
          <w:sz w:val="22"/>
          <w:szCs w:val="22"/>
        </w:rPr>
        <w:instrText xml:space="preserve"> ADDIN EN.CITE &lt;EndNote&gt;&lt;Cite&gt;&lt;Author&gt;Langmead&lt;/Author&gt;&lt;Year&gt;2012&lt;/Year&gt;&lt;RecNum&gt;30&lt;/RecNum&gt;&lt;DisplayText&gt;[20]&lt;/DisplayText&gt;&lt;record&gt;&lt;rec-number&gt;30&lt;/rec-number&gt;&lt;foreign-keys&gt;&lt;key app="EN" db-id="pxw5p9exs29tsnea0afp092b5s22ez9rxvdw" timestamp="1769016938"&gt;30&lt;/key&gt;&lt;/foreign-keys&gt;&lt;ref-type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periodical&gt;&lt;pages&gt;357-359&lt;/pages&gt;&lt;volume&gt;9&lt;/volume&gt;&lt;number&gt;4&lt;/number&gt;&lt;dates&gt;&lt;year&gt;2012&lt;/year&gt;&lt;/dates&gt;&lt;isbn&gt;1548-7105&lt;/isbn&gt;&lt;urls&gt;&lt;/urls&gt;&lt;/record&gt;&lt;/Cite&gt;&lt;/EndNote&gt;</w:instrText>
      </w:r>
      <w:r>
        <w:rPr>
          <w:sz w:val="22"/>
          <w:szCs w:val="22"/>
        </w:rPr>
        <w:fldChar w:fldCharType="separate"/>
      </w:r>
      <w:r w:rsidR="00A136CC">
        <w:rPr>
          <w:noProof/>
          <w:sz w:val="22"/>
          <w:szCs w:val="22"/>
        </w:rPr>
        <w:t>[20]</w:t>
      </w:r>
      <w:r>
        <w:rPr>
          <w:sz w:val="22"/>
          <w:szCs w:val="22"/>
        </w:rPr>
        <w:fldChar w:fldCharType="end"/>
      </w:r>
      <w:r w:rsidRPr="0081314B">
        <w:rPr>
          <w:sz w:val="22"/>
          <w:szCs w:val="22"/>
        </w:rPr>
        <w:t xml:space="preserve">. High-quality reads were assembled de novo on a per-sample basis using IDBA-UD v1.1.1 </w:t>
      </w:r>
      <w:r>
        <w:rPr>
          <w:sz w:val="22"/>
          <w:szCs w:val="22"/>
        </w:rPr>
        <w:fldChar w:fldCharType="begin"/>
      </w:r>
      <w:r w:rsidR="00B97E89">
        <w:rPr>
          <w:sz w:val="22"/>
          <w:szCs w:val="22"/>
        </w:rPr>
        <w:instrText xml:space="preserve"> ADDIN EN.CITE &lt;EndNote&gt;&lt;Cite&gt;&lt;Author&gt;Peng&lt;/Author&gt;&lt;Year&gt;2012&lt;/Year&gt;&lt;RecNum&gt;31&lt;/RecNum&gt;&lt;DisplayText&gt;[21]&lt;/DisplayText&gt;&lt;record&gt;&lt;rec-number&gt;31&lt;/rec-number&gt;&lt;foreign-keys&gt;&lt;key app="EN" db-id="pxw5p9exs29tsnea0afp092b5s22ez9rxvdw" timestamp="1769016938"&gt;31&lt;/key&gt;&lt;/foreign-keys&gt;&lt;ref-type name="Journal Article"&gt;17&lt;/ref-type&gt;&lt;contributors&gt;&lt;authors&gt;&lt;author&gt;Peng, Yu&lt;/author&gt;&lt;author&gt;Leung, Henry CM&lt;/author&gt;&lt;author&gt;Yiu, Siu-Ming&lt;/author&gt;&lt;author&gt;Chin, Francis YL&lt;/author&gt;&lt;/authors&gt;&lt;/contributors&gt;&lt;titles&gt;&lt;title&gt;IDBA-UD: a de novo assembler for single-cell and metagenomic sequencing data with highly uneven depth&lt;/title&gt;&lt;secondary-title&gt;Bioinformatics&lt;/secondary-title&gt;&lt;/titles&gt;&lt;periodical&gt;&lt;full-title&gt;bioinformatics&lt;/full-title&gt;&lt;/periodical&gt;&lt;pages&gt;1420-1428&lt;/pages&gt;&lt;volume&gt;28&lt;/volume&gt;&lt;number&gt;11&lt;/number&gt;&lt;dates&gt;&lt;year&gt;2012&lt;/year&gt;&lt;/dates&gt;&lt;isbn&gt;1367-4811&lt;/isbn&gt;&lt;urls&gt;&lt;/urls&gt;&lt;/record&gt;&lt;/Cite&gt;&lt;/EndNote&gt;</w:instrText>
      </w:r>
      <w:r>
        <w:rPr>
          <w:sz w:val="22"/>
          <w:szCs w:val="22"/>
        </w:rPr>
        <w:fldChar w:fldCharType="separate"/>
      </w:r>
      <w:r w:rsidR="00A136CC">
        <w:rPr>
          <w:noProof/>
          <w:sz w:val="22"/>
          <w:szCs w:val="22"/>
        </w:rPr>
        <w:t>[21]</w:t>
      </w:r>
      <w:r>
        <w:rPr>
          <w:sz w:val="22"/>
          <w:szCs w:val="22"/>
        </w:rPr>
        <w:fldChar w:fldCharType="end"/>
      </w:r>
      <w:r w:rsidRPr="0081314B">
        <w:rPr>
          <w:sz w:val="22"/>
          <w:szCs w:val="22"/>
        </w:rPr>
        <w:t xml:space="preserve">. Protein-coding genes were predicted from assembled contigs with MetaGeneMark v3.26 </w:t>
      </w:r>
      <w:r>
        <w:rPr>
          <w:sz w:val="22"/>
          <w:szCs w:val="22"/>
        </w:rPr>
        <w:fldChar w:fldCharType="begin"/>
      </w:r>
      <w:r w:rsidR="00B97E89">
        <w:rPr>
          <w:sz w:val="22"/>
          <w:szCs w:val="22"/>
        </w:rPr>
        <w:instrText xml:space="preserve"> ADDIN EN.CITE &lt;EndNote&gt;&lt;Cite&gt;&lt;Author&gt;Zhu&lt;/Author&gt;&lt;Year&gt;2010&lt;/Year&gt;&lt;RecNum&gt;32&lt;/RecNum&gt;&lt;DisplayText&gt;[22]&lt;/DisplayText&gt;&lt;record&gt;&lt;rec-number&gt;32&lt;/rec-number&gt;&lt;foreign-keys&gt;&lt;key app="EN" db-id="pxw5p9exs29tsnea0afp092b5s22ez9rxvdw" timestamp="1769016938"&gt;32&lt;/key&gt;&lt;/foreign-keys&gt;&lt;ref-type name="Journal Article"&gt;17&lt;/ref-type&gt;&lt;contributors&gt;&lt;authors&gt;&lt;author&gt;Zhu, Wenhan&lt;/author&gt;&lt;author&gt;Lomsadze, Alexandre&lt;/author&gt;&lt;author&gt;Borodovsky, Mark&lt;/author&gt;&lt;/authors&gt;&lt;/contributors&gt;&lt;titles&gt;&lt;title&gt;Ab initio gene identification in metagenomic sequences&lt;/title&gt;&lt;secondary-title&gt;Nucleic acids research&lt;/secondary-title&gt;&lt;/titles&gt;&lt;periodical&gt;&lt;full-title&gt;Nucleic acids research&lt;/full-title&gt;&lt;/periodical&gt;&lt;pages&gt;e132-e132&lt;/pages&gt;&lt;volume&gt;38&lt;/volume&gt;&lt;number&gt;12&lt;/number&gt;&lt;dates&gt;&lt;year&gt;2010&lt;/year&gt;&lt;/dates&gt;&lt;isbn&gt;1362-4962&lt;/isbn&gt;&lt;urls&gt;&lt;/urls&gt;&lt;/record&gt;&lt;/Cite&gt;&lt;/EndNote&gt;</w:instrText>
      </w:r>
      <w:r>
        <w:rPr>
          <w:sz w:val="22"/>
          <w:szCs w:val="22"/>
        </w:rPr>
        <w:fldChar w:fldCharType="separate"/>
      </w:r>
      <w:r w:rsidR="00A136CC">
        <w:rPr>
          <w:noProof/>
          <w:sz w:val="22"/>
          <w:szCs w:val="22"/>
        </w:rPr>
        <w:t>[22]</w:t>
      </w:r>
      <w:r>
        <w:rPr>
          <w:sz w:val="22"/>
          <w:szCs w:val="22"/>
        </w:rPr>
        <w:fldChar w:fldCharType="end"/>
      </w:r>
      <w:r w:rsidRPr="0081314B">
        <w:rPr>
          <w:sz w:val="22"/>
          <w:szCs w:val="22"/>
        </w:rPr>
        <w:t xml:space="preserve">. Predicted coding sequences from all samples were clustered into a non-redundant unigene set using CD-HIT v4.6.1 </w:t>
      </w:r>
      <w:r>
        <w:rPr>
          <w:sz w:val="22"/>
          <w:szCs w:val="22"/>
        </w:rPr>
        <w:fldChar w:fldCharType="begin"/>
      </w:r>
      <w:r w:rsidR="00B97E89">
        <w:rPr>
          <w:sz w:val="22"/>
          <w:szCs w:val="22"/>
        </w:rPr>
        <w:instrText xml:space="preserve"> ADDIN EN.CITE &lt;EndNote&gt;&lt;Cite&gt;&lt;Author&gt;Li&lt;/Author&gt;&lt;Year&gt;2006&lt;/Year&gt;&lt;RecNum&gt;33&lt;/RecNum&gt;&lt;DisplayText&gt;[23]&lt;/DisplayText&gt;&lt;record&gt;&lt;rec-number&gt;33&lt;/rec-number&gt;&lt;foreign-keys&gt;&lt;key app="EN" db-id="pxw5p9exs29tsnea0afp092b5s22ez9rxvdw" timestamp="1769016938"&gt;33&lt;/key&gt;&lt;/foreign-keys&gt;&lt;ref-type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titles&gt;&lt;periodical&gt;&lt;full-title&gt;bioinformatics&lt;/full-title&gt;&lt;/periodical&gt;&lt;pages&gt;1658-1659&lt;/pages&gt;&lt;volume&gt;22&lt;/volume&gt;&lt;number&gt;13&lt;/number&gt;&lt;dates&gt;&lt;year&gt;2006&lt;/year&gt;&lt;/dates&gt;&lt;isbn&gt;1367-4811&lt;/isbn&gt;&lt;urls&gt;&lt;/urls&gt;&lt;/record&gt;&lt;/Cite&gt;&lt;/EndNote&gt;</w:instrText>
      </w:r>
      <w:r>
        <w:rPr>
          <w:sz w:val="22"/>
          <w:szCs w:val="22"/>
        </w:rPr>
        <w:fldChar w:fldCharType="separate"/>
      </w:r>
      <w:r w:rsidR="00A136CC">
        <w:rPr>
          <w:noProof/>
          <w:sz w:val="22"/>
          <w:szCs w:val="22"/>
        </w:rPr>
        <w:t>[23]</w:t>
      </w:r>
      <w:r>
        <w:rPr>
          <w:sz w:val="22"/>
          <w:szCs w:val="22"/>
        </w:rPr>
        <w:fldChar w:fldCharType="end"/>
      </w:r>
      <w:r w:rsidRPr="0081314B">
        <w:rPr>
          <w:sz w:val="22"/>
          <w:szCs w:val="22"/>
        </w:rPr>
        <w:t xml:space="preserve">. Unigene abundances were quantified as transcripts per million (TPM) based on read alignment counts generated by bowtie2 </w:t>
      </w:r>
      <w:r>
        <w:rPr>
          <w:sz w:val="22"/>
          <w:szCs w:val="22"/>
        </w:rPr>
        <w:fldChar w:fldCharType="begin"/>
      </w:r>
      <w:r w:rsidR="00B97E89">
        <w:rPr>
          <w:sz w:val="22"/>
          <w:szCs w:val="22"/>
        </w:rPr>
        <w:instrText xml:space="preserve"> ADDIN EN.CITE &lt;EndNote&gt;&lt;Cite&gt;&lt;Author&gt;Langmead&lt;/Author&gt;&lt;Year&gt;2012&lt;/Year&gt;&lt;RecNum&gt;30&lt;/RecNum&gt;&lt;DisplayText&gt;[20]&lt;/DisplayText&gt;&lt;record&gt;&lt;rec-number&gt;30&lt;/rec-number&gt;&lt;foreign-keys&gt;&lt;key app="EN" db-id="pxw5p9exs29tsnea0afp092b5s22ez9rxvdw" timestamp="1769016938"&gt;30&lt;/key&gt;&lt;/foreign-keys&gt;&lt;ref-type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periodical&gt;&lt;pages&gt;357-359&lt;/pages&gt;&lt;volume&gt;9&lt;/volume&gt;&lt;number&gt;4&lt;/number&gt;&lt;dates&gt;&lt;year&gt;2012&lt;/year&gt;&lt;/dates&gt;&lt;isbn&gt;1548-7105&lt;/isbn&gt;&lt;urls&gt;&lt;/urls&gt;&lt;/record&gt;&lt;/Cite&gt;&lt;/EndNote&gt;</w:instrText>
      </w:r>
      <w:r>
        <w:rPr>
          <w:sz w:val="22"/>
          <w:szCs w:val="22"/>
        </w:rPr>
        <w:fldChar w:fldCharType="separate"/>
      </w:r>
      <w:r w:rsidR="00A136CC">
        <w:rPr>
          <w:noProof/>
          <w:sz w:val="22"/>
          <w:szCs w:val="22"/>
        </w:rPr>
        <w:t>[20]</w:t>
      </w:r>
      <w:r>
        <w:rPr>
          <w:sz w:val="22"/>
          <w:szCs w:val="22"/>
        </w:rPr>
        <w:fldChar w:fldCharType="end"/>
      </w:r>
      <w:r w:rsidRPr="0081314B">
        <w:rPr>
          <w:sz w:val="22"/>
          <w:szCs w:val="22"/>
        </w:rPr>
        <w:t>. Taxonomic annotation was assigned using a lowest common ancestor strategy based on sequence similarity searches against the NCBI non-redundant (NR) protein database using DIAMOND v0.9</w:t>
      </w:r>
      <w:r>
        <w:rPr>
          <w:sz w:val="22"/>
          <w:szCs w:val="22"/>
        </w:rPr>
        <w:t xml:space="preserve"> </w:t>
      </w:r>
      <w:r>
        <w:rPr>
          <w:sz w:val="22"/>
          <w:szCs w:val="22"/>
        </w:rPr>
        <w:fldChar w:fldCharType="begin">
          <w:fldData xml:space="preserve">PEVuZE5vdGU+PENpdGU+PEF1dGhvcj5CdWNoZmluazwvQXV0aG9yPjxZZWFyPjIwMTU8L1llYXI+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</w:fldData>
        </w:fldChar>
      </w:r>
      <w:r w:rsidR="00B97E89">
        <w:rPr>
          <w:sz w:val="22"/>
          <w:szCs w:val="22"/>
        </w:rPr>
        <w:instrText xml:space="preserve"> ADDIN EN.CITE </w:instrText>
      </w:r>
      <w:r w:rsidR="00B97E89">
        <w:rPr>
          <w:sz w:val="22"/>
          <w:szCs w:val="22"/>
        </w:rPr>
        <w:fldChar w:fldCharType="begin">
          <w:fldData xml:space="preserve">PEVuZE5vdGU+PENpdGU+PEF1dGhvcj5CdWNoZmluazwvQXV0aG9yPjxZZWFyPjIwMTU8L1llYXI+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</w:fldData>
        </w:fldChar>
      </w:r>
      <w:r w:rsidR="00B97E89">
        <w:rPr>
          <w:sz w:val="22"/>
          <w:szCs w:val="22"/>
        </w:rPr>
        <w:instrText xml:space="preserve"> ADDIN EN.CITE.DATA </w:instrText>
      </w:r>
      <w:r w:rsidR="00B97E89">
        <w:rPr>
          <w:sz w:val="22"/>
          <w:szCs w:val="22"/>
        </w:rPr>
      </w:r>
      <w:r w:rsidR="00B97E89">
        <w:rPr>
          <w:sz w:val="22"/>
          <w:szCs w:val="22"/>
        </w:rPr>
        <w:fldChar w:fldCharType="end"/>
      </w:r>
      <w:r>
        <w:rPr>
          <w:sz w:val="22"/>
          <w:szCs w:val="22"/>
        </w:rPr>
      </w:r>
      <w:r>
        <w:rPr>
          <w:sz w:val="22"/>
          <w:szCs w:val="22"/>
        </w:rPr>
        <w:fldChar w:fldCharType="separate"/>
      </w:r>
      <w:r w:rsidR="00A136CC">
        <w:rPr>
          <w:noProof/>
          <w:sz w:val="22"/>
          <w:szCs w:val="22"/>
        </w:rPr>
        <w:t>[24-26]</w:t>
      </w:r>
      <w:r>
        <w:rPr>
          <w:sz w:val="22"/>
          <w:szCs w:val="22"/>
        </w:rPr>
        <w:fldChar w:fldCharType="end"/>
      </w:r>
      <w:r w:rsidRPr="0081314B">
        <w:rPr>
          <w:sz w:val="22"/>
          <w:szCs w:val="22"/>
        </w:rPr>
        <w:t>.</w:t>
      </w:r>
    </w:p>
    <w:p w14:paraId="099D388A" w14:textId="2124322A" w:rsidR="004F6EBD" w:rsidRDefault="007B1E13" w:rsidP="007B1E13">
      <w:r w:rsidRPr="0081314B">
        <w:rPr>
          <w:sz w:val="22"/>
          <w:szCs w:val="22"/>
        </w:rPr>
        <w:t>For samples sequenced at BGI Americas, sequencing libraries were prepared using the MGI Easy Universal DNA Library Prep Set (MGI Inc.) and sequenced in paired-end mode (2 × 100 bp) on the BGI DNBSEQ platform according to standard protocols. Raw sequencing reads underwent quality filtering using Fastp</w:t>
      </w:r>
      <w:r>
        <w:rPr>
          <w:sz w:val="22"/>
          <w:szCs w:val="22"/>
        </w:rPr>
        <w:t xml:space="preserve"> </w:t>
      </w:r>
      <w:r>
        <w:rPr>
          <w:sz w:val="22"/>
          <w:szCs w:val="22"/>
        </w:rPr>
        <w:fldChar w:fldCharType="begin"/>
      </w:r>
      <w:r w:rsidR="00B97E89">
        <w:rPr>
          <w:sz w:val="22"/>
          <w:szCs w:val="22"/>
        </w:rPr>
        <w:instrText xml:space="preserve"> ADDIN EN.CITE &lt;EndNote&gt;&lt;Cite&gt;&lt;Author&gt;Chen&lt;/Author&gt;&lt;Year&gt;2018&lt;/Year&gt;&lt;RecNum&gt;37&lt;/RecNum&gt;&lt;DisplayText&gt;[27]&lt;/DisplayText&gt;&lt;record&gt;&lt;rec-number&gt;37&lt;/rec-number&gt;&lt;foreign-keys&gt;&lt;key app="EN" db-id="pxw5p9exs29tsnea0afp092b5s22ez9rxvdw" timestamp="1769016938"&gt;37&lt;/key&gt;&lt;/foreign-keys&gt;&lt;ref-type name="Journal Article"&gt;17&lt;/ref-type&gt;&lt;contributors&gt;&lt;authors&gt;&lt;author&gt;Chen, Shifu&lt;/author&gt;&lt;author&gt;Zhou, Yanqing&lt;/author&gt;&lt;author&gt;Chen, Yaru&lt;/author&gt;&lt;author&gt;Gu, Jia&lt;/author&gt;&lt;/authors&gt;&lt;/contributors&gt;&lt;titles&gt;&lt;title&gt;fastp: an ultra-fast all-in-one FASTQ preprocessor&lt;/title&gt;&lt;secondary-title&gt;Bioinformatics&lt;/secondary-title&gt;&lt;/titles&gt;&lt;periodical&gt;&lt;full-title&gt;bioinformatics&lt;/full-title&gt;&lt;/periodical&gt;&lt;pages&gt;i884-i890&lt;/pages&gt;&lt;volume&gt;34&lt;/volume&gt;&lt;number&gt;17&lt;/number&gt;&lt;dates&gt;&lt;year&gt;2018&lt;/year&gt;&lt;/dates&gt;&lt;isbn&gt;1367-4803&lt;/isbn&gt;&lt;urls&gt;&lt;/urls&gt;&lt;/record&gt;&lt;/Cite&gt;&lt;/EndNote&gt;</w:instrText>
      </w:r>
      <w:r>
        <w:rPr>
          <w:sz w:val="22"/>
          <w:szCs w:val="22"/>
        </w:rPr>
        <w:fldChar w:fldCharType="separate"/>
      </w:r>
      <w:r w:rsidR="00A136CC">
        <w:rPr>
          <w:noProof/>
          <w:sz w:val="22"/>
          <w:szCs w:val="22"/>
        </w:rPr>
        <w:t>[27]</w:t>
      </w:r>
      <w:r>
        <w:rPr>
          <w:sz w:val="22"/>
          <w:szCs w:val="22"/>
        </w:rPr>
        <w:fldChar w:fldCharType="end"/>
      </w:r>
      <w:r w:rsidRPr="0081314B">
        <w:rPr>
          <w:sz w:val="22"/>
          <w:szCs w:val="22"/>
        </w:rPr>
        <w:t xml:space="preserve"> to remove low-quality reads and adapter contamination. Filtered reads were then aligned to the human reference genome using bowtie2 to exclude host-derived sequences </w:t>
      </w:r>
      <w:r>
        <w:rPr>
          <w:sz w:val="22"/>
          <w:szCs w:val="22"/>
        </w:rPr>
        <w:fldChar w:fldCharType="begin"/>
      </w:r>
      <w:r w:rsidR="00B97E89">
        <w:rPr>
          <w:sz w:val="22"/>
          <w:szCs w:val="22"/>
        </w:rPr>
        <w:instrText xml:space="preserve"> ADDIN EN.CITE &lt;EndNote&gt;&lt;Cite&gt;&lt;Author&gt;Langmead&lt;/Author&gt;&lt;Year&gt;2012&lt;/Year&gt;&lt;RecNum&gt;30&lt;/RecNum&gt;&lt;DisplayText&gt;[20]&lt;/DisplayText&gt;&lt;record&gt;&lt;rec-number&gt;30&lt;/rec-number&gt;&lt;foreign-keys&gt;&lt;key app="EN" db-id="pxw5p9exs29tsnea0afp092b5s22ez9rxvdw" timestamp="1769016938"&gt;30&lt;/key&gt;&lt;/foreign-keys&gt;&lt;ref-type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periodical&gt;&lt;pages&gt;357-359&lt;/pages&gt;&lt;volume&gt;9&lt;/volume&gt;&lt;number&gt;4&lt;/number&gt;&lt;dates&gt;&lt;year&gt;2012&lt;/year&gt;&lt;/dates&gt;&lt;isbn&gt;1548-7105&lt;/isbn&gt;&lt;urls&gt;&lt;/urls&gt;&lt;/record&gt;&lt;/Cite&gt;&lt;/EndNote&gt;</w:instrText>
      </w:r>
      <w:r>
        <w:rPr>
          <w:sz w:val="22"/>
          <w:szCs w:val="22"/>
        </w:rPr>
        <w:fldChar w:fldCharType="separate"/>
      </w:r>
      <w:r w:rsidR="00A136CC">
        <w:rPr>
          <w:noProof/>
          <w:sz w:val="22"/>
          <w:szCs w:val="22"/>
        </w:rPr>
        <w:t>[20]</w:t>
      </w:r>
      <w:r>
        <w:rPr>
          <w:sz w:val="22"/>
          <w:szCs w:val="22"/>
        </w:rPr>
        <w:fldChar w:fldCharType="end"/>
      </w:r>
      <w:r w:rsidRPr="0081314B">
        <w:rPr>
          <w:sz w:val="22"/>
          <w:szCs w:val="22"/>
        </w:rPr>
        <w:t>. The resulting high-quality, non-host reads were retained for downstream shotgun metagenomic analyses.</w:t>
      </w:r>
      <w:r w:rsidRPr="009C1E2D">
        <w:rPr>
          <w:sz w:val="22"/>
          <w:szCs w:val="22"/>
        </w:rPr>
        <w:t xml:space="preserve"> Taxonomic profiling of the microbial community was performed using MetaPhlAn2, which estimates the relative abundance of microbial taxa based on clade-specific marker genes</w:t>
      </w:r>
      <w:r>
        <w:rPr>
          <w:sz w:val="22"/>
          <w:szCs w:val="22"/>
        </w:rPr>
        <w:t xml:space="preserve"> </w:t>
      </w:r>
      <w:r>
        <w:rPr>
          <w:sz w:val="22"/>
          <w:szCs w:val="22"/>
        </w:rPr>
        <w:fldChar w:fldCharType="begin"/>
      </w:r>
      <w:r w:rsidR="00B97E89">
        <w:rPr>
          <w:sz w:val="22"/>
          <w:szCs w:val="22"/>
        </w:rPr>
        <w:instrText xml:space="preserve"> ADDIN EN.CITE &lt;EndNote&gt;&lt;Cite&gt;&lt;Author&gt;Truong&lt;/Author&gt;&lt;Year&gt;2015&lt;/Year&gt;&lt;RecNum&gt;38&lt;/RecNum&gt;&lt;DisplayText&gt;[28]&lt;/DisplayText&gt;&lt;record&gt;&lt;rec-number&gt;38&lt;/rec-number&gt;&lt;foreign-keys&gt;&lt;key app="EN" db-id="pxw5p9exs29tsnea0afp092b5s22ez9rxvdw" timestamp="1769016938"&gt;38&lt;/key&gt;&lt;/foreign-keys&gt;&lt;ref-type name="Journal Article"&gt;17&lt;/ref-type&gt;&lt;contributors&gt;&lt;authors&gt;&lt;author&gt;Truong, Duy Tin&lt;/author&gt;&lt;author&gt;Franzosa, Eric A&lt;/author&gt;&lt;author&gt;Tickle, Timothy L&lt;/author&gt;&lt;author&gt;Scholz, Matthias&lt;/author&gt;&lt;author&gt;Weingart, George&lt;/author&gt;&lt;author&gt;Pasolli, Edoardo&lt;/author&gt;&lt;author&gt;Tett, Adrian&lt;/author&gt;&lt;author&gt;Huttenhower, Curtis&lt;/author&gt;&lt;author&gt;Segata, Nicola&lt;/author&gt;&lt;/authors&gt;&lt;/contributors&gt;&lt;titles&gt;&lt;title&gt;MetaPhlAn2 for enhanced metagenomic taxonomic profiling&lt;/title&gt;&lt;secondary-title&gt;Nature methods&lt;/secondary-title&gt;&lt;/titles&gt;&lt;periodical&gt;&lt;full-title&gt;Nature methods&lt;/full-title&gt;&lt;/periodical&gt;&lt;pages&gt;902-903&lt;/pages&gt;&lt;volume&gt;12&lt;/volume&gt;&lt;number&gt;10&lt;/number&gt;&lt;dates&gt;&lt;year&gt;2015&lt;/year&gt;&lt;/dates&gt;&lt;isbn&gt;1548-7091&lt;/isbn&gt;&lt;urls&gt;&lt;/urls&gt;&lt;/record&gt;&lt;/Cite&gt;&lt;/EndNote&gt;</w:instrText>
      </w:r>
      <w:r>
        <w:rPr>
          <w:sz w:val="22"/>
          <w:szCs w:val="22"/>
        </w:rPr>
        <w:fldChar w:fldCharType="separate"/>
      </w:r>
      <w:r w:rsidR="00A136CC">
        <w:rPr>
          <w:noProof/>
          <w:sz w:val="22"/>
          <w:szCs w:val="22"/>
        </w:rPr>
        <w:t>[28]</w:t>
      </w:r>
      <w:r>
        <w:rPr>
          <w:sz w:val="22"/>
          <w:szCs w:val="22"/>
        </w:rPr>
        <w:fldChar w:fldCharType="end"/>
      </w:r>
      <w:r w:rsidRPr="009C1E2D">
        <w:rPr>
          <w:sz w:val="22"/>
          <w:szCs w:val="22"/>
        </w:rPr>
        <w:t>. Functional profiling was conducted using HUMAnN2, which integrates taxonomic information to reconstruct species-resolved metabolic pathways and quantify stratified pathway abundance and pathway coverage</w:t>
      </w:r>
      <w:r>
        <w:rPr>
          <w:sz w:val="22"/>
          <w:szCs w:val="22"/>
        </w:rPr>
        <w:t xml:space="preserve"> </w:t>
      </w:r>
      <w:r>
        <w:rPr>
          <w:sz w:val="22"/>
          <w:szCs w:val="22"/>
        </w:rPr>
        <w:fldChar w:fldCharType="begin"/>
      </w:r>
      <w:r w:rsidR="00B97E89">
        <w:rPr>
          <w:sz w:val="22"/>
          <w:szCs w:val="22"/>
        </w:rPr>
        <w:instrText xml:space="preserve"> ADDIN EN.CITE &lt;EndNote&gt;&lt;Cite&gt;&lt;Author&gt;Franzosa&lt;/Author&gt;&lt;Year&gt;2018&lt;/Year&gt;&lt;RecNum&gt;39&lt;/RecNum&gt;&lt;DisplayText&gt;[29]&lt;/DisplayText&gt;&lt;record&gt;&lt;rec-number&gt;39&lt;/rec-number&gt;&lt;foreign-keys&gt;&lt;key app="EN" db-id="pxw5p9exs29tsnea0afp092b5s22ez9rxvdw" timestamp="1769016938"&gt;39&lt;/key&gt;&lt;/foreign-keys&gt;&lt;ref-type name="Journal Article"&gt;17&lt;/ref-type&gt;&lt;contributors&gt;&lt;authors&gt;&lt;author&gt;Franzosa, Eric A&lt;/author&gt;&lt;author&gt;McIver, Lauren J&lt;/author&gt;&lt;author&gt;Rahnavard, Gholamali&lt;/author&gt;&lt;author&gt;Thompson, Luke R&lt;/author&gt;&lt;author&gt;Schirmer, Melanie&lt;/author&gt;&lt;author&gt;Weingart, George&lt;/author&gt;&lt;author&gt;Lipson, Karen Schwarzberg&lt;/author&gt;&lt;author&gt;Knight, Rob&lt;/author&gt;&lt;author&gt;Caporaso, J Gregory&lt;/author&gt;&lt;author&gt;Segata, Nicola&lt;/author&gt;&lt;/authors&gt;&lt;/contributors&gt;&lt;titles&gt;&lt;title&gt;Species-level functional profiling of metagenomes and metatranscriptomes&lt;/title&gt;&lt;secondary-title&gt;Nature methods&lt;/secondary-title&gt;&lt;/titles&gt;&lt;periodical&gt;&lt;full-title&gt;Nature methods&lt;/full-title&gt;&lt;/periodical&gt;&lt;pages&gt;962-968&lt;/pages&gt;&lt;volume&gt;15&lt;/volume&gt;&lt;number&gt;11&lt;/number&gt;&lt;dates&gt;&lt;year&gt;2018&lt;/year&gt;&lt;/dates&gt;&lt;isbn&gt;1548-7091&lt;/isbn&gt;&lt;urls&gt;&lt;/urls&gt;&lt;/record&gt;&lt;/Cite&gt;&lt;/EndNote&gt;</w:instrText>
      </w:r>
      <w:r>
        <w:rPr>
          <w:sz w:val="22"/>
          <w:szCs w:val="22"/>
        </w:rPr>
        <w:fldChar w:fldCharType="separate"/>
      </w:r>
      <w:r w:rsidR="00A136CC">
        <w:rPr>
          <w:noProof/>
          <w:sz w:val="22"/>
          <w:szCs w:val="22"/>
        </w:rPr>
        <w:t>[29]</w:t>
      </w:r>
      <w:r>
        <w:rPr>
          <w:sz w:val="22"/>
          <w:szCs w:val="22"/>
        </w:rPr>
        <w:fldChar w:fldCharType="end"/>
      </w:r>
      <w:r w:rsidRPr="009C1E2D">
        <w:rPr>
          <w:sz w:val="22"/>
          <w:szCs w:val="22"/>
        </w:rPr>
        <w:t>. Pathway abundance represents the reconstructed abundance of each metabolic pathway, estimated from the abundances of contributing gene families and resolved by microbial taxa, while pathway coverage reflects the fraction of pathway reactions detected in the metagenome</w:t>
      </w:r>
      <w:r>
        <w:rPr>
          <w:sz w:val="22"/>
          <w:szCs w:val="22"/>
        </w:rPr>
        <w:t xml:space="preserve"> </w:t>
      </w:r>
      <w:r>
        <w:rPr>
          <w:sz w:val="22"/>
          <w:szCs w:val="22"/>
        </w:rPr>
        <w:fldChar w:fldCharType="begin"/>
      </w:r>
      <w:r w:rsidR="00B97E89">
        <w:rPr>
          <w:sz w:val="22"/>
          <w:szCs w:val="22"/>
        </w:rPr>
        <w:instrText xml:space="preserve"> ADDIN EN.CITE &lt;EndNote&gt;&lt;Cite&gt;&lt;Author&gt;Franzosa&lt;/Author&gt;&lt;Year&gt;2018&lt;/Year&gt;&lt;RecNum&gt;39&lt;/RecNum&gt;&lt;DisplayText&gt;[29]&lt;/DisplayText&gt;&lt;record&gt;&lt;rec-number&gt;39&lt;/rec-number&gt;&lt;foreign-keys&gt;&lt;key app="EN" db-id="pxw5p9exs29tsnea0afp092b5s22ez9rxvdw" timestamp="1769016938"&gt;39&lt;/key&gt;&lt;/foreign-keys&gt;&lt;ref-type name="Journal Article"&gt;17&lt;/ref-type&gt;&lt;contributors&gt;&lt;authors&gt;&lt;author&gt;Franzosa, Eric A&lt;/author&gt;&lt;author&gt;McIver, Lauren J&lt;/author&gt;&lt;author&gt;Rahnavard, Gholamali&lt;/author&gt;&lt;author&gt;Thompson, Luke R&lt;/author&gt;&lt;author&gt;Schirmer, Melanie&lt;/author&gt;&lt;author&gt;Weingart, George&lt;/author&gt;&lt;author&gt;Lipson, Karen Schwarzberg&lt;/author&gt;&lt;author&gt;Knight, Rob&lt;/author&gt;&lt;author&gt;Caporaso, J Gregory&lt;/author&gt;&lt;author&gt;Segata, Nicola&lt;/author&gt;&lt;/authors&gt;&lt;/contributors&gt;&lt;titles&gt;&lt;title&gt;Species-level functional profiling of metagenomes and metatranscriptomes&lt;/title&gt;&lt;secondary-title&gt;Nature methods&lt;/secondary-title&gt;&lt;/titles&gt;&lt;periodical&gt;&lt;full-title&gt;Nature methods&lt;/full-title&gt;&lt;/periodical&gt;&lt;pages&gt;962-968&lt;/pages&gt;&lt;volume&gt;15&lt;/volume&gt;&lt;number&gt;11&lt;/number&gt;&lt;dates&gt;&lt;year&gt;2018&lt;/year&gt;&lt;/dates&gt;&lt;isbn&gt;1548-7091&lt;/isbn&gt;&lt;urls&gt;&lt;/urls&gt;&lt;/record&gt;&lt;/Cite&gt;&lt;/EndNote&gt;</w:instrText>
      </w:r>
      <w:r>
        <w:rPr>
          <w:sz w:val="22"/>
          <w:szCs w:val="22"/>
        </w:rPr>
        <w:fldChar w:fldCharType="separate"/>
      </w:r>
      <w:r w:rsidR="00A136CC">
        <w:rPr>
          <w:noProof/>
          <w:sz w:val="22"/>
          <w:szCs w:val="22"/>
        </w:rPr>
        <w:t>[29]</w:t>
      </w:r>
      <w:r>
        <w:rPr>
          <w:sz w:val="22"/>
          <w:szCs w:val="22"/>
        </w:rPr>
        <w:fldChar w:fldCharType="end"/>
      </w:r>
      <w:r w:rsidRPr="009C1E2D">
        <w:rPr>
          <w:sz w:val="22"/>
          <w:szCs w:val="22"/>
        </w:rPr>
        <w:t>.</w:t>
      </w:r>
    </w:p>
    <w:p w14:paraId="4523495B" w14:textId="77777777" w:rsidR="00A61F2E" w:rsidRDefault="00A61F2E"/>
    <w:p w14:paraId="3D1E8C95" w14:textId="77777777" w:rsidR="00E07B87" w:rsidRDefault="00E07B87" w:rsidP="00E07B87">
      <w:pPr>
        <w:rPr>
          <w:b/>
          <w:bCs/>
        </w:rPr>
      </w:pPr>
      <w:r>
        <w:rPr>
          <w:b/>
          <w:bCs/>
        </w:rPr>
        <w:lastRenderedPageBreak/>
        <w:t>Alternative deep neural network modeling baselines</w:t>
      </w:r>
    </w:p>
    <w:p w14:paraId="5803F5E3" w14:textId="77777777" w:rsidR="00E07B87" w:rsidRDefault="00E07B87" w:rsidP="00E07B87">
      <w:pPr>
        <w:rPr>
          <w:b/>
          <w:bCs/>
        </w:rPr>
      </w:pPr>
      <w:r>
        <w:rPr>
          <w:b/>
          <w:bCs/>
        </w:rPr>
        <w:t xml:space="preserve">1. </w:t>
      </w:r>
      <w:r w:rsidRPr="005C6F50">
        <w:rPr>
          <w:b/>
          <w:bCs/>
        </w:rPr>
        <w:t>Manifold-alignment baseline</w:t>
      </w:r>
      <w:r>
        <w:rPr>
          <w:b/>
          <w:bCs/>
        </w:rPr>
        <w:t xml:space="preserve"> (i.e., TaxoMA)</w:t>
      </w:r>
    </w:p>
    <w:p w14:paraId="2AFCE36D" w14:textId="2ABD77E6" w:rsidR="00E07B87" w:rsidRPr="008E68E1" w:rsidRDefault="00E07B87" w:rsidP="00E07B87">
      <w:pPr>
        <w:rPr>
          <w:sz w:val="22"/>
          <w:szCs w:val="22"/>
        </w:rPr>
      </w:pPr>
      <w:r w:rsidRPr="008E68E1">
        <w:rPr>
          <w:sz w:val="22"/>
          <w:szCs w:val="22"/>
        </w:rPr>
        <w:t xml:space="preserve">We implemented a geodesic-distance–based manifold alignment procedure to construct a subject–subject correspondence matrix between clinical covariates and microbiome features. For the clinical </w:t>
      </w:r>
      <w:r w:rsidR="00624A0D">
        <w:rPr>
          <w:sz w:val="22"/>
          <w:szCs w:val="22"/>
        </w:rPr>
        <w:t>view</w:t>
      </w:r>
      <w:r w:rsidRPr="008E68E1">
        <w:rPr>
          <w:sz w:val="22"/>
          <w:szCs w:val="22"/>
        </w:rPr>
        <w:t xml:space="preserve">, a mixed-type distance metric accounting for continuous and categorical variables was computed </w:t>
      </w:r>
      <w:r w:rsidRPr="008E68E1">
        <w:rPr>
          <w:sz w:val="22"/>
          <w:szCs w:val="22"/>
        </w:rPr>
        <w:fldChar w:fldCharType="begin"/>
      </w:r>
      <w:r w:rsidR="00A136CC" w:rsidRPr="008E68E1">
        <w:rPr>
          <w:sz w:val="22"/>
          <w:szCs w:val="22"/>
        </w:rPr>
        <w:instrText xml:space="preserve"> ADDIN EN.CITE &lt;EndNote&gt;&lt;Cite&gt;&lt;Author&gt;Van De Velden&lt;/Author&gt;&lt;Year&gt;2024&lt;/Year&gt;&lt;RecNum&gt;55&lt;/RecNum&gt;&lt;DisplayText&gt;[30]&lt;/DisplayText&gt;&lt;record&gt;&lt;rec-number&gt;55&lt;/rec-number&gt;&lt;foreign-keys&gt;&lt;key app="EN" db-id="9ffsxvtpjpf5tue5daz5tz2osr9sr5dexera" timestamp="1770863947"&gt;55&lt;/key&gt;&lt;/foreign-keys&gt;&lt;ref-type name="Journal Article"&gt;17&lt;/ref-type&gt;&lt;contributors&gt;&lt;authors&gt;&lt;author&gt;Van De Velden, Michel&lt;/author&gt;&lt;author&gt;D&amp;apos;Enza, Alfonso Iodice&lt;/author&gt;&lt;author&gt;Markos, Angelos&lt;/author&gt;&lt;author&gt;Cavicchia, Carlo&lt;/author&gt;&lt;/authors&gt;&lt;/contributors&gt;&lt;titles&gt;&lt;title&gt;Unbiased mixed variables distance&lt;/title&gt;&lt;secondary-title&gt;arXiv preprint arXiv:2411.00429&lt;/secondary-title&gt;&lt;/titles&gt;&lt;periodical&gt;&lt;full-title&gt;arXiv preprint arXiv:2411.00429&lt;/full-title&gt;&lt;/periodical&gt;&lt;dates&gt;&lt;year&gt;2024&lt;/year&gt;&lt;/dates&gt;&lt;urls&gt;&lt;/urls&gt;&lt;/record&gt;&lt;/Cite&gt;&lt;/EndNote&gt;</w:instrText>
      </w:r>
      <w:r w:rsidRPr="008E68E1">
        <w:rPr>
          <w:sz w:val="22"/>
          <w:szCs w:val="22"/>
        </w:rPr>
        <w:fldChar w:fldCharType="separate"/>
      </w:r>
      <w:r w:rsidR="00A136CC" w:rsidRPr="008E68E1">
        <w:rPr>
          <w:noProof/>
          <w:sz w:val="22"/>
          <w:szCs w:val="22"/>
        </w:rPr>
        <w:t>[30]</w:t>
      </w:r>
      <w:r w:rsidRPr="008E68E1">
        <w:rPr>
          <w:sz w:val="22"/>
          <w:szCs w:val="22"/>
        </w:rPr>
        <w:fldChar w:fldCharType="end"/>
      </w:r>
      <w:r w:rsidRPr="008E68E1">
        <w:rPr>
          <w:sz w:val="22"/>
          <w:szCs w:val="22"/>
        </w:rPr>
        <w:t xml:space="preserve">. For the microbiome </w:t>
      </w:r>
      <w:r w:rsidR="004C3647">
        <w:rPr>
          <w:sz w:val="22"/>
          <w:szCs w:val="22"/>
        </w:rPr>
        <w:t>view</w:t>
      </w:r>
      <w:r w:rsidRPr="008E68E1">
        <w:rPr>
          <w:sz w:val="22"/>
          <w:szCs w:val="22"/>
        </w:rPr>
        <w:t>, species</w:t>
      </w:r>
      <w:r w:rsidR="00BE69BB">
        <w:rPr>
          <w:sz w:val="22"/>
          <w:szCs w:val="22"/>
        </w:rPr>
        <w:t>-level</w:t>
      </w:r>
      <w:r w:rsidRPr="008E68E1">
        <w:rPr>
          <w:sz w:val="22"/>
          <w:szCs w:val="22"/>
        </w:rPr>
        <w:t xml:space="preserve"> relative abundance profiles were C</w:t>
      </w:r>
      <w:r w:rsidR="00806228">
        <w:rPr>
          <w:sz w:val="22"/>
          <w:szCs w:val="22"/>
        </w:rPr>
        <w:t>enter</w:t>
      </w:r>
      <w:r w:rsidR="00614D29">
        <w:rPr>
          <w:sz w:val="22"/>
          <w:szCs w:val="22"/>
        </w:rPr>
        <w:t>ed</w:t>
      </w:r>
      <w:r w:rsidR="00806228">
        <w:rPr>
          <w:sz w:val="22"/>
          <w:szCs w:val="22"/>
        </w:rPr>
        <w:t xml:space="preserve"> </w:t>
      </w:r>
      <w:r w:rsidRPr="008E68E1">
        <w:rPr>
          <w:sz w:val="22"/>
          <w:szCs w:val="22"/>
        </w:rPr>
        <w:t>L</w:t>
      </w:r>
      <w:r w:rsidR="00806228">
        <w:rPr>
          <w:sz w:val="22"/>
          <w:szCs w:val="22"/>
        </w:rPr>
        <w:t>og-</w:t>
      </w:r>
      <w:r w:rsidRPr="008E68E1">
        <w:rPr>
          <w:sz w:val="22"/>
          <w:szCs w:val="22"/>
        </w:rPr>
        <w:t>R</w:t>
      </w:r>
      <w:r w:rsidR="00806228">
        <w:rPr>
          <w:sz w:val="22"/>
          <w:szCs w:val="22"/>
        </w:rPr>
        <w:t>atio (CLR)</w:t>
      </w:r>
      <w:r w:rsidRPr="008E68E1">
        <w:rPr>
          <w:sz w:val="22"/>
          <w:szCs w:val="22"/>
        </w:rPr>
        <w:t xml:space="preserve">-transformed and represented in a balance space prior to computing inter-subject distances </w:t>
      </w:r>
      <w:r w:rsidRPr="008E68E1">
        <w:rPr>
          <w:sz w:val="22"/>
          <w:szCs w:val="22"/>
        </w:rPr>
        <w:fldChar w:fldCharType="begin"/>
      </w:r>
      <w:r w:rsidR="00A136CC" w:rsidRPr="008E68E1">
        <w:rPr>
          <w:sz w:val="22"/>
          <w:szCs w:val="22"/>
        </w:rPr>
        <w:instrText xml:space="preserve"> ADDIN EN.CITE &lt;EndNote&gt;&lt;Cite&gt;&lt;Author&gt;Martín-Fernández&lt;/Author&gt;&lt;Year&gt;2018&lt;/Year&gt;&lt;RecNum&gt;56&lt;/RecNum&gt;&lt;DisplayText&gt;[31]&lt;/DisplayText&gt;&lt;record&gt;&lt;rec-number&gt;56&lt;/rec-number&gt;&lt;foreign-keys&gt;&lt;key app="EN" db-id="9ffsxvtpjpf5tue5daz5tz2osr9sr5dexera" timestamp="1770864084"&gt;56&lt;/key&gt;&lt;/foreign-keys&gt;&lt;ref-type name="Journal Article"&gt;17&lt;/ref-type&gt;&lt;contributors&gt;&lt;authors&gt;&lt;author&gt;Martín-Fernández, Josep Antoni&lt;/author&gt;&lt;author&gt;Pawlowsky-Glahn, Vera&lt;/author&gt;&lt;author&gt;Egozcue, Juan José&lt;/author&gt;&lt;author&gt;Tolosona-Delgado, R&lt;/author&gt;&lt;/authors&gt;&lt;/contributors&gt;&lt;titles&gt;&lt;title&gt;Advances in principal balances for compositional data&lt;/title&gt;&lt;secondary-title&gt;Mathematical Geosciences&lt;/secondary-title&gt;&lt;/titles&gt;&lt;periodical&gt;&lt;full-title&gt;Mathematical Geosciences&lt;/full-title&gt;&lt;/periodical&gt;&lt;pages&gt;273-298&lt;/pages&gt;&lt;volume&gt;50&lt;/volume&gt;&lt;number&gt;3&lt;/number&gt;&lt;dates&gt;&lt;year&gt;2018&lt;/year&gt;&lt;/dates&gt;&lt;isbn&gt;1874-8961&lt;/isbn&gt;&lt;urls&gt;&lt;/urls&gt;&lt;/record&gt;&lt;/Cite&gt;&lt;/EndNote&gt;</w:instrText>
      </w:r>
      <w:r w:rsidRPr="008E68E1">
        <w:rPr>
          <w:sz w:val="22"/>
          <w:szCs w:val="22"/>
        </w:rPr>
        <w:fldChar w:fldCharType="separate"/>
      </w:r>
      <w:r w:rsidR="00A136CC" w:rsidRPr="008E68E1">
        <w:rPr>
          <w:noProof/>
          <w:sz w:val="22"/>
          <w:szCs w:val="22"/>
        </w:rPr>
        <w:t>[31]</w:t>
      </w:r>
      <w:r w:rsidRPr="008E68E1">
        <w:rPr>
          <w:sz w:val="22"/>
          <w:szCs w:val="22"/>
        </w:rPr>
        <w:fldChar w:fldCharType="end"/>
      </w:r>
      <w:r w:rsidRPr="008E68E1">
        <w:rPr>
          <w:sz w:val="22"/>
          <w:szCs w:val="22"/>
        </w:rPr>
        <w:t xml:space="preserve">. For each modality, k-nearest-neighbor graphs (k = 15) were constructed and geodesic distance matrices were obtained via shortest-path computation </w:t>
      </w:r>
      <w:r w:rsidRPr="008E68E1">
        <w:rPr>
          <w:sz w:val="22"/>
          <w:szCs w:val="22"/>
        </w:rPr>
        <w:fldChar w:fldCharType="begin"/>
      </w:r>
      <w:r w:rsidR="00B97E89">
        <w:rPr>
          <w:sz w:val="22"/>
          <w:szCs w:val="22"/>
        </w:rPr>
        <w:instrText xml:space="preserve"> ADDIN EN.CITE &lt;EndNote&gt;&lt;Cite&gt;&lt;Author&gt;Tenenbaum&lt;/Author&gt;&lt;Year&gt;2000&lt;/Year&gt;&lt;RecNum&gt;61&lt;/RecNum&gt;&lt;DisplayText&gt;[32]&lt;/DisplayText&gt;&lt;record&gt;&lt;rec-number&gt;61&lt;/rec-number&gt;&lt;foreign-keys&gt;&lt;key app="EN" db-id="pxw5p9exs29tsnea0afp092b5s22ez9rxvdw" timestamp="1771030325"&gt;61&lt;/key&gt;&lt;/foreign-keys&gt;&lt;ref-type name="Journal Article"&gt;17&lt;/ref-type&gt;&lt;contributors&gt;&lt;authors&gt;&lt;author&gt;Tenenbaum, Joshua B&lt;/author&gt;&lt;author&gt;Silva, Vin de&lt;/author&gt;&lt;author&gt;Langford, John C&lt;/author&gt;&lt;/authors&gt;&lt;/contributors&gt;&lt;titles&gt;&lt;title&gt;A global geometric framework for nonlinear dimensionality reduction&lt;/title&gt;&lt;secondary-title&gt;science&lt;/secondary-title&gt;&lt;/titles&gt;&lt;periodical&gt;&lt;full-title&gt;Science&lt;/full-title&gt;&lt;/periodical&gt;&lt;pages&gt;2319-2323&lt;/pages&gt;&lt;volume&gt;290&lt;/volume&gt;&lt;number&gt;5500&lt;/number&gt;&lt;dates&gt;&lt;year&gt;2000&lt;/year&gt;&lt;/dates&gt;&lt;isbn&gt;1095-9203&lt;/isbn&gt;&lt;urls&gt;&lt;/urls&gt;&lt;/record&gt;&lt;/Cite&gt;&lt;/EndNote&gt;</w:instrText>
      </w:r>
      <w:r w:rsidRPr="008E68E1">
        <w:rPr>
          <w:sz w:val="22"/>
          <w:szCs w:val="22"/>
        </w:rPr>
        <w:fldChar w:fldCharType="separate"/>
      </w:r>
      <w:r w:rsidR="00A136CC" w:rsidRPr="008E68E1">
        <w:rPr>
          <w:noProof/>
          <w:sz w:val="22"/>
          <w:szCs w:val="22"/>
        </w:rPr>
        <w:t>[32]</w:t>
      </w:r>
      <w:r w:rsidRPr="008E68E1">
        <w:rPr>
          <w:sz w:val="22"/>
          <w:szCs w:val="22"/>
        </w:rPr>
        <w:fldChar w:fldCharType="end"/>
      </w:r>
      <w:r w:rsidRPr="008E68E1">
        <w:rPr>
          <w:sz w:val="22"/>
          <w:szCs w:val="22"/>
        </w:rPr>
        <w:t xml:space="preserve">. An alignment matrix </w:t>
      </w:r>
      <m:oMath>
        <m:r>
          <w:rPr>
            <w:rFonts w:ascii="Cambria Math" w:hAnsi="Cambria Math"/>
            <w:sz w:val="22"/>
            <w:szCs w:val="22"/>
          </w:rPr>
          <m:t>F</m:t>
        </m:r>
      </m:oMath>
      <w:r w:rsidR="00E33FC6">
        <w:rPr>
          <w:sz w:val="22"/>
          <w:szCs w:val="22"/>
        </w:rPr>
        <w:t xml:space="preserve"> </w:t>
      </w:r>
      <w:r w:rsidRPr="008E68E1">
        <w:rPr>
          <w:sz w:val="22"/>
          <w:szCs w:val="22"/>
        </w:rPr>
        <w:t xml:space="preserve">was then estimated to align the geodesic structures of the two </w:t>
      </w:r>
      <w:r w:rsidR="00FF3AE9">
        <w:rPr>
          <w:sz w:val="22"/>
          <w:szCs w:val="22"/>
        </w:rPr>
        <w:t>views</w:t>
      </w:r>
      <w:r w:rsidRPr="008E68E1">
        <w:rPr>
          <w:sz w:val="22"/>
          <w:szCs w:val="22"/>
        </w:rPr>
        <w:t xml:space="preserve">, and used to aggregate </w:t>
      </w:r>
      <w:r w:rsidR="00FF3AE9">
        <w:rPr>
          <w:sz w:val="22"/>
          <w:szCs w:val="22"/>
        </w:rPr>
        <w:t>view</w:t>
      </w:r>
      <w:r w:rsidRPr="008E68E1">
        <w:rPr>
          <w:sz w:val="22"/>
          <w:szCs w:val="22"/>
        </w:rPr>
        <w:t xml:space="preserve">-specific representations through cross-view message passing </w:t>
      </w:r>
      <w:r w:rsidRPr="008E68E1">
        <w:rPr>
          <w:sz w:val="22"/>
          <w:szCs w:val="22"/>
        </w:rPr>
        <w:fldChar w:fldCharType="begin"/>
      </w:r>
      <w:r w:rsidR="00A136CC" w:rsidRPr="008E68E1">
        <w:rPr>
          <w:sz w:val="22"/>
          <w:szCs w:val="22"/>
        </w:rPr>
        <w:instrText xml:space="preserve"> ADDIN EN.CITE &lt;EndNote&gt;&lt;Cite&gt;&lt;Author&gt;Cao&lt;/Author&gt;&lt;Year&gt;2020&lt;/Year&gt;&lt;RecNum&gt;60&lt;/RecNum&gt;&lt;DisplayText&gt;[33, 34]&lt;/DisplayText&gt;&lt;record&gt;&lt;rec-number&gt;60&lt;/rec-number&gt;&lt;foreign-keys&gt;&lt;key app="EN" db-id="pxw5p9exs29tsnea0afp092b5s22ez9rxvdw" timestamp="1771029830"&gt;60&lt;/key&gt;&lt;/foreign-keys&gt;&lt;ref-type name="Journal Article"&gt;17&lt;/ref-type&gt;&lt;contributors&gt;&lt;authors&gt;&lt;author&gt;Cao, Kai&lt;/author&gt;&lt;author&gt;Bai, Xiangqi&lt;/author&gt;&lt;author&gt;Hong, Yiguang&lt;/author&gt;&lt;author&gt;Wan, Lin&lt;/author&gt;&lt;/authors&gt;&lt;/contributors&gt;&lt;titles&gt;&lt;title&gt;Unsupervised topological alignment for single-cell multi-omics integration&lt;/title&gt;&lt;secondary-title&gt;Bioinformatics&lt;/secondary-title&gt;&lt;/titles&gt;&lt;periodical&gt;&lt;full-title&gt;bioinformatics&lt;/full-title&gt;&lt;/periodical&gt;&lt;pages&gt;i48-i56&lt;/pages&gt;&lt;volume&gt;36&lt;/volume&gt;&lt;number&gt;Supplement_1&lt;/number&gt;&lt;dates&gt;&lt;year&gt;2020&lt;/year&gt;&lt;/dates&gt;&lt;isbn&gt;1367-4803&lt;/isbn&gt;&lt;urls&gt;&lt;/urls&gt;&lt;/record&gt;&lt;/Cite&gt;&lt;Cite&gt;&lt;Author&gt;Kalafut&lt;/Author&gt;&lt;RecNum&gt;62&lt;/RecNum&gt;&lt;record&gt;&lt;rec-number&gt;62&lt;/rec-number&gt;&lt;foreign-keys&gt;&lt;key app="EN" db-id="pxw5p9exs29tsnea0afp092b5s22ez9rxvdw" timestamp="1771030403"&gt;62&lt;/key&gt;&lt;/foreign-keys&gt;&lt;ref-type name="Journal Article"&gt;17&lt;/ref-type&gt;&lt;contributors&gt;&lt;authors&gt;&lt;author&gt;Kalafut, Noah Cohen&lt;/author&gt;&lt;author&gt;Huang, Xiang&lt;/author&gt;&lt;author&gt;Wang, Daifeng&lt;/author&gt;&lt;/authors&gt;&lt;/contributors&gt;&lt;titles&gt;&lt;title&gt;JAMIE: Joint Variational Autoencoders for Multi-Modal Imputation and Embedding&lt;/title&gt;&lt;/titles&gt;&lt;dates&gt;&lt;/dates&gt;&lt;urls&gt;&lt;/urls&gt;&lt;/record&gt;&lt;/Cite&gt;&lt;/EndNote&gt;</w:instrText>
      </w:r>
      <w:r w:rsidRPr="008E68E1">
        <w:rPr>
          <w:sz w:val="22"/>
          <w:szCs w:val="22"/>
        </w:rPr>
        <w:fldChar w:fldCharType="separate"/>
      </w:r>
      <w:r w:rsidR="00A136CC" w:rsidRPr="008E68E1">
        <w:rPr>
          <w:noProof/>
          <w:sz w:val="22"/>
          <w:szCs w:val="22"/>
        </w:rPr>
        <w:t>[33, 34]</w:t>
      </w:r>
      <w:r w:rsidRPr="008E68E1">
        <w:rPr>
          <w:sz w:val="22"/>
          <w:szCs w:val="22"/>
        </w:rPr>
        <w:fldChar w:fldCharType="end"/>
      </w:r>
      <w:r w:rsidRPr="008E68E1">
        <w:rPr>
          <w:sz w:val="22"/>
          <w:szCs w:val="22"/>
        </w:rPr>
        <w:t xml:space="preserve">. The resulting fused representations were used for supervised BMD prediction under the same internal </w:t>
      </w:r>
      <w:r w:rsidR="00E676A7">
        <w:rPr>
          <w:sz w:val="22"/>
          <w:szCs w:val="22"/>
        </w:rPr>
        <w:t>evaluation</w:t>
      </w:r>
      <w:r w:rsidRPr="008E68E1">
        <w:rPr>
          <w:sz w:val="22"/>
          <w:szCs w:val="22"/>
        </w:rPr>
        <w:t xml:space="preserve"> protocol as </w:t>
      </w:r>
      <w:r w:rsidR="001F25F3">
        <w:rPr>
          <w:sz w:val="22"/>
          <w:szCs w:val="22"/>
        </w:rPr>
        <w:t>SAMECAT</w:t>
      </w:r>
      <w:r w:rsidRPr="008E68E1">
        <w:rPr>
          <w:sz w:val="22"/>
          <w:szCs w:val="22"/>
        </w:rPr>
        <w:t>.</w:t>
      </w:r>
    </w:p>
    <w:p w14:paraId="42AD9DE5" w14:textId="77777777" w:rsidR="00E07B87" w:rsidRPr="00255F3E" w:rsidRDefault="00E07B87" w:rsidP="00E07B87">
      <w:pPr>
        <w:rPr>
          <w:b/>
          <w:bCs/>
        </w:rPr>
      </w:pPr>
      <w:r w:rsidRPr="00255F3E">
        <w:rPr>
          <w:b/>
          <w:bCs/>
        </w:rPr>
        <w:t>2. Principal Balance–Based Baseline</w:t>
      </w:r>
      <w:r>
        <w:rPr>
          <w:b/>
          <w:bCs/>
        </w:rPr>
        <w:t xml:space="preserve"> (i.e., PBContrast)</w:t>
      </w:r>
    </w:p>
    <w:p w14:paraId="198F371B" w14:textId="0EF5794E" w:rsidR="00E07B87" w:rsidRPr="008E68E1" w:rsidRDefault="00E07B87" w:rsidP="00E07B87">
      <w:pPr>
        <w:rPr>
          <w:sz w:val="22"/>
          <w:szCs w:val="22"/>
        </w:rPr>
      </w:pPr>
      <w:r w:rsidRPr="008E68E1">
        <w:rPr>
          <w:sz w:val="22"/>
          <w:szCs w:val="22"/>
        </w:rPr>
        <w:t>In the main-text comparison, PBContrast constructed on the filtered feature space (≥5% prevalence in the</w:t>
      </w:r>
      <w:r w:rsidR="00B707F1">
        <w:rPr>
          <w:sz w:val="22"/>
          <w:szCs w:val="22"/>
        </w:rPr>
        <w:t xml:space="preserve"> BGI</w:t>
      </w:r>
      <w:r w:rsidRPr="008E68E1">
        <w:rPr>
          <w:sz w:val="22"/>
          <w:szCs w:val="22"/>
        </w:rPr>
        <w:t xml:space="preserve"> tuning data) was evaluated against </w:t>
      </w:r>
      <w:r w:rsidR="003F2C8E">
        <w:rPr>
          <w:sz w:val="22"/>
          <w:szCs w:val="22"/>
        </w:rPr>
        <w:t>SAMECAT</w:t>
      </w:r>
      <w:r w:rsidR="003F2C8E" w:rsidRPr="008E68E1">
        <w:rPr>
          <w:sz w:val="22"/>
          <w:szCs w:val="22"/>
        </w:rPr>
        <w:t xml:space="preserve"> </w:t>
      </w:r>
      <w:r w:rsidRPr="008E68E1">
        <w:rPr>
          <w:sz w:val="22"/>
          <w:szCs w:val="22"/>
        </w:rPr>
        <w:t xml:space="preserve">trained on the full species set to determine whether balance-based compositional transformation can intensify predictive signals and mitigate information loss under reduced feature availability. For completeness, a controlled comparison in which both PBContrast and </w:t>
      </w:r>
      <w:r w:rsidR="00761C4E">
        <w:rPr>
          <w:sz w:val="22"/>
          <w:szCs w:val="22"/>
        </w:rPr>
        <w:t>SAMECAT</w:t>
      </w:r>
      <w:r w:rsidR="00761C4E" w:rsidRPr="008E68E1">
        <w:rPr>
          <w:sz w:val="22"/>
          <w:szCs w:val="22"/>
        </w:rPr>
        <w:t xml:space="preserve"> </w:t>
      </w:r>
      <w:r w:rsidRPr="008E68E1">
        <w:rPr>
          <w:sz w:val="22"/>
          <w:szCs w:val="22"/>
        </w:rPr>
        <w:t xml:space="preserve">were trained on the same prevalence-filtered species set is provided in Supplementary </w:t>
      </w:r>
      <w:r w:rsidR="00430279">
        <w:rPr>
          <w:sz w:val="22"/>
          <w:szCs w:val="22"/>
        </w:rPr>
        <w:t>Fig. S2</w:t>
      </w:r>
      <w:r w:rsidRPr="008E68E1">
        <w:rPr>
          <w:sz w:val="22"/>
          <w:szCs w:val="22"/>
        </w:rPr>
        <w:t>.</w:t>
      </w:r>
    </w:p>
    <w:p w14:paraId="2641C347" w14:textId="0ADBE926" w:rsidR="00E07B87" w:rsidRPr="008E68E1" w:rsidRDefault="00E07B87" w:rsidP="00E07B87">
      <w:pPr>
        <w:rPr>
          <w:sz w:val="22"/>
          <w:szCs w:val="22"/>
        </w:rPr>
      </w:pPr>
      <w:r w:rsidRPr="008E68E1">
        <w:rPr>
          <w:sz w:val="22"/>
          <w:szCs w:val="22"/>
        </w:rPr>
        <w:t xml:space="preserve">Compositional data were transformed into isometric log-ratio (ILR) principal balances using a PCA-guided constrained principal component approach </w:t>
      </w:r>
      <w:r w:rsidR="00D2003D">
        <w:rPr>
          <w:sz w:val="22"/>
          <w:szCs w:val="22"/>
        </w:rPr>
        <w:fldChar w:fldCharType="begin"/>
      </w:r>
      <w:r w:rsidR="00B97E89">
        <w:rPr>
          <w:sz w:val="22"/>
          <w:szCs w:val="22"/>
        </w:rPr>
        <w:instrText xml:space="preserve"> ADDIN EN.CITE &lt;EndNote&gt;&lt;Cite&gt;&lt;Author&gt;Chipman&lt;/Author&gt;&lt;Year&gt;2005&lt;/Year&gt;&lt;RecNum&gt;57&lt;/RecNum&gt;&lt;DisplayText&gt;[35]&lt;/DisplayText&gt;&lt;record&gt;&lt;rec-number&gt;57&lt;/rec-number&gt;&lt;foreign-keys&gt;&lt;key app="EN" db-id="pxw5p9exs29tsnea0afp092b5s22ez9rxvdw" timestamp="1770933947"&gt;57&lt;/key&gt;&lt;/foreign-keys&gt;&lt;ref-type name="Journal Article"&gt;17&lt;/ref-type&gt;&lt;contributors&gt;&lt;authors&gt;&lt;author&gt;Chipman, Hugh A&lt;/author&gt;&lt;author&gt;Gu, Hong&lt;/author&gt;&lt;/authors&gt;&lt;/contributors&gt;&lt;titles&gt;&lt;title&gt;Interpretable dimension reduction&lt;/title&gt;&lt;secondary-title&gt;Journal of applied statistics&lt;/secondary-title&gt;&lt;/titles&gt;&lt;periodical&gt;&lt;full-title&gt;Journal of applied statistics&lt;/full-title&gt;&lt;/periodical&gt;&lt;pages&gt;969-987&lt;/pages&gt;&lt;volume&gt;32&lt;/volume&gt;&lt;number&gt;9&lt;/number&gt;&lt;dates&gt;&lt;year&gt;2005&lt;/year&gt;&lt;/dates&gt;&lt;isbn&gt;0266-4763&lt;/isbn&gt;&lt;urls&gt;&lt;/urls&gt;&lt;/record&gt;&lt;/Cite&gt;&lt;/EndNote&gt;</w:instrText>
      </w:r>
      <w:r w:rsidR="00D2003D">
        <w:rPr>
          <w:sz w:val="22"/>
          <w:szCs w:val="22"/>
        </w:rPr>
        <w:fldChar w:fldCharType="separate"/>
      </w:r>
      <w:r w:rsidR="00D2003D">
        <w:rPr>
          <w:noProof/>
          <w:sz w:val="22"/>
          <w:szCs w:val="22"/>
        </w:rPr>
        <w:t>[35]</w:t>
      </w:r>
      <w:r w:rsidR="00D2003D">
        <w:rPr>
          <w:sz w:val="22"/>
          <w:szCs w:val="22"/>
        </w:rPr>
        <w:fldChar w:fldCharType="end"/>
      </w:r>
      <w:r w:rsidRPr="008E68E1">
        <w:rPr>
          <w:sz w:val="22"/>
          <w:szCs w:val="22"/>
        </w:rPr>
        <w:t xml:space="preserve"> within the compositional data framework</w:t>
      </w:r>
      <w:r w:rsidR="009E44BA">
        <w:rPr>
          <w:sz w:val="22"/>
          <w:szCs w:val="22"/>
        </w:rPr>
        <w:t xml:space="preserve"> </w:t>
      </w:r>
      <w:r w:rsidR="00350F04">
        <w:rPr>
          <w:sz w:val="22"/>
          <w:szCs w:val="22"/>
        </w:rPr>
        <w:fldChar w:fldCharType="begin"/>
      </w:r>
      <w:r w:rsidR="00350F04">
        <w:rPr>
          <w:sz w:val="22"/>
          <w:szCs w:val="22"/>
        </w:rPr>
        <w:instrText xml:space="preserve"> ADDIN EN.CITE &lt;EndNote&gt;&lt;Cite&gt;&lt;Author&gt;Martín-Fernández&lt;/Author&gt;&lt;Year&gt;2018&lt;/Year&gt;&lt;RecNum&gt;71&lt;/RecNum&gt;&lt;DisplayText&gt;[31]&lt;/DisplayText&gt;&lt;record&gt;&lt;rec-number&gt;71&lt;/rec-number&gt;&lt;foreign-keys&gt;&lt;key app="EN" db-id="9ffsxvtpjpf5tue5daz5tz2osr9sr5dexera" timestamp="1777024585"&gt;71&lt;/key&gt;&lt;/foreign-keys&gt;&lt;ref-type name="Journal Article"&gt;17&lt;/ref-type&gt;&lt;contributors&gt;&lt;authors&gt;&lt;author&gt;Martín-Fernández, Josep Antoni&lt;/author&gt;&lt;author&gt;Pawlowsky-Glahn, Vera&lt;/author&gt;&lt;author&gt;Egozcue, Juan José&lt;/author&gt;&lt;author&gt;Tolosona-Delgado, R&lt;/author&gt;&lt;/authors&gt;&lt;/contributors&gt;&lt;titles&gt;&lt;title&gt;Advances in principal balances for compositional data&lt;/title&gt;&lt;secondary-title&gt;Mathematical Geosciences&lt;/secondary-title&gt;&lt;/titles&gt;&lt;periodical&gt;&lt;full-title&gt;Mathematical Geosciences&lt;/full-title&gt;&lt;/periodical&gt;&lt;pages&gt;273-298&lt;/pages&gt;&lt;volume&gt;50&lt;/volume&gt;&lt;number&gt;3&lt;/number&gt;&lt;dates&gt;&lt;year&gt;2018&lt;/year&gt;&lt;/dates&gt;&lt;isbn&gt;1874-8961&lt;/isbn&gt;&lt;urls&gt;&lt;/urls&gt;&lt;/record&gt;&lt;/Cite&gt;&lt;/EndNote&gt;</w:instrText>
      </w:r>
      <w:r w:rsidR="00350F04">
        <w:rPr>
          <w:sz w:val="22"/>
          <w:szCs w:val="22"/>
        </w:rPr>
        <w:fldChar w:fldCharType="separate"/>
      </w:r>
      <w:r w:rsidR="00350F04">
        <w:rPr>
          <w:noProof/>
          <w:sz w:val="22"/>
          <w:szCs w:val="22"/>
        </w:rPr>
        <w:t>[31]</w:t>
      </w:r>
      <w:r w:rsidR="00350F04">
        <w:rPr>
          <w:sz w:val="22"/>
          <w:szCs w:val="22"/>
        </w:rPr>
        <w:fldChar w:fldCharType="end"/>
      </w:r>
      <w:r w:rsidRPr="008E68E1">
        <w:rPr>
          <w:sz w:val="22"/>
          <w:szCs w:val="22"/>
        </w:rPr>
        <w:t xml:space="preserve">. Species abundances were first </w:t>
      </w:r>
      <w:r w:rsidR="00BF2408">
        <w:rPr>
          <w:sz w:val="22"/>
          <w:szCs w:val="22"/>
        </w:rPr>
        <w:t>CLR</w:t>
      </w:r>
      <w:r w:rsidRPr="008E68E1">
        <w:rPr>
          <w:sz w:val="22"/>
          <w:szCs w:val="22"/>
        </w:rPr>
        <w:t xml:space="preserve"> transformed, principal component analysis was performed in CLR space, and principal balances were constructed by approximating principal component loading vectors with log-contrast representations that partition taxa into two groups. </w:t>
      </w:r>
    </w:p>
    <w:p w14:paraId="43ED44AC" w14:textId="76F888C3" w:rsidR="00E07B87" w:rsidRDefault="00E07B87" w:rsidP="00E07B87">
      <w:r w:rsidRPr="008E68E1">
        <w:rPr>
          <w:sz w:val="22"/>
          <w:szCs w:val="22"/>
        </w:rPr>
        <w:t>Within the</w:t>
      </w:r>
      <w:r w:rsidR="0015697C">
        <w:rPr>
          <w:sz w:val="22"/>
          <w:szCs w:val="22"/>
        </w:rPr>
        <w:t xml:space="preserve"> BGI</w:t>
      </w:r>
      <w:r w:rsidRPr="008E68E1">
        <w:rPr>
          <w:sz w:val="22"/>
          <w:szCs w:val="22"/>
        </w:rPr>
        <w:t xml:space="preserve"> tuning set, balance scores were evaluated for association with the corresponding BMD outcome using multivariable linear regression adjusted for clinical covariates. Balances with nominal significance (</w:t>
      </w:r>
      <m:oMath>
        <m:r>
          <w:rPr>
            <w:rFonts w:ascii="Cambria Math" w:hAnsi="Cambria Math"/>
            <w:sz w:val="22"/>
            <w:szCs w:val="22"/>
          </w:rPr>
          <m:t>p&lt;0.05</m:t>
        </m:r>
      </m:oMath>
      <w:r w:rsidRPr="008E68E1">
        <w:rPr>
          <w:sz w:val="22"/>
          <w:szCs w:val="22"/>
        </w:rPr>
        <w:t>) were retained as microbiome-derived predictors. Balance construction and selection were performed using</w:t>
      </w:r>
      <w:r w:rsidR="00A239E0">
        <w:rPr>
          <w:sz w:val="22"/>
          <w:szCs w:val="22"/>
        </w:rPr>
        <w:t xml:space="preserve"> BGI</w:t>
      </w:r>
      <w:r w:rsidRPr="008E68E1">
        <w:rPr>
          <w:sz w:val="22"/>
          <w:szCs w:val="22"/>
        </w:rPr>
        <w:t xml:space="preserve"> tuning data only, and the selected balance bas</w:t>
      </w:r>
      <w:r w:rsidR="00730630">
        <w:rPr>
          <w:sz w:val="22"/>
          <w:szCs w:val="22"/>
        </w:rPr>
        <w:t>e</w:t>
      </w:r>
      <w:r w:rsidRPr="008E68E1">
        <w:rPr>
          <w:sz w:val="22"/>
          <w:szCs w:val="22"/>
        </w:rPr>
        <w:t xml:space="preserve">s </w:t>
      </w:r>
      <w:r w:rsidR="00730630">
        <w:rPr>
          <w:sz w:val="22"/>
          <w:szCs w:val="22"/>
        </w:rPr>
        <w:t>were</w:t>
      </w:r>
      <w:r w:rsidRPr="008E68E1">
        <w:rPr>
          <w:sz w:val="22"/>
          <w:szCs w:val="22"/>
        </w:rPr>
        <w:t xml:space="preserve"> applied unchanged to the testing set to prevent information leakage.</w:t>
      </w:r>
    </w:p>
    <w:p w14:paraId="00705813" w14:textId="21F727E0" w:rsidR="00E07B87" w:rsidRDefault="00E07B87" w:rsidP="00E07B87">
      <w:pPr>
        <w:rPr>
          <w:sz w:val="22"/>
          <w:szCs w:val="22"/>
        </w:rPr>
      </w:pPr>
      <w:r w:rsidRPr="008E68E1">
        <w:rPr>
          <w:sz w:val="22"/>
          <w:szCs w:val="22"/>
        </w:rPr>
        <w:t xml:space="preserve">For predictive modeling, the selected principal balances replaced the taxonomy-aware MIOSTONE encoder in the </w:t>
      </w:r>
      <w:r w:rsidR="00FA41B7">
        <w:rPr>
          <w:sz w:val="22"/>
          <w:szCs w:val="22"/>
        </w:rPr>
        <w:t>SAMECAT</w:t>
      </w:r>
      <w:r w:rsidR="00FA41B7" w:rsidRPr="008E68E1">
        <w:rPr>
          <w:sz w:val="22"/>
          <w:szCs w:val="22"/>
        </w:rPr>
        <w:t xml:space="preserve"> </w:t>
      </w:r>
      <w:r w:rsidRPr="008E68E1">
        <w:rPr>
          <w:sz w:val="22"/>
          <w:szCs w:val="22"/>
        </w:rPr>
        <w:t xml:space="preserve">framework and were provided as inputs to </w:t>
      </w:r>
      <w:r w:rsidR="00FC5026">
        <w:rPr>
          <w:sz w:val="22"/>
          <w:szCs w:val="22"/>
        </w:rPr>
        <w:t xml:space="preserve">a </w:t>
      </w:r>
      <w:r w:rsidR="002F38F6">
        <w:rPr>
          <w:sz w:val="22"/>
          <w:szCs w:val="22"/>
        </w:rPr>
        <w:t>Multi-Layer Perceptron (</w:t>
      </w:r>
      <w:r w:rsidR="00FC5026">
        <w:rPr>
          <w:sz w:val="22"/>
          <w:szCs w:val="22"/>
        </w:rPr>
        <w:t>MLP</w:t>
      </w:r>
      <w:r w:rsidR="002F38F6">
        <w:rPr>
          <w:sz w:val="22"/>
          <w:szCs w:val="22"/>
        </w:rPr>
        <w:t>)</w:t>
      </w:r>
      <w:r w:rsidRPr="008E68E1">
        <w:rPr>
          <w:sz w:val="22"/>
          <w:szCs w:val="22"/>
        </w:rPr>
        <w:t xml:space="preserve">. The remaining architecture and training protocol were kept identical to </w:t>
      </w:r>
      <w:r w:rsidR="00BC2097">
        <w:rPr>
          <w:sz w:val="22"/>
          <w:szCs w:val="22"/>
        </w:rPr>
        <w:t>SAMECAT</w:t>
      </w:r>
      <w:r w:rsidRPr="008E68E1">
        <w:rPr>
          <w:sz w:val="22"/>
          <w:szCs w:val="22"/>
        </w:rPr>
        <w:t>, including the two-phase training scheme consisting of (i) an unsupervised representation learning phase guided by deep divergence</w:t>
      </w:r>
      <w:r w:rsidR="0053640D">
        <w:rPr>
          <w:sz w:val="22"/>
          <w:szCs w:val="22"/>
        </w:rPr>
        <w:t>-based</w:t>
      </w:r>
      <w:r w:rsidRPr="008E68E1">
        <w:rPr>
          <w:sz w:val="22"/>
          <w:szCs w:val="22"/>
        </w:rPr>
        <w:t xml:space="preserve"> clustering and (ii) a supervised prediction phase optimized for BMD prediction with contrastive learning regularization. Performance was evaluated under the same internal </w:t>
      </w:r>
      <w:r w:rsidR="00685B46">
        <w:rPr>
          <w:sz w:val="22"/>
          <w:szCs w:val="22"/>
        </w:rPr>
        <w:t>evaluation</w:t>
      </w:r>
      <w:r w:rsidRPr="008E68E1">
        <w:rPr>
          <w:sz w:val="22"/>
          <w:szCs w:val="22"/>
        </w:rPr>
        <w:t xml:space="preserve"> protocol to ensure direct comparability across methods.</w:t>
      </w:r>
    </w:p>
    <w:p w14:paraId="1118AFF7" w14:textId="77777777" w:rsidR="00B97E89" w:rsidRPr="00C74841" w:rsidRDefault="00B97E89" w:rsidP="00B97E89">
      <w:pPr>
        <w:rPr>
          <w:b/>
          <w:bCs/>
        </w:rPr>
      </w:pPr>
      <w:r w:rsidRPr="00C74841">
        <w:rPr>
          <w:b/>
          <w:bCs/>
        </w:rPr>
        <w:lastRenderedPageBreak/>
        <w:t>Hyperparameter Tuning and Stability Assessment for Spectral Clustering</w:t>
      </w:r>
    </w:p>
    <w:p w14:paraId="7B2343C2" w14:textId="0017C86D" w:rsidR="00B97E89" w:rsidRPr="000F5AFF" w:rsidRDefault="00B97E89" w:rsidP="00B97E89">
      <w:pPr>
        <w:rPr>
          <w:sz w:val="22"/>
          <w:szCs w:val="22"/>
        </w:rPr>
      </w:pPr>
      <w:r w:rsidRPr="000F5AFF">
        <w:rPr>
          <w:sz w:val="22"/>
          <w:szCs w:val="22"/>
        </w:rPr>
        <w:t>Spectral clustering outcomes depend on several hyperparameters, including the number of nearest neighbors (</w:t>
      </w:r>
      <m:oMath>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nn</m:t>
            </m:r>
          </m:sub>
        </m:sSub>
      </m:oMath>
      <w:r w:rsidRPr="000F5AFF">
        <w:rPr>
          <w:sz w:val="22"/>
          <w:szCs w:val="22"/>
        </w:rPr>
        <w:t>), the similarity edge threshold (</w:t>
      </w:r>
      <m:oMath>
        <m:sSub>
          <m:sSubPr>
            <m:ctrlPr>
              <w:rPr>
                <w:rFonts w:ascii="Cambria Math" w:hAnsi="Cambria Math"/>
                <w:sz w:val="22"/>
                <w:szCs w:val="22"/>
              </w:rPr>
            </m:ctrlPr>
          </m:sSubPr>
          <m:e>
            <m:r>
              <m:rPr>
                <m:sty m:val="p"/>
              </m:rPr>
              <w:rPr>
                <w:rFonts w:ascii="Cambria Math" w:hAnsi="Cambria Math"/>
                <w:sz w:val="22"/>
                <w:szCs w:val="22"/>
              </w:rPr>
              <m:t>edge</m:t>
            </m:r>
          </m:e>
          <m:sub>
            <m:r>
              <m:rPr>
                <m:sty m:val="p"/>
              </m:rPr>
              <w:rPr>
                <w:rFonts w:ascii="Cambria Math" w:hAnsi="Cambria Math"/>
                <w:sz w:val="22"/>
                <w:szCs w:val="22"/>
              </w:rPr>
              <m:t>thr</m:t>
            </m:r>
          </m:sub>
        </m:sSub>
      </m:oMath>
      <w:r w:rsidRPr="000F5AFF">
        <w:rPr>
          <w:sz w:val="22"/>
          <w:szCs w:val="22"/>
        </w:rPr>
        <w:t>), and the target number of modules (</w:t>
      </w:r>
      <m:oMath>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modules</m:t>
            </m:r>
          </m:sub>
        </m:sSub>
      </m:oMath>
      <w:r w:rsidRPr="000F5AFF">
        <w:rPr>
          <w:sz w:val="22"/>
          <w:szCs w:val="22"/>
        </w:rPr>
        <w:t>)</w:t>
      </w:r>
      <w:r>
        <w:rPr>
          <w:sz w:val="22"/>
          <w:szCs w:val="22"/>
        </w:rPr>
        <w:t xml:space="preserve"> </w:t>
      </w:r>
      <w:r>
        <w:rPr>
          <w:sz w:val="22"/>
          <w:szCs w:val="22"/>
        </w:rPr>
        <w:fldChar w:fldCharType="begin"/>
      </w:r>
      <w:r>
        <w:rPr>
          <w:sz w:val="22"/>
          <w:szCs w:val="22"/>
        </w:rPr>
        <w:instrText xml:space="preserve"> ADDIN EN.CITE &lt;EndNote&gt;&lt;Cite&gt;&lt;Author&gt;Ng&lt;/Author&gt;&lt;Year&gt;2001&lt;/Year&gt;&lt;RecNum&gt;45&lt;/RecNum&gt;&lt;DisplayText&gt;[36]&lt;/DisplayText&gt;&lt;record&gt;&lt;rec-number&gt;45&lt;/rec-number&gt;&lt;foreign-keys&gt;&lt;key app="EN" db-id="pxw5p9exs29tsnea0afp092b5s22ez9rxvdw" timestamp="1769016938"&gt;45&lt;/key&gt;&lt;/foreign-keys&gt;&lt;ref-type name="Journal Article"&gt;17&lt;/ref-type&gt;&lt;contributors&gt;&lt;authors&gt;&lt;author&gt;Ng, Andrew&lt;/author&gt;&lt;author&gt;Jordan, Michael&lt;/author&gt;&lt;author&gt;Weiss, Yair&lt;/author&gt;&lt;/authors&gt;&lt;/contributors&gt;&lt;titles&gt;&lt;title&gt;On spectral clustering: Analysis and an algorithm&lt;/title&gt;&lt;secondary-title&gt;Advances in neural information processing systems&lt;/secondary-title&gt;&lt;/titles&gt;&lt;periodical&gt;&lt;full-title&gt;Advances in neural information processing systems&lt;/full-title&gt;&lt;/periodical&gt;&lt;volume&gt;14&lt;/volume&gt;&lt;dates&gt;&lt;year&gt;2001&lt;/year&gt;&lt;/dates&gt;&lt;urls&gt;&lt;/urls&gt;&lt;/record&gt;&lt;/Cite&gt;&lt;/EndNote&gt;</w:instrText>
      </w:r>
      <w:r>
        <w:rPr>
          <w:sz w:val="22"/>
          <w:szCs w:val="22"/>
        </w:rPr>
        <w:fldChar w:fldCharType="separate"/>
      </w:r>
      <w:r>
        <w:rPr>
          <w:noProof/>
          <w:sz w:val="22"/>
          <w:szCs w:val="22"/>
        </w:rPr>
        <w:t>[36]</w:t>
      </w:r>
      <w:r>
        <w:rPr>
          <w:sz w:val="22"/>
          <w:szCs w:val="22"/>
        </w:rPr>
        <w:fldChar w:fldCharType="end"/>
      </w:r>
      <w:r w:rsidRPr="000F5AFF">
        <w:rPr>
          <w:sz w:val="22"/>
          <w:szCs w:val="22"/>
        </w:rPr>
        <w:t>. To ensure robustness and reproducibility of attribution-driven module discovery, we performed an explicit hyperparameter tuning and stability assessment procedure.</w:t>
      </w:r>
    </w:p>
    <w:p w14:paraId="12EB700D" w14:textId="4CD43945" w:rsidR="00B97E89" w:rsidRPr="000F5AFF" w:rsidRDefault="00B97E89" w:rsidP="00B97E89">
      <w:pPr>
        <w:rPr>
          <w:sz w:val="22"/>
          <w:szCs w:val="22"/>
        </w:rPr>
      </w:pPr>
      <w:r w:rsidRPr="000F5AFF">
        <w:rPr>
          <w:sz w:val="22"/>
          <w:szCs w:val="22"/>
        </w:rPr>
        <w:t>For each skeletal site, spectral clustering was evaluated across a grid of hyperparameter combinations. Clustering stability was assessed using a bootstrap-based resampling strategy</w:t>
      </w:r>
      <w:r>
        <w:rPr>
          <w:sz w:val="22"/>
          <w:szCs w:val="22"/>
        </w:rPr>
        <w:t xml:space="preserve"> </w:t>
      </w:r>
      <w:r>
        <w:rPr>
          <w:sz w:val="22"/>
          <w:szCs w:val="22"/>
        </w:rPr>
        <w:fldChar w:fldCharType="begin"/>
      </w:r>
      <w:r>
        <w:rPr>
          <w:sz w:val="22"/>
          <w:szCs w:val="22"/>
        </w:rPr>
        <w:instrText xml:space="preserve"> ADDIN EN.CITE &lt;EndNote&gt;&lt;Cite&gt;&lt;Author&gt;Efron&lt;/Author&gt;&lt;Year&gt;1994&lt;/Year&gt;&lt;RecNum&gt;47&lt;/RecNum&gt;&lt;DisplayText&gt;[37]&lt;/DisplayText&gt;&lt;record&gt;&lt;rec-number&gt;47&lt;/rec-number&gt;&lt;foreign-keys&gt;&lt;key app="EN" db-id="pxw5p9exs29tsnea0afp092b5s22ez9rxvdw" timestamp="1769016939"&gt;47&lt;/key&gt;&lt;/foreign-keys&gt;&lt;ref-type name="Book"&gt;6&lt;/ref-type&gt;&lt;contributors&gt;&lt;authors&gt;&lt;author&gt;Efron, Bradley&lt;/author&gt;&lt;author&gt;Tibshirani, Robert J&lt;/author&gt;&lt;/authors&gt;&lt;/contributors&gt;&lt;titles&gt;&lt;title&gt;An introduction to the bootstrap&lt;/title&gt;&lt;/titles&gt;&lt;dates&gt;&lt;year&gt;1994&lt;/year&gt;&lt;/dates&gt;&lt;publisher&gt;Chapman and Hall/CRC&lt;/publisher&gt;&lt;isbn&gt;0429246595&lt;/isbn&gt;&lt;urls&gt;&lt;/urls&gt;&lt;/record&gt;&lt;/Cite&gt;&lt;/EndNote&gt;</w:instrText>
      </w:r>
      <w:r>
        <w:rPr>
          <w:sz w:val="22"/>
          <w:szCs w:val="22"/>
        </w:rPr>
        <w:fldChar w:fldCharType="separate"/>
      </w:r>
      <w:r>
        <w:rPr>
          <w:noProof/>
          <w:sz w:val="22"/>
          <w:szCs w:val="22"/>
        </w:rPr>
        <w:t>[37]</w:t>
      </w:r>
      <w:r>
        <w:rPr>
          <w:sz w:val="22"/>
          <w:szCs w:val="22"/>
        </w:rPr>
        <w:fldChar w:fldCharType="end"/>
      </w:r>
      <w:r w:rsidRPr="000F5AFF">
        <w:rPr>
          <w:sz w:val="22"/>
          <w:szCs w:val="22"/>
        </w:rPr>
        <w:t xml:space="preserve">, in which subjects were resampled with replacement to generate bootstrap versions of the Expected Gradient (EG) attribution matrix. For each bootstrap replicate, spectral clustering was re-applied and the resulting feature cluster assignments were compared to the reference clustering obtained from the </w:t>
      </w:r>
      <w:r>
        <w:rPr>
          <w:sz w:val="22"/>
          <w:szCs w:val="22"/>
        </w:rPr>
        <w:t>original</w:t>
      </w:r>
      <w:r w:rsidRPr="000F5AFF">
        <w:rPr>
          <w:sz w:val="22"/>
          <w:szCs w:val="22"/>
        </w:rPr>
        <w:t xml:space="preserve"> dataset.</w:t>
      </w:r>
    </w:p>
    <w:p w14:paraId="6D365EE3" w14:textId="605AC7FD" w:rsidR="00B97E89" w:rsidRPr="000F5AFF" w:rsidRDefault="00B97E89" w:rsidP="00B97E89">
      <w:pPr>
        <w:rPr>
          <w:sz w:val="22"/>
          <w:szCs w:val="22"/>
        </w:rPr>
      </w:pPr>
      <w:r w:rsidRPr="000F5AFF">
        <w:rPr>
          <w:sz w:val="22"/>
          <w:szCs w:val="22"/>
        </w:rPr>
        <w:t xml:space="preserve">Agreement between bootstrap-derived and reference cluster assignments was quantified using normalized mutual information (NMI) and adjusted Rand index (ARI) </w:t>
      </w:r>
      <w:r>
        <w:rPr>
          <w:sz w:val="22"/>
          <w:szCs w:val="22"/>
        </w:rPr>
        <w:fldChar w:fldCharType="begin"/>
      </w:r>
      <w:r>
        <w:rPr>
          <w:sz w:val="22"/>
          <w:szCs w:val="22"/>
        </w:rPr>
        <w:instrText xml:space="preserve"> ADDIN EN.CITE &lt;EndNote&gt;&lt;Cite&gt;&lt;Author&gt;Hubert&lt;/Author&gt;&lt;Year&gt;1985&lt;/Year&gt;&lt;RecNum&gt;48&lt;/RecNum&gt;&lt;DisplayText&gt;[38, 39]&lt;/DisplayText&gt;&lt;record&gt;&lt;rec-number&gt;48&lt;/rec-number&gt;&lt;foreign-keys&gt;&lt;key app="EN" db-id="pxw5p9exs29tsnea0afp092b5s22ez9rxvdw" timestamp="1769016939"&gt;48&lt;/key&gt;&lt;/foreign-keys&gt;&lt;ref-type name="Journal Article"&gt;17&lt;/ref-type&gt;&lt;contributors&gt;&lt;authors&gt;&lt;author&gt;Hubert, Lawrence&lt;/author&gt;&lt;author&gt;Arabie, Phipps&lt;/author&gt;&lt;/authors&gt;&lt;/contributors&gt;&lt;titles&gt;&lt;title&gt;Comparing partitions&lt;/title&gt;&lt;secondary-title&gt;Journal of classification&lt;/secondary-title&gt;&lt;/titles&gt;&lt;periodical&gt;&lt;full-title&gt;Journal of classification&lt;/full-title&gt;&lt;/periodical&gt;&lt;pages&gt;193-218&lt;/pages&gt;&lt;volume&gt;2&lt;/volume&gt;&lt;number&gt;1&lt;/number&gt;&lt;dates&gt;&lt;year&gt;1985&lt;/year&gt;&lt;/dates&gt;&lt;isbn&gt;0176-4268&lt;/isbn&gt;&lt;urls&gt;&lt;/urls&gt;&lt;/record&gt;&lt;/Cite&gt;&lt;Cite&gt;&lt;Author&gt;Strehl&lt;/Author&gt;&lt;Year&gt;2002&lt;/Year&gt;&lt;RecNum&gt;49&lt;/RecNum&gt;&lt;record&gt;&lt;rec-number&gt;49&lt;/rec-number&gt;&lt;foreign-keys&gt;&lt;key app="EN" db-id="pxw5p9exs29tsnea0afp092b5s22ez9rxvdw" timestamp="1769016939"&gt;49&lt;/key&gt;&lt;/foreign-keys&gt;&lt;ref-type name="Journal Article"&gt;17&lt;/ref-type&gt;&lt;contributors&gt;&lt;authors&gt;&lt;author&gt;Strehl, Alexander&lt;/author&gt;&lt;author&gt;Ghosh, Joydeep&lt;/author&gt;&lt;/authors&gt;&lt;/contributors&gt;&lt;titles&gt;&lt;title&gt;Cluster ensembles---a knowledge reuse framework for combining multiple partitions&lt;/title&gt;&lt;secondary-title&gt;Journal of machine learning research&lt;/secondary-title&gt;&lt;/titles&gt;&lt;periodical&gt;&lt;full-title&gt;Journal of machine learning research&lt;/full-title&gt;&lt;/periodical&gt;&lt;pages&gt;583-617&lt;/pages&gt;&lt;volume&gt;3&lt;/volume&gt;&lt;number&gt;Dec&lt;/number&gt;&lt;dates&gt;&lt;year&gt;2002&lt;/year&gt;&lt;/dates&gt;&lt;urls&gt;&lt;/urls&gt;&lt;/record&gt;&lt;/Cite&gt;&lt;/EndNote&gt;</w:instrText>
      </w:r>
      <w:r>
        <w:rPr>
          <w:sz w:val="22"/>
          <w:szCs w:val="22"/>
        </w:rPr>
        <w:fldChar w:fldCharType="separate"/>
      </w:r>
      <w:r>
        <w:rPr>
          <w:noProof/>
          <w:sz w:val="22"/>
          <w:szCs w:val="22"/>
        </w:rPr>
        <w:t>[38, 39]</w:t>
      </w:r>
      <w:r>
        <w:rPr>
          <w:sz w:val="22"/>
          <w:szCs w:val="22"/>
        </w:rPr>
        <w:fldChar w:fldCharType="end"/>
      </w:r>
      <w:r w:rsidRPr="000F5AFF">
        <w:rPr>
          <w:sz w:val="22"/>
          <w:szCs w:val="22"/>
        </w:rPr>
        <w:t xml:space="preserve">. </w:t>
      </w:r>
      <w:r w:rsidRPr="00312E8A">
        <w:rPr>
          <w:sz w:val="22"/>
          <w:szCs w:val="22"/>
        </w:rPr>
        <w:t xml:space="preserve">NMI measures the shared information between </w:t>
      </w:r>
      <w:r w:rsidR="002B182B">
        <w:rPr>
          <w:sz w:val="22"/>
          <w:szCs w:val="22"/>
        </w:rPr>
        <w:t>two cluster assignments</w:t>
      </w:r>
      <w:r w:rsidRPr="00312E8A">
        <w:rPr>
          <w:sz w:val="22"/>
          <w:szCs w:val="22"/>
        </w:rPr>
        <w:t xml:space="preserve"> and is normalized to facilitate comparison across different clustering</w:t>
      </w:r>
      <w:r>
        <w:rPr>
          <w:sz w:val="22"/>
          <w:szCs w:val="22"/>
        </w:rPr>
        <w:t xml:space="preserve"> solutions</w:t>
      </w:r>
      <w:r w:rsidRPr="00312E8A">
        <w:rPr>
          <w:sz w:val="22"/>
          <w:szCs w:val="22"/>
        </w:rPr>
        <w:t xml:space="preserve">. </w:t>
      </w:r>
      <w:r w:rsidRPr="00DE1087">
        <w:rPr>
          <w:sz w:val="22"/>
          <w:szCs w:val="22"/>
        </w:rPr>
        <w:t xml:space="preserve">ARI evaluates pairwise consistency by quantifying how frequently pairs of features are assigned to the same or different </w:t>
      </w:r>
      <w:r w:rsidR="00DA5FE2">
        <w:rPr>
          <w:sz w:val="22"/>
          <w:szCs w:val="22"/>
        </w:rPr>
        <w:t>clusters</w:t>
      </w:r>
      <w:r w:rsidRPr="00DE1087">
        <w:rPr>
          <w:sz w:val="22"/>
          <w:szCs w:val="22"/>
        </w:rPr>
        <w:t xml:space="preserve"> in both </w:t>
      </w:r>
      <w:r w:rsidR="00FF553F">
        <w:rPr>
          <w:sz w:val="22"/>
          <w:szCs w:val="22"/>
        </w:rPr>
        <w:t>solutions</w:t>
      </w:r>
      <w:r w:rsidRPr="00DE1087">
        <w:rPr>
          <w:sz w:val="22"/>
          <w:szCs w:val="22"/>
        </w:rPr>
        <w:t xml:space="preserve"> and adjusts this agreement relative to what would be expected under random clustering.</w:t>
      </w:r>
      <w:r>
        <w:rPr>
          <w:sz w:val="22"/>
          <w:szCs w:val="22"/>
        </w:rPr>
        <w:t xml:space="preserve"> </w:t>
      </w:r>
      <w:r w:rsidRPr="000714BD">
        <w:rPr>
          <w:sz w:val="22"/>
          <w:szCs w:val="22"/>
        </w:rPr>
        <w:t>NMI emphasizes global structural similarity while ARI is more sensitive to local feature reassignments, the two metrics provide complementary assessments of clustering stability.</w:t>
      </w:r>
      <w:r>
        <w:rPr>
          <w:sz w:val="22"/>
          <w:szCs w:val="22"/>
        </w:rPr>
        <w:t xml:space="preserve"> </w:t>
      </w:r>
      <w:r w:rsidRPr="009F2A48">
        <w:rPr>
          <w:sz w:val="22"/>
          <w:szCs w:val="22"/>
        </w:rPr>
        <w:t>Both metrics increase with greater agreement between</w:t>
      </w:r>
      <w:r w:rsidR="00506DD0">
        <w:rPr>
          <w:sz w:val="22"/>
          <w:szCs w:val="22"/>
        </w:rPr>
        <w:t xml:space="preserve"> cluster assignments</w:t>
      </w:r>
      <w:r w:rsidRPr="009F2A48">
        <w:rPr>
          <w:sz w:val="22"/>
          <w:szCs w:val="22"/>
        </w:rPr>
        <w:t xml:space="preserve">; NMI ranges from 0 (no shared information) to 1 (identical </w:t>
      </w:r>
      <w:r w:rsidR="00E63BA4">
        <w:rPr>
          <w:sz w:val="22"/>
          <w:szCs w:val="22"/>
        </w:rPr>
        <w:t>cluster assignments</w:t>
      </w:r>
      <w:r w:rsidRPr="009F2A48">
        <w:rPr>
          <w:sz w:val="22"/>
          <w:szCs w:val="22"/>
        </w:rPr>
        <w:t>),</w:t>
      </w:r>
      <w:r>
        <w:rPr>
          <w:sz w:val="22"/>
          <w:szCs w:val="22"/>
        </w:rPr>
        <w:t xml:space="preserve"> </w:t>
      </w:r>
      <w:r w:rsidRPr="00380292">
        <w:rPr>
          <w:sz w:val="22"/>
          <w:szCs w:val="22"/>
        </w:rPr>
        <w:t>whereas ARI is centered at 0 under random assignment and approaches 1 for perfect agreement, with negative values indicating less agreement than expected by chance.</w:t>
      </w:r>
    </w:p>
    <w:p w14:paraId="18305424" w14:textId="38B4D2B9" w:rsidR="00B97E89" w:rsidRDefault="00B97E89" w:rsidP="00B97E89">
      <w:pPr>
        <w:rPr>
          <w:sz w:val="22"/>
          <w:szCs w:val="22"/>
        </w:rPr>
      </w:pPr>
      <w:r w:rsidRPr="000F5AFF">
        <w:rPr>
          <w:sz w:val="22"/>
          <w:szCs w:val="22"/>
        </w:rPr>
        <w:t>In addition to clustering reproducibility, graph structural diagnostics were recorded for each hyperparameter configuration, including the median number of connected components</w:t>
      </w:r>
      <w:r>
        <w:rPr>
          <w:sz w:val="22"/>
          <w:szCs w:val="22"/>
        </w:rPr>
        <w:t xml:space="preserve"> </w:t>
      </w:r>
      <w:r w:rsidRPr="000F5AFF">
        <w:rPr>
          <w:sz w:val="22"/>
          <w:szCs w:val="22"/>
        </w:rPr>
        <w:t>in the affinity graph</w:t>
      </w:r>
      <w:r>
        <w:rPr>
          <w:sz w:val="22"/>
          <w:szCs w:val="22"/>
        </w:rPr>
        <w:t xml:space="preserve">, </w:t>
      </w:r>
      <w:r w:rsidRPr="000F5AFF">
        <w:rPr>
          <w:sz w:val="22"/>
          <w:szCs w:val="22"/>
        </w:rPr>
        <w:t xml:space="preserve">the number of isolated nodes, and </w:t>
      </w:r>
      <w:r w:rsidRPr="003B5FCF">
        <w:rPr>
          <w:sz w:val="22"/>
          <w:szCs w:val="22"/>
        </w:rPr>
        <w:t>the number of modules remaining after post hoc merging based on similarity</w:t>
      </w:r>
      <w:r>
        <w:rPr>
          <w:sz w:val="22"/>
          <w:szCs w:val="22"/>
        </w:rPr>
        <w:t xml:space="preserve"> of t</w:t>
      </w:r>
      <w:r w:rsidRPr="00D931FD">
        <w:rPr>
          <w:sz w:val="22"/>
          <w:szCs w:val="22"/>
        </w:rPr>
        <w:t>he subject-level mean EG score across all species assigned to a given module</w:t>
      </w:r>
      <w:r w:rsidRPr="000F5AFF">
        <w:rPr>
          <w:sz w:val="22"/>
          <w:szCs w:val="22"/>
        </w:rPr>
        <w:t>.</w:t>
      </w:r>
      <w:r>
        <w:rPr>
          <w:sz w:val="22"/>
          <w:szCs w:val="22"/>
        </w:rPr>
        <w:t xml:space="preserve"> </w:t>
      </w:r>
      <w:r w:rsidRPr="00FB2FB9">
        <w:rPr>
          <w:sz w:val="22"/>
          <w:szCs w:val="22"/>
        </w:rPr>
        <w:t xml:space="preserve">Full details of the composite stability score integrating clustering reproducibility and graph structural diagnostics, as well as its use for spectral clustering hyperparameter selection, are provided </w:t>
      </w:r>
      <w:r w:rsidR="00BD6646">
        <w:rPr>
          <w:sz w:val="22"/>
          <w:szCs w:val="22"/>
        </w:rPr>
        <w:t>as follows</w:t>
      </w:r>
      <w:r w:rsidRPr="00FB2FB9">
        <w:rPr>
          <w:sz w:val="22"/>
          <w:szCs w:val="22"/>
        </w:rPr>
        <w:t>.</w:t>
      </w:r>
    </w:p>
    <w:p w14:paraId="57B78174" w14:textId="77777777" w:rsidR="000C7C5A" w:rsidRPr="000C7C5A" w:rsidRDefault="000C7C5A" w:rsidP="000C7C5A">
      <w:pPr>
        <w:rPr>
          <w:b/>
          <w:bCs/>
        </w:rPr>
      </w:pPr>
      <w:r w:rsidRPr="000C7C5A">
        <w:rPr>
          <w:b/>
          <w:bCs/>
        </w:rPr>
        <w:t>Composite Stability Criterion for Hyperparameter Selection – Spectral Clustering</w:t>
      </w:r>
    </w:p>
    <w:p w14:paraId="35EE1948" w14:textId="77777777" w:rsidR="000C7C5A" w:rsidRPr="00DE0BEB" w:rsidRDefault="000C7C5A" w:rsidP="000C7C5A">
      <w:pPr>
        <w:rPr>
          <w:sz w:val="22"/>
          <w:szCs w:val="22"/>
        </w:rPr>
      </w:pPr>
      <w:r w:rsidRPr="00DE0BEB">
        <w:rPr>
          <w:sz w:val="22"/>
          <w:szCs w:val="22"/>
        </w:rPr>
        <w:t>To select a robust and interpretable clustering configuration, we evaluated candidate hyperparameter settings using a composite stability score that integrates clustering reproducibility and graph structural diagnostics. Rather than combining raw metrics directly, all quantities were first normalized to ensure comparability across scales and to reduce sensitivity to outliers.</w:t>
      </w:r>
    </w:p>
    <w:p w14:paraId="0A4CA657" w14:textId="77777777" w:rsidR="000C7C5A" w:rsidRPr="00DE0BEB" w:rsidRDefault="000C7C5A" w:rsidP="000C7C5A">
      <w:pPr>
        <w:rPr>
          <w:sz w:val="22"/>
          <w:szCs w:val="22"/>
        </w:rPr>
      </w:pPr>
      <w:r w:rsidRPr="00DE0BEB">
        <w:rPr>
          <w:sz w:val="22"/>
          <w:szCs w:val="22"/>
        </w:rPr>
        <w:t>For each configuration, we computed the following summary metrics:</w:t>
      </w:r>
    </w:p>
    <w:p w14:paraId="39962083" w14:textId="77777777" w:rsidR="000C7C5A" w:rsidRPr="00DE0BEB" w:rsidRDefault="00253630" w:rsidP="000C7C5A">
      <w:pPr>
        <w:numPr>
          <w:ilvl w:val="0"/>
          <w:numId w:val="4"/>
        </w:numPr>
        <w:rPr>
          <w:sz w:val="22"/>
          <w:szCs w:val="22"/>
        </w:rPr>
      </w:pPr>
      <m:oMath>
        <m:acc>
          <m:accPr>
            <m:chr m:val="‾"/>
            <m:ctrlPr>
              <w:rPr>
                <w:rFonts w:ascii="Cambria Math" w:hAnsi="Cambria Math"/>
                <w:sz w:val="22"/>
                <w:szCs w:val="22"/>
              </w:rPr>
            </m:ctrlPr>
          </m:accPr>
          <m:e>
            <m:r>
              <m:rPr>
                <m:sty m:val="p"/>
              </m:rPr>
              <w:rPr>
                <w:rFonts w:ascii="Cambria Math" w:hAnsi="Cambria Math"/>
                <w:sz w:val="22"/>
                <w:szCs w:val="22"/>
              </w:rPr>
              <m:t>NMI</m:t>
            </m:r>
          </m:e>
        </m:acc>
      </m:oMath>
      <w:r w:rsidR="000C7C5A" w:rsidRPr="00DE0BEB">
        <w:rPr>
          <w:sz w:val="22"/>
          <w:szCs w:val="22"/>
        </w:rPr>
        <w:t>: mean normalized mutual information across bootstrap resamples</w:t>
      </w:r>
      <w:r w:rsidR="000C7C5A">
        <w:rPr>
          <w:sz w:val="22"/>
          <w:szCs w:val="22"/>
        </w:rPr>
        <w:t>.</w:t>
      </w:r>
    </w:p>
    <w:p w14:paraId="4F6A1150" w14:textId="77777777" w:rsidR="000C7C5A" w:rsidRPr="00DE0BEB" w:rsidRDefault="00253630" w:rsidP="000C7C5A">
      <w:pPr>
        <w:numPr>
          <w:ilvl w:val="0"/>
          <w:numId w:val="4"/>
        </w:numPr>
        <w:rPr>
          <w:sz w:val="22"/>
          <w:szCs w:val="22"/>
        </w:rPr>
      </w:pPr>
      <m:oMath>
        <m:acc>
          <m:accPr>
            <m:chr m:val="‾"/>
            <m:ctrlPr>
              <w:rPr>
                <w:rFonts w:ascii="Cambria Math" w:hAnsi="Cambria Math"/>
                <w:sz w:val="22"/>
                <w:szCs w:val="22"/>
              </w:rPr>
            </m:ctrlPr>
          </m:accPr>
          <m:e>
            <m:r>
              <m:rPr>
                <m:sty m:val="p"/>
              </m:rPr>
              <w:rPr>
                <w:rFonts w:ascii="Cambria Math" w:hAnsi="Cambria Math"/>
                <w:sz w:val="22"/>
                <w:szCs w:val="22"/>
              </w:rPr>
              <m:t>ARI</m:t>
            </m:r>
          </m:e>
        </m:acc>
      </m:oMath>
      <w:r w:rsidR="000C7C5A" w:rsidRPr="00DE0BEB">
        <w:rPr>
          <w:sz w:val="22"/>
          <w:szCs w:val="22"/>
        </w:rPr>
        <w:t>: mean adjusted Rand index</w:t>
      </w:r>
      <w:r w:rsidR="000C7C5A">
        <w:rPr>
          <w:sz w:val="22"/>
          <w:szCs w:val="22"/>
        </w:rPr>
        <w:t>.</w:t>
      </w:r>
    </w:p>
    <w:p w14:paraId="33270E18" w14:textId="77777777" w:rsidR="000C7C5A" w:rsidRPr="00DE0BEB" w:rsidRDefault="000C7C5A" w:rsidP="000C7C5A">
      <w:pPr>
        <w:numPr>
          <w:ilvl w:val="0"/>
          <w:numId w:val="4"/>
        </w:numPr>
        <w:rPr>
          <w:sz w:val="22"/>
          <w:szCs w:val="22"/>
        </w:rPr>
      </w:pPr>
      <m:oMath>
        <m:r>
          <w:rPr>
            <w:rFonts w:ascii="Cambria Math" w:hAnsi="Cambria Math"/>
            <w:sz w:val="22"/>
            <w:szCs w:val="22"/>
          </w:rPr>
          <m:t>C</m:t>
        </m:r>
      </m:oMath>
      <w:r w:rsidRPr="00DE0BEB">
        <w:rPr>
          <w:sz w:val="22"/>
          <w:szCs w:val="22"/>
        </w:rPr>
        <w:t>: median number of connected components</w:t>
      </w:r>
      <w:r>
        <w:rPr>
          <w:sz w:val="22"/>
          <w:szCs w:val="22"/>
        </w:rPr>
        <w:t>.</w:t>
      </w:r>
    </w:p>
    <w:p w14:paraId="7C547500" w14:textId="77777777" w:rsidR="000C7C5A" w:rsidRPr="00DE0BEB" w:rsidRDefault="000C7C5A" w:rsidP="000C7C5A">
      <w:pPr>
        <w:numPr>
          <w:ilvl w:val="0"/>
          <w:numId w:val="4"/>
        </w:numPr>
        <w:rPr>
          <w:sz w:val="22"/>
          <w:szCs w:val="22"/>
        </w:rPr>
      </w:pPr>
      <m:oMath>
        <m:r>
          <w:rPr>
            <w:rFonts w:ascii="Cambria Math" w:hAnsi="Cambria Math"/>
            <w:sz w:val="22"/>
            <w:szCs w:val="22"/>
          </w:rPr>
          <m:t>I</m:t>
        </m:r>
      </m:oMath>
      <w:r w:rsidRPr="00DE0BEB">
        <w:rPr>
          <w:sz w:val="22"/>
          <w:szCs w:val="22"/>
        </w:rPr>
        <w:t>: median number of isolated nodes</w:t>
      </w:r>
      <w:r>
        <w:rPr>
          <w:sz w:val="22"/>
          <w:szCs w:val="22"/>
        </w:rPr>
        <w:t>.</w:t>
      </w:r>
    </w:p>
    <w:p w14:paraId="4F196960" w14:textId="77777777" w:rsidR="000C7C5A" w:rsidRPr="00DE0BEB" w:rsidRDefault="000C7C5A" w:rsidP="000C7C5A">
      <w:pPr>
        <w:numPr>
          <w:ilvl w:val="0"/>
          <w:numId w:val="4"/>
        </w:numPr>
        <w:rPr>
          <w:sz w:val="22"/>
          <w:szCs w:val="22"/>
        </w:rPr>
      </w:pPr>
      <m:oMath>
        <m:r>
          <w:rPr>
            <w:rFonts w:ascii="Cambria Math" w:hAnsi="Cambria Math"/>
            <w:sz w:val="22"/>
            <w:szCs w:val="22"/>
          </w:rPr>
          <m:t>M</m:t>
        </m:r>
      </m:oMath>
      <w:r w:rsidRPr="00DE0BEB">
        <w:rPr>
          <w:sz w:val="22"/>
          <w:szCs w:val="22"/>
        </w:rPr>
        <w:t>: median number of merged modules</w:t>
      </w:r>
      <w:r>
        <w:rPr>
          <w:sz w:val="22"/>
          <w:szCs w:val="22"/>
        </w:rPr>
        <w:t>.</w:t>
      </w:r>
    </w:p>
    <w:p w14:paraId="1CEC62C4" w14:textId="6AADA0B8" w:rsidR="000C7C5A" w:rsidRPr="00DE0BEB" w:rsidRDefault="000C7C5A" w:rsidP="000C7C5A">
      <w:pPr>
        <w:rPr>
          <w:sz w:val="22"/>
          <w:szCs w:val="22"/>
        </w:rPr>
      </w:pPr>
      <w:r w:rsidRPr="001E079F">
        <w:rPr>
          <w:sz w:val="22"/>
          <w:szCs w:val="22"/>
        </w:rPr>
        <w:t xml:space="preserve">All metrics were standardized using a median-centered transformation scaled by the median absolute deviation (MAD), a </w:t>
      </w:r>
      <w:r w:rsidRPr="00AC2574">
        <w:rPr>
          <w:sz w:val="22"/>
          <w:szCs w:val="22"/>
        </w:rPr>
        <w:t>robust scale estimator</w:t>
      </w:r>
      <w:r w:rsidRPr="001E079F">
        <w:rPr>
          <w:sz w:val="22"/>
          <w:szCs w:val="22"/>
        </w:rPr>
        <w:t xml:space="preserve"> </w:t>
      </w:r>
      <w:r>
        <w:rPr>
          <w:sz w:val="22"/>
          <w:szCs w:val="22"/>
        </w:rPr>
        <w:fldChar w:fldCharType="begin"/>
      </w:r>
      <w:r w:rsidR="00B97E89">
        <w:rPr>
          <w:sz w:val="22"/>
          <w:szCs w:val="22"/>
        </w:rPr>
        <w:instrText xml:space="preserve"> ADDIN EN.CITE &lt;EndNote&gt;&lt;Cite&gt;&lt;Author&gt;Ronchetti&lt;/Author&gt;&lt;Year&gt;2009&lt;/Year&gt;&lt;RecNum&gt;60&lt;/RecNum&gt;&lt;DisplayText&gt;[40]&lt;/DisplayText&gt;&lt;record&gt;&lt;rec-number&gt;60&lt;/rec-number&gt;&lt;foreign-keys&gt;&lt;key app="EN" db-id="9ffsxvtpjpf5tue5daz5tz2osr9sr5dexera" timestamp="1772172786"&gt;60&lt;/key&gt;&lt;/foreign-keys&gt;&lt;ref-type name="Book"&gt;6&lt;/ref-type&gt;&lt;contributors&gt;&lt;authors&gt;&lt;author&gt;Ronchetti, Elvezio M&lt;/author&gt;&lt;author&gt;Huber, Peter J&lt;/author&gt;&lt;/authors&gt;&lt;/contributors&gt;&lt;titles&gt;&lt;title&gt;Robust statistics&lt;/title&gt;&lt;/titles&gt;&lt;dates&gt;&lt;year&gt;2009&lt;/year&gt;&lt;/dates&gt;&lt;publisher&gt;John Wiley &amp;amp; Sons Hoboken, NJ, USA&lt;/publisher&gt;&lt;isbn&gt;1282368192&lt;/isbn&gt;&lt;urls&gt;&lt;/urls&gt;&lt;/record&gt;&lt;/Cite&gt;&lt;/EndNote&gt;</w:instrText>
      </w:r>
      <w:r>
        <w:rPr>
          <w:sz w:val="22"/>
          <w:szCs w:val="22"/>
        </w:rPr>
        <w:fldChar w:fldCharType="separate"/>
      </w:r>
      <w:r w:rsidR="00B97E89">
        <w:rPr>
          <w:noProof/>
          <w:sz w:val="22"/>
          <w:szCs w:val="22"/>
        </w:rPr>
        <w:t>[40]</w:t>
      </w:r>
      <w:r>
        <w:rPr>
          <w:sz w:val="22"/>
          <w:szCs w:val="22"/>
        </w:rPr>
        <w:fldChar w:fldCharType="end"/>
      </w:r>
      <w:r w:rsidRPr="001E079F">
        <w:rPr>
          <w:sz w:val="22"/>
          <w:szCs w:val="22"/>
        </w:rPr>
        <w:t>.</w:t>
      </w:r>
      <w:r w:rsidRPr="00DE0BEB">
        <w:rPr>
          <w:sz w:val="22"/>
          <w:szCs w:val="22"/>
        </w:rPr>
        <w:t xml:space="preserve"> Metrics where larger values indicate better performance (e.g., </w:t>
      </w:r>
      <m:oMath>
        <m:acc>
          <m:accPr>
            <m:chr m:val="‾"/>
            <m:ctrlPr>
              <w:rPr>
                <w:rFonts w:ascii="Cambria Math" w:hAnsi="Cambria Math"/>
                <w:sz w:val="22"/>
                <w:szCs w:val="22"/>
              </w:rPr>
            </m:ctrlPr>
          </m:accPr>
          <m:e>
            <m:r>
              <m:rPr>
                <m:sty m:val="p"/>
              </m:rPr>
              <w:rPr>
                <w:rFonts w:ascii="Cambria Math" w:hAnsi="Cambria Math"/>
                <w:sz w:val="22"/>
                <w:szCs w:val="22"/>
              </w:rPr>
              <m:t>NMI</m:t>
            </m:r>
          </m:e>
        </m:acc>
      </m:oMath>
      <w:r w:rsidRPr="00DE0BEB">
        <w:rPr>
          <w:sz w:val="22"/>
          <w:szCs w:val="22"/>
        </w:rPr>
        <w:t xml:space="preserve">, </w:t>
      </w:r>
      <m:oMath>
        <m:acc>
          <m:accPr>
            <m:chr m:val="‾"/>
            <m:ctrlPr>
              <w:rPr>
                <w:rFonts w:ascii="Cambria Math" w:hAnsi="Cambria Math"/>
                <w:sz w:val="22"/>
                <w:szCs w:val="22"/>
              </w:rPr>
            </m:ctrlPr>
          </m:accPr>
          <m:e>
            <m:r>
              <m:rPr>
                <m:sty m:val="p"/>
              </m:rPr>
              <w:rPr>
                <w:rFonts w:ascii="Cambria Math" w:hAnsi="Cambria Math"/>
                <w:sz w:val="22"/>
                <w:szCs w:val="22"/>
              </w:rPr>
              <m:t>ARI</m:t>
            </m:r>
          </m:e>
        </m:acc>
      </m:oMath>
      <w:r w:rsidRPr="00DE0BEB">
        <w:rPr>
          <w:sz w:val="22"/>
          <w:szCs w:val="22"/>
        </w:rPr>
        <w:t>) were retained as positive contributions, whereas metrics where smaller values are preferred (graph fragmentation, isolated nodes, deviation from a target module count) were sign-inverted after normalization.</w:t>
      </w:r>
    </w:p>
    <w:p w14:paraId="3395B958" w14:textId="77777777" w:rsidR="000C7C5A" w:rsidRPr="00DE0BEB" w:rsidRDefault="000C7C5A" w:rsidP="000C7C5A">
      <w:pPr>
        <w:rPr>
          <w:sz w:val="22"/>
          <w:szCs w:val="22"/>
        </w:rPr>
      </w:pPr>
      <w:r w:rsidRPr="00DE0BEB">
        <w:rPr>
          <w:sz w:val="22"/>
          <w:szCs w:val="22"/>
        </w:rPr>
        <w:t xml:space="preserve">Let the normalized metric vector for configuration </w:t>
      </w:r>
      <m:oMath>
        <m:r>
          <w:rPr>
            <w:rFonts w:ascii="Cambria Math" w:hAnsi="Cambria Math"/>
            <w:sz w:val="22"/>
            <w:szCs w:val="22"/>
          </w:rPr>
          <m:t>i</m:t>
        </m:r>
      </m:oMath>
      <w:r>
        <w:rPr>
          <w:sz w:val="22"/>
          <w:szCs w:val="22"/>
        </w:rPr>
        <w:t xml:space="preserve"> </w:t>
      </w:r>
      <w:r w:rsidRPr="00DE0BEB">
        <w:rPr>
          <w:sz w:val="22"/>
          <w:szCs w:val="22"/>
        </w:rPr>
        <w:t>be:</w:t>
      </w:r>
    </w:p>
    <w:p w14:paraId="11F42B08" w14:textId="77777777" w:rsidR="000C7C5A" w:rsidRPr="00DE0BEB" w:rsidRDefault="00253630" w:rsidP="000C7C5A">
      <w:pPr>
        <w:rPr>
          <w:sz w:val="22"/>
          <w:szCs w:val="22"/>
        </w:rPr>
      </w:pPr>
      <m:oMathPara>
        <m:oMath>
          <m:sSub>
            <m:sSubPr>
              <m:ctrlPr>
                <w:rPr>
                  <w:rFonts w:ascii="Cambria Math" w:hAnsi="Cambria Math"/>
                  <w:sz w:val="22"/>
                  <w:szCs w:val="22"/>
                </w:rPr>
              </m:ctrlPr>
            </m:sSubPr>
            <m:e>
              <m:r>
                <m:rPr>
                  <m:sty m:val="b"/>
                </m:rPr>
                <w:rPr>
                  <w:rFonts w:ascii="Cambria Math" w:hAnsi="Cambria Math"/>
                  <w:sz w:val="22"/>
                  <w:szCs w:val="22"/>
                </w:rPr>
                <m:t>z</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NMI</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ARI</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frag</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isol</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moddev</m:t>
                  </m:r>
                </m:sub>
              </m:sSub>
              <m:r>
                <w:rPr>
                  <w:rFonts w:ascii="Cambria Math" w:hAnsi="Cambria Math"/>
                  <w:sz w:val="22"/>
                  <w:szCs w:val="22"/>
                </w:rPr>
                <m:t>)</m:t>
              </m:r>
            </m:e>
            <m:sub>
              <m:r>
                <w:rPr>
                  <w:rFonts w:ascii="Cambria Math" w:hAnsi="Cambria Math"/>
                  <w:sz w:val="22"/>
                  <w:szCs w:val="22"/>
                </w:rPr>
                <m:t>i</m:t>
              </m:r>
            </m:sub>
          </m:sSub>
          <m:r>
            <m:rPr>
              <m:sty m:val="p"/>
            </m:rPr>
            <w:rPr>
              <w:rFonts w:ascii="Cambria Math" w:hAnsi="Cambria Math"/>
              <w:sz w:val="22"/>
              <w:szCs w:val="22"/>
            </w:rPr>
            <w:br/>
          </m:r>
        </m:oMath>
      </m:oMathPara>
    </w:p>
    <w:p w14:paraId="5F237F03" w14:textId="77777777" w:rsidR="000C7C5A" w:rsidRPr="00DE0BEB" w:rsidRDefault="000C7C5A" w:rsidP="000C7C5A">
      <w:pPr>
        <w:rPr>
          <w:sz w:val="22"/>
          <w:szCs w:val="22"/>
        </w:rPr>
      </w:pPr>
      <w:r w:rsidRPr="00DE0BEB">
        <w:rPr>
          <w:sz w:val="22"/>
          <w:szCs w:val="22"/>
        </w:rPr>
        <w:t>where:</w:t>
      </w:r>
    </w:p>
    <w:p w14:paraId="6FCC7D43" w14:textId="77777777" w:rsidR="000C7C5A" w:rsidRPr="00DE0BEB" w:rsidRDefault="00253630" w:rsidP="000C7C5A">
      <w:pPr>
        <w:numPr>
          <w:ilvl w:val="0"/>
          <w:numId w:val="5"/>
        </w:numPr>
        <w:rPr>
          <w:sz w:val="22"/>
          <w:szCs w:val="22"/>
        </w:rPr>
      </w:pPr>
      <m:oMath>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frag</m:t>
            </m:r>
          </m:sub>
        </m:sSub>
        <m:r>
          <w:rPr>
            <w:rFonts w:ascii="Cambria Math" w:hAnsi="Cambria Math"/>
            <w:sz w:val="22"/>
            <w:szCs w:val="22"/>
          </w:rPr>
          <m:t>=-</m:t>
        </m:r>
        <m:r>
          <w:rPr>
            <w:rFonts w:ascii="Cambria Math" w:hAnsi="Cambria Math"/>
            <w:sz w:val="22"/>
            <w:szCs w:val="22"/>
          </w:rPr>
          <m:t>z</m:t>
        </m:r>
        <m:r>
          <w:rPr>
            <w:rFonts w:ascii="Cambria Math" w:hAnsi="Cambria Math"/>
            <w:sz w:val="22"/>
            <w:szCs w:val="22"/>
          </w:rPr>
          <m:t>(</m:t>
        </m:r>
        <m:r>
          <m:rPr>
            <m:sty m:val="p"/>
          </m:rPr>
          <w:rPr>
            <w:rFonts w:ascii="Cambria Math" w:hAnsi="Cambria Math"/>
            <w:sz w:val="22"/>
            <w:szCs w:val="22"/>
          </w:rPr>
          <m:t>max</m:t>
        </m:r>
        <m:r>
          <w:rPr>
            <w:rFonts w:ascii="Cambria Math" w:hAnsi="Cambria Math"/>
            <w:sz w:val="22"/>
            <w:szCs w:val="22"/>
          </w:rPr>
          <m:t>⁡</m:t>
        </m:r>
        <m:r>
          <w:rPr>
            <w:rFonts w:ascii="Cambria Math" w:hAnsi="Cambria Math"/>
            <w:sz w:val="22"/>
            <w:szCs w:val="22"/>
          </w:rPr>
          <m:t>(0,</m:t>
        </m:r>
        <m:r>
          <w:rPr>
            <w:rFonts w:ascii="Cambria Math" w:hAnsi="Cambria Math"/>
            <w:sz w:val="22"/>
            <w:szCs w:val="22"/>
          </w:rPr>
          <m:t>C</m:t>
        </m:r>
        <m:r>
          <w:rPr>
            <w:rFonts w:ascii="Cambria Math" w:hAnsi="Cambria Math"/>
            <w:sz w:val="22"/>
            <w:szCs w:val="22"/>
          </w:rPr>
          <m:t>-</m:t>
        </m:r>
        <m:r>
          <w:rPr>
            <w:rFonts w:ascii="Cambria Math" w:hAnsi="Cambria Math"/>
            <w:sz w:val="22"/>
            <w:szCs w:val="22"/>
          </w:rPr>
          <m:t>1))</m:t>
        </m:r>
      </m:oMath>
    </w:p>
    <w:p w14:paraId="12EE781E" w14:textId="77777777" w:rsidR="000C7C5A" w:rsidRPr="00DE0BEB" w:rsidRDefault="00253630" w:rsidP="000C7C5A">
      <w:pPr>
        <w:numPr>
          <w:ilvl w:val="0"/>
          <w:numId w:val="5"/>
        </w:numPr>
        <w:rPr>
          <w:sz w:val="22"/>
          <w:szCs w:val="22"/>
        </w:rPr>
      </w:pPr>
      <m:oMath>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isol</m:t>
            </m:r>
          </m:sub>
        </m:sSub>
        <m:r>
          <w:rPr>
            <w:rFonts w:ascii="Cambria Math" w:hAnsi="Cambria Math"/>
            <w:sz w:val="22"/>
            <w:szCs w:val="22"/>
          </w:rPr>
          <m:t>=-</m:t>
        </m:r>
        <m:r>
          <w:rPr>
            <w:rFonts w:ascii="Cambria Math" w:hAnsi="Cambria Math"/>
            <w:sz w:val="22"/>
            <w:szCs w:val="22"/>
          </w:rPr>
          <m:t>z</m:t>
        </m:r>
        <m:r>
          <w:rPr>
            <w:rFonts w:ascii="Cambria Math" w:hAnsi="Cambria Math"/>
            <w:sz w:val="22"/>
            <w:szCs w:val="22"/>
          </w:rPr>
          <m:t>(</m:t>
        </m:r>
        <m:r>
          <w:rPr>
            <w:rFonts w:ascii="Cambria Math" w:hAnsi="Cambria Math"/>
            <w:sz w:val="22"/>
            <w:szCs w:val="22"/>
          </w:rPr>
          <m:t>I</m:t>
        </m:r>
        <m:r>
          <w:rPr>
            <w:rFonts w:ascii="Cambria Math" w:hAnsi="Cambria Math"/>
            <w:sz w:val="22"/>
            <w:szCs w:val="22"/>
          </w:rPr>
          <m:t>)</m:t>
        </m:r>
      </m:oMath>
    </w:p>
    <w:p w14:paraId="6182C547" w14:textId="77777777" w:rsidR="000C7C5A" w:rsidRPr="00DE0BEB" w:rsidRDefault="00253630" w:rsidP="000C7C5A">
      <w:pPr>
        <w:numPr>
          <w:ilvl w:val="0"/>
          <w:numId w:val="5"/>
        </w:numPr>
        <w:rPr>
          <w:sz w:val="22"/>
          <w:szCs w:val="22"/>
        </w:rPr>
      </w:pPr>
      <m:oMath>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moddev</m:t>
            </m:r>
          </m:sub>
        </m:sSub>
        <m:r>
          <w:rPr>
            <w:rFonts w:ascii="Cambria Math" w:hAnsi="Cambria Math"/>
            <w:sz w:val="22"/>
            <w:szCs w:val="22"/>
          </w:rPr>
          <m:t>=-</m:t>
        </m:r>
        <m:r>
          <w:rPr>
            <w:rFonts w:ascii="Cambria Math" w:hAnsi="Cambria Math"/>
            <w:sz w:val="22"/>
            <w:szCs w:val="22"/>
          </w:rPr>
          <m:t>z</m:t>
        </m:r>
        <m:r>
          <w:rPr>
            <w:rFonts w:ascii="Cambria Math" w:hAnsi="Cambria Math"/>
            <w:sz w:val="22"/>
            <w:szCs w:val="22"/>
          </w:rPr>
          <m:t>(</m:t>
        </m:r>
        <m:r>
          <m:rPr>
            <m:sty m:val="p"/>
          </m:rPr>
          <w:rPr>
            <w:rFonts w:ascii="Cambria Math" w:hAnsi="Cambria Math"/>
            <w:sz w:val="22"/>
            <w:szCs w:val="22"/>
          </w:rPr>
          <m:t>∣</m:t>
        </m:r>
        <m:r>
          <w:rPr>
            <w:rFonts w:ascii="Cambria Math" w:hAnsi="Cambria Math"/>
            <w:sz w:val="22"/>
            <w:szCs w:val="22"/>
          </w:rPr>
          <m:t>M</m:t>
        </m:r>
        <m:r>
          <w:rPr>
            <w:rFonts w:ascii="Cambria Math" w:hAnsi="Cambria Math"/>
            <w:sz w:val="22"/>
            <w:szCs w:val="22"/>
          </w:rPr>
          <m:t>-</m:t>
        </m:r>
        <m:r>
          <w:rPr>
            <w:rFonts w:ascii="Cambria Math" w:hAnsi="Cambria Math"/>
            <w:sz w:val="22"/>
            <w:szCs w:val="22"/>
          </w:rPr>
          <m:t>6</m:t>
        </m:r>
        <m:r>
          <m:rPr>
            <m:sty m:val="p"/>
          </m:rPr>
          <w:rPr>
            <w:rFonts w:ascii="Cambria Math" w:hAnsi="Cambria Math"/>
            <w:sz w:val="22"/>
            <w:szCs w:val="22"/>
          </w:rPr>
          <m:t>∣</m:t>
        </m:r>
        <m:r>
          <w:rPr>
            <w:rFonts w:ascii="Cambria Math" w:hAnsi="Cambria Math"/>
            <w:sz w:val="22"/>
            <w:szCs w:val="22"/>
          </w:rPr>
          <m:t>)</m:t>
        </m:r>
      </m:oMath>
    </w:p>
    <w:p w14:paraId="70D71F57" w14:textId="77777777" w:rsidR="000C7C5A" w:rsidRPr="00DE0BEB" w:rsidRDefault="000C7C5A" w:rsidP="000C7C5A">
      <w:pPr>
        <w:rPr>
          <w:sz w:val="22"/>
          <w:szCs w:val="22"/>
        </w:rPr>
      </w:pPr>
      <w:r w:rsidRPr="00DE0BEB">
        <w:rPr>
          <w:sz w:val="22"/>
          <w:szCs w:val="22"/>
        </w:rPr>
        <w:t xml:space="preserve">A baseline weight vector </w:t>
      </w:r>
      <m:oMath>
        <m:sSub>
          <m:sSubPr>
            <m:ctrlPr>
              <w:rPr>
                <w:rFonts w:ascii="Cambria Math" w:hAnsi="Cambria Math"/>
                <w:sz w:val="22"/>
                <w:szCs w:val="22"/>
              </w:rPr>
            </m:ctrlPr>
          </m:sSubPr>
          <m:e>
            <m:r>
              <m:rPr>
                <m:sty m:val="b"/>
              </m:rPr>
              <w:rPr>
                <w:rFonts w:ascii="Cambria Math" w:hAnsi="Cambria Math"/>
                <w:sz w:val="22"/>
                <w:szCs w:val="22"/>
              </w:rPr>
              <m:t>w</m:t>
            </m:r>
          </m:e>
          <m:sub>
            <m:r>
              <w:rPr>
                <w:rFonts w:ascii="Cambria Math" w:hAnsi="Cambria Math"/>
                <w:sz w:val="22"/>
                <w:szCs w:val="22"/>
              </w:rPr>
              <m:t>0</m:t>
            </m:r>
          </m:sub>
        </m:sSub>
      </m:oMath>
      <w:r w:rsidRPr="00DE0BEB">
        <w:rPr>
          <w:sz w:val="22"/>
          <w:szCs w:val="22"/>
        </w:rPr>
        <w:t>was defined heuristically to reflect the relative importance of stability and structural coherence:</w:t>
      </w:r>
    </w:p>
    <w:p w14:paraId="07DA31B0" w14:textId="77777777" w:rsidR="000C7C5A" w:rsidRPr="00DE0BEB" w:rsidRDefault="00253630" w:rsidP="000C7C5A">
      <w:pPr>
        <w:rPr>
          <w:sz w:val="22"/>
          <w:szCs w:val="22"/>
        </w:rPr>
      </w:pPr>
      <m:oMathPara>
        <m:oMath>
          <m:sSub>
            <m:sSubPr>
              <m:ctrlPr>
                <w:rPr>
                  <w:rFonts w:ascii="Cambria Math" w:hAnsi="Cambria Math"/>
                  <w:sz w:val="22"/>
                  <w:szCs w:val="22"/>
                </w:rPr>
              </m:ctrlPr>
            </m:sSubPr>
            <m:e>
              <m:r>
                <m:rPr>
                  <m:sty m:val="b"/>
                </m:rPr>
                <w:rPr>
                  <w:rFonts w:ascii="Cambria Math" w:hAnsi="Cambria Math"/>
                  <w:sz w:val="22"/>
                  <w:szCs w:val="22"/>
                </w:rPr>
                <m:t>w</m:t>
              </m:r>
            </m:e>
            <m:sub>
              <m:r>
                <w:rPr>
                  <w:rFonts w:ascii="Cambria Math" w:hAnsi="Cambria Math"/>
                  <w:sz w:val="22"/>
                  <w:szCs w:val="22"/>
                </w:rPr>
                <m:t>0</m:t>
              </m:r>
            </m:sub>
          </m:sSub>
          <m:r>
            <w:rPr>
              <w:rFonts w:ascii="Cambria Math" w:hAnsi="Cambria Math"/>
              <w:sz w:val="22"/>
              <w:szCs w:val="22"/>
            </w:rPr>
            <m:t>=(1.00,</m:t>
          </m:r>
          <m:r>
            <m:rPr>
              <m:nor/>
            </m:rPr>
            <w:rPr>
              <w:rFonts w:ascii="Arial" w:hAnsi="Arial" w:cs="Arial"/>
              <w:sz w:val="22"/>
              <w:szCs w:val="22"/>
            </w:rPr>
            <m:t>  </m:t>
          </m:r>
          <m:r>
            <w:rPr>
              <w:rFonts w:ascii="Cambria Math" w:hAnsi="Cambria Math"/>
              <w:sz w:val="22"/>
              <w:szCs w:val="22"/>
            </w:rPr>
            <m:t>0.25,</m:t>
          </m:r>
          <m:r>
            <m:rPr>
              <m:nor/>
            </m:rPr>
            <w:rPr>
              <w:rFonts w:ascii="Arial" w:hAnsi="Arial" w:cs="Arial"/>
              <w:sz w:val="22"/>
              <w:szCs w:val="22"/>
            </w:rPr>
            <m:t>  </m:t>
          </m:r>
          <m:r>
            <w:rPr>
              <w:rFonts w:ascii="Cambria Math" w:hAnsi="Cambria Math"/>
              <w:sz w:val="22"/>
              <w:szCs w:val="22"/>
            </w:rPr>
            <m:t>0.02,</m:t>
          </m:r>
          <m:r>
            <m:rPr>
              <m:nor/>
            </m:rPr>
            <w:rPr>
              <w:rFonts w:ascii="Arial" w:hAnsi="Arial" w:cs="Arial"/>
              <w:sz w:val="22"/>
              <w:szCs w:val="22"/>
            </w:rPr>
            <m:t>  </m:t>
          </m:r>
          <m:r>
            <w:rPr>
              <w:rFonts w:ascii="Cambria Math" w:hAnsi="Cambria Math"/>
              <w:sz w:val="22"/>
              <w:szCs w:val="22"/>
            </w:rPr>
            <m:t>0.001,</m:t>
          </m:r>
          <m:r>
            <m:rPr>
              <m:nor/>
            </m:rPr>
            <w:rPr>
              <w:rFonts w:ascii="Arial" w:hAnsi="Arial" w:cs="Arial"/>
              <w:sz w:val="22"/>
              <w:szCs w:val="22"/>
            </w:rPr>
            <m:t>  </m:t>
          </m:r>
          <m:r>
            <w:rPr>
              <w:rFonts w:ascii="Cambria Math" w:hAnsi="Cambria Math"/>
              <w:sz w:val="22"/>
              <w:szCs w:val="22"/>
            </w:rPr>
            <m:t>0.02)</m:t>
          </m:r>
          <m:r>
            <m:rPr>
              <m:sty m:val="p"/>
            </m:rPr>
            <w:rPr>
              <w:rFonts w:ascii="Cambria Math" w:hAnsi="Cambria Math"/>
              <w:sz w:val="22"/>
              <w:szCs w:val="22"/>
            </w:rPr>
            <w:br/>
          </m:r>
        </m:oMath>
      </m:oMathPara>
    </w:p>
    <w:p w14:paraId="58B0E1C3" w14:textId="52FB6397" w:rsidR="000C7C5A" w:rsidRPr="00DE0BEB" w:rsidRDefault="000C7C5A" w:rsidP="000C7C5A">
      <w:pPr>
        <w:rPr>
          <w:sz w:val="22"/>
          <w:szCs w:val="22"/>
        </w:rPr>
      </w:pPr>
      <w:r w:rsidRPr="00DE0BEB">
        <w:rPr>
          <w:sz w:val="22"/>
          <w:szCs w:val="22"/>
        </w:rPr>
        <w:t>corresponding to</w:t>
      </w:r>
      <w:r>
        <w:rPr>
          <w:sz w:val="22"/>
          <w:szCs w:val="22"/>
        </w:rPr>
        <w:t xml:space="preserve"> </w:t>
      </w:r>
      <m:oMath>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NMI</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ARI</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frag</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isol</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z</m:t>
            </m:r>
          </m:e>
          <m:sub>
            <m:r>
              <m:rPr>
                <m:sty m:val="p"/>
              </m:rPr>
              <w:rPr>
                <w:rFonts w:ascii="Cambria Math" w:hAnsi="Cambria Math"/>
                <w:sz w:val="22"/>
                <w:szCs w:val="22"/>
              </w:rPr>
              <m:t>moddev</m:t>
            </m:r>
          </m:sub>
        </m:sSub>
        <m:r>
          <w:rPr>
            <w:rFonts w:ascii="Cambria Math" w:hAnsi="Cambria Math"/>
            <w:sz w:val="22"/>
            <w:szCs w:val="22"/>
          </w:rPr>
          <m:t>)</m:t>
        </m:r>
      </m:oMath>
      <w:r w:rsidRPr="00DE0BEB">
        <w:rPr>
          <w:sz w:val="22"/>
          <w:szCs w:val="22"/>
        </w:rPr>
        <w:t>.</w:t>
      </w:r>
      <w:r>
        <w:rPr>
          <w:sz w:val="22"/>
          <w:szCs w:val="22"/>
        </w:rPr>
        <w:t xml:space="preserve"> </w:t>
      </w:r>
      <w:r w:rsidR="00662E39">
        <w:rPr>
          <w:sz w:val="22"/>
          <w:szCs w:val="22"/>
        </w:rPr>
        <w:t>T</w:t>
      </w:r>
      <w:r w:rsidRPr="00B777D6">
        <w:rPr>
          <w:sz w:val="22"/>
          <w:szCs w:val="22"/>
        </w:rPr>
        <w:t>he composite score was used solely as a ranking criterion for hyperparameter selection rather than as an optimized objective.</w:t>
      </w:r>
    </w:p>
    <w:p w14:paraId="14D1D1DB" w14:textId="77777777" w:rsidR="000C7C5A" w:rsidRPr="00DE0BEB" w:rsidRDefault="000C7C5A" w:rsidP="000C7C5A">
      <w:pPr>
        <w:rPr>
          <w:sz w:val="22"/>
          <w:szCs w:val="22"/>
        </w:rPr>
      </w:pPr>
      <w:r w:rsidRPr="00DE0BEB">
        <w:rPr>
          <w:sz w:val="22"/>
          <w:szCs w:val="22"/>
        </w:rPr>
        <w:t>To ensure that hyperparameter selection was not overly sensitive to a single weight choice, we evaluated robustness under multiplicative perturbations of the baseline weights:</w:t>
      </w:r>
    </w:p>
    <w:p w14:paraId="506C7422" w14:textId="77777777" w:rsidR="000C7C5A" w:rsidRPr="00DE0BEB" w:rsidRDefault="00253630" w:rsidP="000C7C5A">
      <w:pPr>
        <w:rPr>
          <w:sz w:val="22"/>
          <w:szCs w:val="22"/>
        </w:rPr>
      </w:pPr>
      <m:oMathPara>
        <m:oMath>
          <m:sSubSup>
            <m:sSubSupPr>
              <m:ctrlPr>
                <w:rPr>
                  <w:rFonts w:ascii="Cambria Math" w:hAnsi="Cambria Math"/>
                  <w:sz w:val="22"/>
                  <w:szCs w:val="22"/>
                </w:rPr>
              </m:ctrlPr>
            </m:sSubSupPr>
            <m:e>
              <m:r>
                <w:rPr>
                  <w:rFonts w:ascii="Cambria Math" w:hAnsi="Cambria Math"/>
                  <w:sz w:val="22"/>
                  <w:szCs w:val="22"/>
                </w:rPr>
                <m:t>w</m:t>
              </m:r>
            </m:e>
            <m:sub>
              <m:r>
                <w:rPr>
                  <w:rFonts w:ascii="Cambria Math" w:hAnsi="Cambria Math"/>
                  <w:sz w:val="22"/>
                  <w:szCs w:val="22"/>
                </w:rPr>
                <m:t>j</m:t>
              </m:r>
            </m:sub>
            <m:sup>
              <m:d>
                <m:dPr>
                  <m:ctrlPr>
                    <w:rPr>
                      <w:rFonts w:ascii="Cambria Math" w:hAnsi="Cambria Math"/>
                      <w:sz w:val="22"/>
                      <w:szCs w:val="22"/>
                    </w:rPr>
                  </m:ctrlPr>
                </m:dPr>
                <m:e>
                  <m:r>
                    <w:rPr>
                      <w:rFonts w:ascii="Cambria Math" w:hAnsi="Cambria Math"/>
                      <w:sz w:val="22"/>
                      <w:szCs w:val="22"/>
                    </w:rPr>
                    <m:t>d</m:t>
                  </m:r>
                </m:e>
              </m:d>
            </m:sup>
          </m:sSubSup>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w</m:t>
              </m:r>
            </m:e>
            <m:sub>
              <m:r>
                <w:rPr>
                  <w:rFonts w:ascii="Cambria Math" w:hAnsi="Cambria Math"/>
                  <w:sz w:val="22"/>
                  <w:szCs w:val="22"/>
                </w:rPr>
                <m:t>0</m:t>
              </m:r>
              <m:r>
                <w:rPr>
                  <w:rFonts w:ascii="Cambria Math" w:hAnsi="Cambria Math"/>
                  <w:sz w:val="22"/>
                  <w:szCs w:val="22"/>
                </w:rPr>
                <m:t>j</m:t>
              </m:r>
            </m:sub>
          </m:sSub>
          <m:r>
            <w:rPr>
              <w:rFonts w:ascii="Cambria Math" w:hAnsi="Cambria Math"/>
              <w:sz w:val="22"/>
              <w:szCs w:val="22"/>
            </w:rPr>
            <m:t>⋅</m:t>
          </m:r>
          <m:r>
            <w:rPr>
              <w:rFonts w:ascii="Cambria Math" w:hAnsi="Cambria Math"/>
              <w:sz w:val="22"/>
              <w:szCs w:val="22"/>
            </w:rPr>
            <m:t>(1+</m:t>
          </m:r>
          <m:sSubSup>
            <m:sSubSupPr>
              <m:ctrlPr>
                <w:rPr>
                  <w:rFonts w:ascii="Cambria Math" w:hAnsi="Cambria Math"/>
                  <w:sz w:val="22"/>
                  <w:szCs w:val="22"/>
                </w:rPr>
              </m:ctrlPr>
            </m:sSubSupPr>
            <m:e>
              <m:r>
                <w:rPr>
                  <w:rFonts w:ascii="Cambria Math" w:hAnsi="Cambria Math"/>
                  <w:sz w:val="22"/>
                  <w:szCs w:val="22"/>
                </w:rPr>
                <m:t>u</m:t>
              </m:r>
            </m:e>
            <m:sub>
              <m:r>
                <w:rPr>
                  <w:rFonts w:ascii="Cambria Math" w:hAnsi="Cambria Math"/>
                  <w:sz w:val="22"/>
                  <w:szCs w:val="22"/>
                </w:rPr>
                <m:t>j</m:t>
              </m:r>
            </m:sub>
            <m:sup>
              <m:d>
                <m:dPr>
                  <m:ctrlPr>
                    <w:rPr>
                      <w:rFonts w:ascii="Cambria Math" w:hAnsi="Cambria Math"/>
                      <w:sz w:val="22"/>
                      <w:szCs w:val="22"/>
                    </w:rPr>
                  </m:ctrlPr>
                </m:dPr>
                <m:e>
                  <m:r>
                    <w:rPr>
                      <w:rFonts w:ascii="Cambria Math" w:hAnsi="Cambria Math"/>
                      <w:sz w:val="22"/>
                      <w:szCs w:val="22"/>
                    </w:rPr>
                    <m:t>d</m:t>
                  </m:r>
                </m:e>
              </m:d>
            </m:sup>
          </m:sSubSup>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u</m:t>
              </m:r>
            </m:e>
            <m:sub>
              <m:r>
                <w:rPr>
                  <w:rFonts w:ascii="Cambria Math" w:hAnsi="Cambria Math"/>
                  <w:sz w:val="22"/>
                  <w:szCs w:val="22"/>
                </w:rPr>
                <m:t>j</m:t>
              </m:r>
            </m:sub>
            <m:sup>
              <m:d>
                <m:dPr>
                  <m:ctrlPr>
                    <w:rPr>
                      <w:rFonts w:ascii="Cambria Math" w:hAnsi="Cambria Math"/>
                      <w:sz w:val="22"/>
                      <w:szCs w:val="22"/>
                    </w:rPr>
                  </m:ctrlPr>
                </m:dPr>
                <m:e>
                  <m:r>
                    <w:rPr>
                      <w:rFonts w:ascii="Cambria Math" w:hAnsi="Cambria Math"/>
                      <w:sz w:val="22"/>
                      <w:szCs w:val="22"/>
                    </w:rPr>
                    <m:t>d</m:t>
                  </m:r>
                </m:e>
              </m:d>
            </m:sup>
          </m:sSubSup>
          <m:r>
            <w:rPr>
              <w:rFonts w:ascii="Cambria Math" w:hAnsi="Cambria Math"/>
              <w:sz w:val="22"/>
              <w:szCs w:val="22"/>
            </w:rPr>
            <m:t>∼</m:t>
          </m:r>
          <m:r>
            <m:rPr>
              <m:sty m:val="p"/>
            </m:rPr>
            <w:rPr>
              <w:rFonts w:ascii="Cambria Math" w:hAnsi="Cambria Math"/>
              <w:sz w:val="22"/>
              <w:szCs w:val="22"/>
            </w:rPr>
            <m:t>Uniform</m:t>
          </m:r>
          <m:r>
            <w:rPr>
              <w:rFonts w:ascii="Cambria Math" w:hAnsi="Cambria Math"/>
              <w:sz w:val="22"/>
              <w:szCs w:val="22"/>
            </w:rPr>
            <m:t>(-</m:t>
          </m:r>
          <m:r>
            <w:rPr>
              <w:rFonts w:ascii="Cambria Math" w:hAnsi="Cambria Math"/>
              <w:sz w:val="22"/>
              <w:szCs w:val="22"/>
            </w:rPr>
            <m:t>δ</m:t>
          </m:r>
          <m:r>
            <w:rPr>
              <w:rFonts w:ascii="Cambria Math" w:hAnsi="Cambria Math"/>
              <w:sz w:val="22"/>
              <w:szCs w:val="22"/>
            </w:rPr>
            <m:t>,+</m:t>
          </m:r>
          <m:r>
            <w:rPr>
              <w:rFonts w:ascii="Cambria Math" w:hAnsi="Cambria Math"/>
              <w:sz w:val="22"/>
              <w:szCs w:val="22"/>
            </w:rPr>
            <m:t>δ</m:t>
          </m:r>
          <m:r>
            <w:rPr>
              <w:rFonts w:ascii="Cambria Math" w:hAnsi="Cambria Math"/>
              <w:sz w:val="22"/>
              <w:szCs w:val="22"/>
            </w:rPr>
            <m:t>),</m:t>
          </m:r>
          <m:r>
            <m:rPr>
              <m:sty m:val="p"/>
            </m:rPr>
            <w:rPr>
              <w:rFonts w:ascii="Cambria Math" w:hAnsi="Cambria Math"/>
              <w:sz w:val="22"/>
              <w:szCs w:val="22"/>
            </w:rPr>
            <w:br/>
          </m:r>
        </m:oMath>
      </m:oMathPara>
    </w:p>
    <w:p w14:paraId="6BB01151" w14:textId="77777777" w:rsidR="000C7C5A" w:rsidRDefault="000C7C5A" w:rsidP="000C7C5A">
      <w:pPr>
        <w:rPr>
          <w:sz w:val="22"/>
          <w:szCs w:val="22"/>
        </w:rPr>
      </w:pPr>
      <w:r w:rsidRPr="00DE0BEB">
        <w:rPr>
          <w:sz w:val="22"/>
          <w:szCs w:val="22"/>
        </w:rPr>
        <w:t xml:space="preserve">with </w:t>
      </w:r>
      <m:oMath>
        <m:r>
          <w:rPr>
            <w:rFonts w:ascii="Cambria Math" w:hAnsi="Cambria Math"/>
            <w:sz w:val="22"/>
            <w:szCs w:val="22"/>
          </w:rPr>
          <m:t>δ=0.30</m:t>
        </m:r>
      </m:oMath>
      <w:r w:rsidRPr="00DE0BEB">
        <w:rPr>
          <w:sz w:val="22"/>
          <w:szCs w:val="22"/>
        </w:rPr>
        <w:t>. After perturbation, weights were renormalized to sum to one.</w:t>
      </w:r>
    </w:p>
    <w:p w14:paraId="5C954FE1" w14:textId="77777777" w:rsidR="000C7C5A" w:rsidRPr="00DE0BEB" w:rsidRDefault="000C7C5A" w:rsidP="000C7C5A">
      <w:pPr>
        <w:rPr>
          <w:sz w:val="22"/>
          <w:szCs w:val="22"/>
        </w:rPr>
      </w:pPr>
      <w:r w:rsidRPr="00DE0BEB">
        <w:rPr>
          <w:sz w:val="22"/>
          <w:szCs w:val="22"/>
        </w:rPr>
        <w:t xml:space="preserve">For a given weight vector </w:t>
      </w:r>
      <m:oMath>
        <m:r>
          <m:rPr>
            <m:sty m:val="b"/>
          </m:rPr>
          <w:rPr>
            <w:rFonts w:ascii="Cambria Math" w:hAnsi="Cambria Math"/>
            <w:sz w:val="22"/>
            <w:szCs w:val="22"/>
          </w:rPr>
          <m:t>w</m:t>
        </m:r>
      </m:oMath>
      <w:r w:rsidRPr="00DE0BEB">
        <w:rPr>
          <w:sz w:val="22"/>
          <w:szCs w:val="22"/>
        </w:rPr>
        <w:t xml:space="preserve">, the composite score for configuration </w:t>
      </w:r>
      <m:oMath>
        <m:r>
          <w:rPr>
            <w:rFonts w:ascii="Cambria Math" w:hAnsi="Cambria Math"/>
            <w:sz w:val="22"/>
            <w:szCs w:val="22"/>
          </w:rPr>
          <m:t>i</m:t>
        </m:r>
      </m:oMath>
      <w:r>
        <w:rPr>
          <w:sz w:val="22"/>
          <w:szCs w:val="22"/>
        </w:rPr>
        <w:t xml:space="preserve"> </w:t>
      </w:r>
      <w:r w:rsidRPr="00DE0BEB">
        <w:rPr>
          <w:sz w:val="22"/>
          <w:szCs w:val="22"/>
        </w:rPr>
        <w:t>is:</w:t>
      </w:r>
    </w:p>
    <w:p w14:paraId="67264387" w14:textId="77777777" w:rsidR="000C7C5A" w:rsidRPr="00DE0BEB" w:rsidRDefault="00253630" w:rsidP="000C7C5A">
      <w:pPr>
        <w:rPr>
          <w:sz w:val="22"/>
          <w:szCs w:val="22"/>
        </w:rPr>
      </w:pPr>
      <m:oMathPara>
        <m:oMath>
          <m:sSub>
            <m:sSubPr>
              <m:ctrlPr>
                <w:rPr>
                  <w:rFonts w:ascii="Cambria Math" w:hAnsi="Cambria Math"/>
                  <w:sz w:val="22"/>
                  <w:szCs w:val="22"/>
                </w:rPr>
              </m:ctrlPr>
            </m:sSubPr>
            <m:e>
              <m:r>
                <w:rPr>
                  <w:rFonts w:ascii="Cambria Math" w:hAnsi="Cambria Math"/>
                  <w:sz w:val="22"/>
                  <w:szCs w:val="22"/>
                </w:rPr>
                <m:t>S</m:t>
              </m:r>
            </m:e>
            <m:sub>
              <m:r>
                <w:rPr>
                  <w:rFonts w:ascii="Cambria Math" w:hAnsi="Cambria Math"/>
                  <w:sz w:val="22"/>
                  <w:szCs w:val="22"/>
                </w:rPr>
                <m:t>i</m:t>
              </m:r>
            </m:sub>
          </m:sSub>
          <m:r>
            <w:rPr>
              <w:rFonts w:ascii="Cambria Math" w:hAnsi="Cambria Math"/>
              <w:sz w:val="22"/>
              <w:szCs w:val="22"/>
            </w:rPr>
            <m:t>(</m:t>
          </m:r>
          <m:r>
            <m:rPr>
              <m:sty m:val="b"/>
            </m:rPr>
            <w:rPr>
              <w:rFonts w:ascii="Cambria Math" w:hAnsi="Cambria Math"/>
              <w:sz w:val="22"/>
              <w:szCs w:val="22"/>
            </w:rPr>
            <m:t>w</m:t>
          </m:r>
          <m:r>
            <w:rPr>
              <w:rFonts w:ascii="Cambria Math" w:hAnsi="Cambria Math"/>
              <w:sz w:val="22"/>
              <w:szCs w:val="22"/>
            </w:rPr>
            <m:t>)=</m:t>
          </m:r>
          <m:nary>
            <m:naryPr>
              <m:chr m:val="∑"/>
              <m:limLoc m:val="undOvr"/>
              <m:grow m:val="1"/>
              <m:supHide m:val="1"/>
              <m:ctrlPr>
                <w:rPr>
                  <w:rFonts w:ascii="Cambria Math" w:hAnsi="Cambria Math"/>
                  <w:sz w:val="22"/>
                  <w:szCs w:val="22"/>
                </w:rPr>
              </m:ctrlPr>
            </m:naryPr>
            <m:sub>
              <m:r>
                <w:rPr>
                  <w:rFonts w:ascii="Cambria Math" w:hAnsi="Cambria Math"/>
                  <w:sz w:val="22"/>
                  <w:szCs w:val="22"/>
                </w:rPr>
                <m:t>j</m:t>
              </m:r>
            </m:sub>
            <m:sup/>
            <m:e>
              <m:sSub>
                <m:sSubPr>
                  <m:ctrlPr>
                    <w:rPr>
                      <w:rFonts w:ascii="Cambria Math" w:hAnsi="Cambria Math"/>
                      <w:sz w:val="22"/>
                      <w:szCs w:val="22"/>
                    </w:rPr>
                  </m:ctrlPr>
                </m:sSubPr>
                <m:e>
                  <m:r>
                    <w:rPr>
                      <w:rFonts w:ascii="Cambria Math" w:hAnsi="Cambria Math"/>
                      <w:sz w:val="22"/>
                      <w:szCs w:val="22"/>
                    </w:rPr>
                    <m:t>w</m:t>
                  </m:r>
                </m:e>
                <m:sub>
                  <m:r>
                    <w:rPr>
                      <w:rFonts w:ascii="Cambria Math" w:hAnsi="Cambria Math"/>
                      <w:sz w:val="22"/>
                      <w:szCs w:val="22"/>
                    </w:rPr>
                    <m:t>j</m:t>
                  </m:r>
                </m:sub>
              </m:sSub>
            </m:e>
          </m:nary>
          <m:sSub>
            <m:sSubPr>
              <m:ctrlPr>
                <w:rPr>
                  <w:rFonts w:ascii="Cambria Math" w:hAnsi="Cambria Math"/>
                  <w:sz w:val="22"/>
                  <w:szCs w:val="22"/>
                </w:rPr>
              </m:ctrlPr>
            </m:sSubPr>
            <m:e>
              <m:r>
                <w:rPr>
                  <w:rFonts w:ascii="Cambria Math" w:hAnsi="Cambria Math"/>
                  <w:sz w:val="22"/>
                  <w:szCs w:val="22"/>
                </w:rPr>
                <m:t>z</m:t>
              </m:r>
            </m:e>
            <m:sub>
              <m:r>
                <w:rPr>
                  <w:rFonts w:ascii="Cambria Math" w:hAnsi="Cambria Math"/>
                  <w:sz w:val="22"/>
                  <w:szCs w:val="22"/>
                </w:rPr>
                <m:t>ij</m:t>
              </m:r>
            </m:sub>
          </m:sSub>
          <m:r>
            <m:rPr>
              <m:sty m:val="p"/>
            </m:rPr>
            <w:rPr>
              <w:rFonts w:ascii="Cambria Math" w:hAnsi="Cambria Math"/>
              <w:sz w:val="22"/>
              <w:szCs w:val="22"/>
            </w:rPr>
            <w:br/>
          </m:r>
        </m:oMath>
      </m:oMathPara>
    </w:p>
    <w:p w14:paraId="41F97540" w14:textId="77777777" w:rsidR="000C7C5A" w:rsidRPr="00DE0BEB" w:rsidRDefault="000C7C5A" w:rsidP="000C7C5A">
      <w:pPr>
        <w:rPr>
          <w:sz w:val="22"/>
          <w:szCs w:val="22"/>
        </w:rPr>
      </w:pPr>
      <w:r w:rsidRPr="00DE0BEB">
        <w:rPr>
          <w:sz w:val="22"/>
          <w:szCs w:val="22"/>
        </w:rPr>
        <w:lastRenderedPageBreak/>
        <w:t xml:space="preserve">For each configuration, composite scores were computed across </w:t>
      </w:r>
      <m:oMath>
        <m:r>
          <w:rPr>
            <w:rFonts w:ascii="Cambria Math" w:hAnsi="Cambria Math"/>
            <w:sz w:val="22"/>
            <w:szCs w:val="22"/>
          </w:rPr>
          <m:t>D=500</m:t>
        </m:r>
      </m:oMath>
      <w:r>
        <w:rPr>
          <w:sz w:val="22"/>
          <w:szCs w:val="22"/>
        </w:rPr>
        <w:t xml:space="preserve"> </w:t>
      </w:r>
      <w:r w:rsidRPr="00DE0BEB">
        <w:rPr>
          <w:sz w:val="22"/>
          <w:szCs w:val="22"/>
        </w:rPr>
        <w:t>random re</w:t>
      </w:r>
      <w:r>
        <w:rPr>
          <w:sz w:val="22"/>
          <w:szCs w:val="22"/>
        </w:rPr>
        <w:t>-</w:t>
      </w:r>
      <w:r w:rsidRPr="00DE0BEB">
        <w:rPr>
          <w:sz w:val="22"/>
          <w:szCs w:val="22"/>
        </w:rPr>
        <w:t xml:space="preserve">weightings, yielding a score distribution </w:t>
      </w:r>
      <m:oMath>
        <m:d>
          <m:dPr>
            <m:begChr m:val="{"/>
            <m:endChr m:val=""/>
            <m:ctrlPr>
              <w:rPr>
                <w:rFonts w:ascii="Cambria Math" w:hAnsi="Cambria Math"/>
                <w:sz w:val="22"/>
                <w:szCs w:val="22"/>
              </w:rPr>
            </m:ctrlPr>
          </m:dPr>
          <m:e>
            <m:sSubSup>
              <m:sSubSupPr>
                <m:ctrlPr>
                  <w:rPr>
                    <w:rFonts w:ascii="Cambria Math" w:hAnsi="Cambria Math"/>
                    <w:sz w:val="22"/>
                    <w:szCs w:val="22"/>
                  </w:rPr>
                </m:ctrlPr>
              </m:sSubSupPr>
              <m:e>
                <m:r>
                  <w:rPr>
                    <w:rFonts w:ascii="Cambria Math" w:hAnsi="Cambria Math"/>
                    <w:sz w:val="22"/>
                    <w:szCs w:val="22"/>
                  </w:rPr>
                  <m:t>S</m:t>
                </m:r>
              </m:e>
              <m:sub>
                <m:r>
                  <w:rPr>
                    <w:rFonts w:ascii="Cambria Math" w:hAnsi="Cambria Math"/>
                    <w:sz w:val="22"/>
                    <w:szCs w:val="22"/>
                  </w:rPr>
                  <m:t>i</m:t>
                </m:r>
              </m:sub>
              <m:sup>
                <m:d>
                  <m:dPr>
                    <m:ctrlPr>
                      <w:rPr>
                        <w:rFonts w:ascii="Cambria Math" w:hAnsi="Cambria Math"/>
                        <w:sz w:val="22"/>
                        <w:szCs w:val="22"/>
                      </w:rPr>
                    </m:ctrlPr>
                  </m:dPr>
                  <m:e>
                    <m:r>
                      <w:rPr>
                        <w:rFonts w:ascii="Cambria Math" w:hAnsi="Cambria Math"/>
                        <w:sz w:val="22"/>
                        <w:szCs w:val="22"/>
                      </w:rPr>
                      <m:t>d</m:t>
                    </m:r>
                  </m:e>
                </m:d>
              </m:sup>
            </m:sSubSup>
            <m:sSubSup>
              <m:sSubSupPr>
                <m:ctrlPr>
                  <w:rPr>
                    <w:rFonts w:ascii="Cambria Math" w:hAnsi="Cambria Math"/>
                    <w:sz w:val="22"/>
                    <w:szCs w:val="22"/>
                  </w:rPr>
                </m:ctrlPr>
              </m:sSubSupPr>
              <m:e>
                <m:r>
                  <w:rPr>
                    <w:rFonts w:ascii="Cambria Math" w:hAnsi="Cambria Math"/>
                    <w:sz w:val="22"/>
                    <w:szCs w:val="22"/>
                  </w:rPr>
                  <m:t>}</m:t>
                </m:r>
              </m:e>
              <m:sub>
                <m:r>
                  <w:rPr>
                    <w:rFonts w:ascii="Cambria Math" w:hAnsi="Cambria Math"/>
                    <w:sz w:val="22"/>
                    <w:szCs w:val="22"/>
                  </w:rPr>
                  <m:t>d=1</m:t>
                </m:r>
              </m:sub>
              <m:sup>
                <m:r>
                  <w:rPr>
                    <w:rFonts w:ascii="Cambria Math" w:hAnsi="Cambria Math"/>
                    <w:sz w:val="22"/>
                    <w:szCs w:val="22"/>
                  </w:rPr>
                  <m:t>D</m:t>
                </m:r>
              </m:sup>
            </m:sSubSup>
          </m:e>
        </m:d>
      </m:oMath>
      <w:r w:rsidRPr="00DE0BEB">
        <w:rPr>
          <w:sz w:val="22"/>
          <w:szCs w:val="22"/>
        </w:rPr>
        <w:t>.</w:t>
      </w:r>
    </w:p>
    <w:p w14:paraId="1A13DE9C" w14:textId="77777777" w:rsidR="000C7C5A" w:rsidRPr="00DE0BEB" w:rsidRDefault="000C7C5A" w:rsidP="000C7C5A">
      <w:pPr>
        <w:rPr>
          <w:sz w:val="22"/>
          <w:szCs w:val="22"/>
        </w:rPr>
      </w:pPr>
      <w:r w:rsidRPr="00DE0BEB">
        <w:rPr>
          <w:sz w:val="22"/>
          <w:szCs w:val="22"/>
        </w:rPr>
        <w:t>We summarized robustness using:</w:t>
      </w:r>
    </w:p>
    <w:p w14:paraId="074FCFA8" w14:textId="77777777" w:rsidR="000C7C5A" w:rsidRPr="00DE0BEB" w:rsidRDefault="000C7C5A" w:rsidP="000C7C5A">
      <w:pPr>
        <w:numPr>
          <w:ilvl w:val="0"/>
          <w:numId w:val="6"/>
        </w:numPr>
        <w:rPr>
          <w:sz w:val="22"/>
          <w:szCs w:val="22"/>
        </w:rPr>
      </w:pPr>
      <m:oMath>
        <m:r>
          <m:rPr>
            <m:sty m:val="p"/>
          </m:rPr>
          <w:rPr>
            <w:rFonts w:ascii="Cambria Math" w:hAnsi="Cambria Math"/>
            <w:sz w:val="22"/>
            <w:szCs w:val="22"/>
          </w:rPr>
          <m:t>score_mean</m:t>
        </m:r>
        <m:r>
          <w:rPr>
            <w:rFonts w:ascii="Cambria Math" w:hAnsi="Cambria Math"/>
            <w:sz w:val="22"/>
            <w:szCs w:val="22"/>
          </w:rPr>
          <m:t>=</m:t>
        </m:r>
        <m:sSub>
          <m:sSubPr>
            <m:ctrlPr>
              <w:rPr>
                <w:rFonts w:ascii="Cambria Math" w:hAnsi="Cambria Math"/>
                <w:sz w:val="22"/>
                <w:szCs w:val="22"/>
              </w:rPr>
            </m:ctrlPr>
          </m:sSubPr>
          <m:e>
            <m:r>
              <m:rPr>
                <m:scr m:val="double-struck"/>
                <m:sty m:val="p"/>
              </m:rPr>
              <w:rPr>
                <w:rFonts w:ascii="Cambria Math" w:hAnsi="Cambria Math"/>
                <w:sz w:val="22"/>
                <w:szCs w:val="22"/>
              </w:rPr>
              <m:t>E</m:t>
            </m:r>
          </m:e>
          <m:sub>
            <m:r>
              <w:rPr>
                <w:rFonts w:ascii="Cambria Math" w:hAnsi="Cambria Math"/>
                <w:sz w:val="22"/>
                <w:szCs w:val="22"/>
              </w:rPr>
              <m:t>d</m:t>
            </m:r>
          </m:sub>
        </m:sSub>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S</m:t>
            </m:r>
          </m:e>
          <m:sub>
            <m:r>
              <w:rPr>
                <w:rFonts w:ascii="Cambria Math" w:hAnsi="Cambria Math"/>
                <w:sz w:val="22"/>
                <w:szCs w:val="22"/>
              </w:rPr>
              <m:t>i</m:t>
            </m:r>
          </m:sub>
          <m:sup>
            <m:d>
              <m:dPr>
                <m:ctrlPr>
                  <w:rPr>
                    <w:rFonts w:ascii="Cambria Math" w:hAnsi="Cambria Math"/>
                    <w:sz w:val="22"/>
                    <w:szCs w:val="22"/>
                  </w:rPr>
                </m:ctrlPr>
              </m:dPr>
              <m:e>
                <m:r>
                  <w:rPr>
                    <w:rFonts w:ascii="Cambria Math" w:hAnsi="Cambria Math"/>
                    <w:sz w:val="22"/>
                    <w:szCs w:val="22"/>
                  </w:rPr>
                  <m:t>d</m:t>
                </m:r>
              </m:e>
            </m:d>
          </m:sup>
        </m:sSubSup>
        <m:r>
          <w:rPr>
            <w:rFonts w:ascii="Cambria Math" w:hAnsi="Cambria Math"/>
            <w:sz w:val="22"/>
            <w:szCs w:val="22"/>
          </w:rPr>
          <m:t>]</m:t>
        </m:r>
      </m:oMath>
    </w:p>
    <w:p w14:paraId="1BDE105D" w14:textId="77777777" w:rsidR="000C7C5A" w:rsidRPr="00DE0BEB" w:rsidRDefault="000C7C5A" w:rsidP="000C7C5A">
      <w:pPr>
        <w:numPr>
          <w:ilvl w:val="0"/>
          <w:numId w:val="6"/>
        </w:numPr>
        <w:rPr>
          <w:sz w:val="22"/>
          <w:szCs w:val="22"/>
        </w:rPr>
      </w:pPr>
      <m:oMath>
        <m:r>
          <m:rPr>
            <m:sty m:val="p"/>
          </m:rPr>
          <w:rPr>
            <w:rFonts w:ascii="Cambria Math" w:hAnsi="Cambria Math"/>
            <w:sz w:val="22"/>
            <w:szCs w:val="22"/>
          </w:rPr>
          <m:t>score_p</m:t>
        </m:r>
        <m:r>
          <w:rPr>
            <w:rFonts w:ascii="Cambria Math" w:hAnsi="Cambria Math"/>
            <w:sz w:val="22"/>
            <w:szCs w:val="22"/>
          </w:rPr>
          <m:t>10=</m:t>
        </m:r>
        <m:sSub>
          <m:sSubPr>
            <m:ctrlPr>
              <w:rPr>
                <w:rFonts w:ascii="Cambria Math" w:hAnsi="Cambria Math"/>
                <w:sz w:val="22"/>
                <w:szCs w:val="22"/>
              </w:rPr>
            </m:ctrlPr>
          </m:sSubPr>
          <m:e>
            <m:r>
              <w:rPr>
                <w:rFonts w:ascii="Cambria Math" w:hAnsi="Cambria Math"/>
                <w:sz w:val="22"/>
                <w:szCs w:val="22"/>
              </w:rPr>
              <m:t>10</m:t>
            </m:r>
            <m:r>
              <m:rPr>
                <m:sty m:val="p"/>
              </m:rPr>
              <w:rPr>
                <w:rFonts w:ascii="Cambria Math" w:hAnsi="Cambria Math"/>
                <w:sz w:val="22"/>
                <w:szCs w:val="22"/>
              </w:rPr>
              <m:t>th</m:t>
            </m:r>
            <m:r>
              <m:rPr>
                <m:nor/>
              </m:rPr>
              <w:rPr>
                <w:sz w:val="22"/>
                <w:szCs w:val="22"/>
              </w:rPr>
              <m:t xml:space="preserve"> percentile</m:t>
            </m:r>
          </m:e>
          <m:sub>
            <m:r>
              <w:rPr>
                <w:rFonts w:ascii="Cambria Math" w:hAnsi="Cambria Math"/>
                <w:sz w:val="22"/>
                <w:szCs w:val="22"/>
              </w:rPr>
              <m:t>d</m:t>
            </m:r>
          </m:sub>
        </m:sSub>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S</m:t>
            </m:r>
          </m:e>
          <m:sub>
            <m:r>
              <w:rPr>
                <w:rFonts w:ascii="Cambria Math" w:hAnsi="Cambria Math"/>
                <w:sz w:val="22"/>
                <w:szCs w:val="22"/>
              </w:rPr>
              <m:t>i</m:t>
            </m:r>
          </m:sub>
          <m:sup>
            <m:d>
              <m:dPr>
                <m:ctrlPr>
                  <w:rPr>
                    <w:rFonts w:ascii="Cambria Math" w:hAnsi="Cambria Math"/>
                    <w:sz w:val="22"/>
                    <w:szCs w:val="22"/>
                  </w:rPr>
                </m:ctrlPr>
              </m:dPr>
              <m:e>
                <m:r>
                  <w:rPr>
                    <w:rFonts w:ascii="Cambria Math" w:hAnsi="Cambria Math"/>
                    <w:sz w:val="22"/>
                    <w:szCs w:val="22"/>
                  </w:rPr>
                  <m:t>d</m:t>
                </m:r>
              </m:e>
            </m:d>
          </m:sup>
        </m:sSubSup>
        <m:r>
          <w:rPr>
            <w:rFonts w:ascii="Cambria Math" w:hAnsi="Cambria Math"/>
            <w:sz w:val="22"/>
            <w:szCs w:val="22"/>
          </w:rPr>
          <m:t>)</m:t>
        </m:r>
      </m:oMath>
    </w:p>
    <w:p w14:paraId="31267955" w14:textId="77777777" w:rsidR="000C7C5A" w:rsidRPr="00DE0BEB" w:rsidRDefault="000C7C5A" w:rsidP="000C7C5A">
      <w:pPr>
        <w:numPr>
          <w:ilvl w:val="0"/>
          <w:numId w:val="6"/>
        </w:numPr>
        <w:rPr>
          <w:sz w:val="22"/>
          <w:szCs w:val="22"/>
        </w:rPr>
      </w:pPr>
      <w:r>
        <w:rPr>
          <w:sz w:val="22"/>
          <w:szCs w:val="22"/>
        </w:rPr>
        <w:t>W</w:t>
      </w:r>
      <w:r w:rsidRPr="00DE0BEB">
        <w:rPr>
          <w:sz w:val="22"/>
          <w:szCs w:val="22"/>
        </w:rPr>
        <w:t>in-rate</w:t>
      </w:r>
      <w:r w:rsidRPr="00BE1490">
        <w:rPr>
          <w:sz w:val="22"/>
          <w:szCs w:val="22"/>
        </w:rPr>
        <w:t>, defined as the proportion of weight perturbation draws in which a configuration achieved the highest composite score across all candidate</w:t>
      </w:r>
      <w:r>
        <w:rPr>
          <w:sz w:val="22"/>
          <w:szCs w:val="22"/>
        </w:rPr>
        <w:t xml:space="preserve"> hyperparameter settings.</w:t>
      </w:r>
    </w:p>
    <w:p w14:paraId="60D6CFC8" w14:textId="2C09788A" w:rsidR="008C208E" w:rsidRPr="008E68E1" w:rsidRDefault="000C7C5A" w:rsidP="000C7C5A">
      <w:pPr>
        <w:rPr>
          <w:sz w:val="22"/>
          <w:szCs w:val="22"/>
        </w:rPr>
      </w:pPr>
      <w:r w:rsidRPr="00DE0BEB">
        <w:rPr>
          <w:sz w:val="22"/>
          <w:szCs w:val="22"/>
        </w:rPr>
        <w:t xml:space="preserve">Configurations were ranked primarily by </w:t>
      </w:r>
      <w:r w:rsidRPr="00C76462">
        <w:rPr>
          <w:rFonts w:ascii="Cambria Math" w:hAnsi="Cambria Math" w:cs="Calibri"/>
          <w:sz w:val="22"/>
          <w:szCs w:val="22"/>
        </w:rPr>
        <w:t>score_p10</w:t>
      </w:r>
      <w:r w:rsidRPr="00DE0BEB">
        <w:rPr>
          <w:sz w:val="22"/>
          <w:szCs w:val="22"/>
        </w:rPr>
        <w:t xml:space="preserve"> (conservative robustness criterion), with </w:t>
      </w:r>
      <w:r w:rsidRPr="001F6472">
        <w:rPr>
          <w:rFonts w:ascii="Cambria Math" w:hAnsi="Cambria Math" w:cs="Times New Roman"/>
          <w:sz w:val="22"/>
          <w:szCs w:val="22"/>
        </w:rPr>
        <w:t>score_mean</w:t>
      </w:r>
      <w:r w:rsidRPr="00DE0BEB">
        <w:rPr>
          <w:sz w:val="22"/>
          <w:szCs w:val="22"/>
        </w:rPr>
        <w:t xml:space="preserve"> and win-rate used as secondary</w:t>
      </w:r>
      <w:r>
        <w:rPr>
          <w:sz w:val="22"/>
          <w:szCs w:val="22"/>
        </w:rPr>
        <w:t xml:space="preserve"> and third</w:t>
      </w:r>
      <w:r w:rsidRPr="00DE0BEB">
        <w:rPr>
          <w:sz w:val="22"/>
          <w:szCs w:val="22"/>
        </w:rPr>
        <w:t xml:space="preserve"> tiebreakers</w:t>
      </w:r>
      <w:r>
        <w:rPr>
          <w:sz w:val="22"/>
          <w:szCs w:val="22"/>
        </w:rPr>
        <w:t>, respectively</w:t>
      </w:r>
      <w:r w:rsidRPr="00DE0BEB">
        <w:rPr>
          <w:sz w:val="22"/>
          <w:szCs w:val="22"/>
        </w:rPr>
        <w:t>. The top-ranked configuration was selected for downstream interpretation.</w:t>
      </w:r>
    </w:p>
    <w:p w14:paraId="70EF7F5B" w14:textId="2FFD77E6" w:rsidR="00E07B87" w:rsidRPr="004F6EBD" w:rsidRDefault="00E07B87" w:rsidP="00E07B87">
      <w:pPr>
        <w:rPr>
          <w:b/>
          <w:bCs/>
        </w:rPr>
      </w:pPr>
      <w:r w:rsidRPr="004F6EBD">
        <w:rPr>
          <w:b/>
          <w:bCs/>
        </w:rPr>
        <w:t>Threshold tuning for module-wise pathway association analysis</w:t>
      </w:r>
    </w:p>
    <w:p w14:paraId="2EF5B794" w14:textId="77777777" w:rsidR="00E07B87" w:rsidRPr="008E68E1" w:rsidRDefault="00E07B87" w:rsidP="00E07B87">
      <w:pPr>
        <w:rPr>
          <w:sz w:val="22"/>
          <w:szCs w:val="22"/>
        </w:rPr>
      </w:pPr>
      <w:r w:rsidRPr="008E68E1">
        <w:rPr>
          <w:sz w:val="22"/>
          <w:szCs w:val="22"/>
        </w:rPr>
        <w:t>To prioritize robust and non-trivial module–pathway relationships, we introduced three screening thresholds to control pathway inclusion and selected their final values independently for each skeletal site via grid search.</w:t>
      </w:r>
    </w:p>
    <w:p w14:paraId="23906EFA" w14:textId="04AE8481" w:rsidR="00E07B87" w:rsidRPr="008E68E1" w:rsidRDefault="00E07B87" w:rsidP="00E07B87">
      <w:pPr>
        <w:rPr>
          <w:sz w:val="22"/>
          <w:szCs w:val="22"/>
        </w:rPr>
      </w:pPr>
      <w:r w:rsidRPr="008E68E1">
        <w:rPr>
          <w:sz w:val="22"/>
          <w:szCs w:val="22"/>
        </w:rPr>
        <w:t xml:space="preserve">To ensure that retained pathways were sufficiently present across subjects, we filtered candidate pathways using HUMAnN2 pathway coverage </w:t>
      </w:r>
      <w:r w:rsidRPr="008E68E1">
        <w:rPr>
          <w:sz w:val="22"/>
          <w:szCs w:val="22"/>
        </w:rPr>
        <w:fldChar w:fldCharType="begin"/>
      </w:r>
      <w:r w:rsidR="00B97E89">
        <w:rPr>
          <w:sz w:val="22"/>
          <w:szCs w:val="22"/>
        </w:rPr>
        <w:instrText xml:space="preserve"> ADDIN EN.CITE &lt;EndNote&gt;&lt;Cite&gt;&lt;Author&gt;Franzosa&lt;/Author&gt;&lt;Year&gt;2018&lt;/Year&gt;&lt;RecNum&gt;39&lt;/RecNum&gt;&lt;DisplayText&gt;[29]&lt;/DisplayText&gt;&lt;record&gt;&lt;rec-number&gt;39&lt;/rec-number&gt;&lt;foreign-keys&gt;&lt;key app="EN" db-id="pxw5p9exs29tsnea0afp092b5s22ez9rxvdw" timestamp="1769016938"&gt;39&lt;/key&gt;&lt;/foreign-keys&gt;&lt;ref-type name="Journal Article"&gt;17&lt;/ref-type&gt;&lt;contributors&gt;&lt;authors&gt;&lt;author&gt;Franzosa, Eric A&lt;/author&gt;&lt;author&gt;McIver, Lauren J&lt;/author&gt;&lt;author&gt;Rahnavard, Gholamali&lt;/author&gt;&lt;author&gt;Thompson, Luke R&lt;/author&gt;&lt;author&gt;Schirmer, Melanie&lt;/author&gt;&lt;author&gt;Weingart, George&lt;/author&gt;&lt;author&gt;Lipson, Karen Schwarzberg&lt;/author&gt;&lt;author&gt;Knight, Rob&lt;/author&gt;&lt;author&gt;Caporaso, J Gregory&lt;/author&gt;&lt;author&gt;Segata, Nicola&lt;/author&gt;&lt;/authors&gt;&lt;/contributors&gt;&lt;titles&gt;&lt;title&gt;Species-level functional profiling of metagenomes and metatranscriptomes&lt;/title&gt;&lt;secondary-title&gt;Nature methods&lt;/secondary-title&gt;&lt;/titles&gt;&lt;periodical&gt;&lt;full-title&gt;Nature methods&lt;/full-title&gt;&lt;/periodical&gt;&lt;pages&gt;962-968&lt;/pages&gt;&lt;volume&gt;15&lt;/volume&gt;&lt;number&gt;11&lt;/number&gt;&lt;dates&gt;&lt;year&gt;2018&lt;/year&gt;&lt;/dates&gt;&lt;isbn&gt;1548-7091&lt;/isbn&gt;&lt;urls&gt;&lt;/urls&gt;&lt;/record&gt;&lt;/Cite&gt;&lt;/EndNote&gt;</w:instrText>
      </w:r>
      <w:r w:rsidRPr="008E68E1">
        <w:rPr>
          <w:sz w:val="22"/>
          <w:szCs w:val="22"/>
        </w:rPr>
        <w:fldChar w:fldCharType="separate"/>
      </w:r>
      <w:r w:rsidR="00A136CC" w:rsidRPr="008E68E1">
        <w:rPr>
          <w:noProof/>
          <w:sz w:val="22"/>
          <w:szCs w:val="22"/>
        </w:rPr>
        <w:t>[29]</w:t>
      </w:r>
      <w:r w:rsidRPr="008E68E1">
        <w:rPr>
          <w:sz w:val="22"/>
          <w:szCs w:val="22"/>
        </w:rPr>
        <w:fldChar w:fldCharType="end"/>
      </w:r>
      <w:r w:rsidRPr="008E68E1">
        <w:rPr>
          <w:sz w:val="22"/>
          <w:szCs w:val="22"/>
        </w:rPr>
        <w:t>. For each module–pathway pair, we computed a coverage prevalence statistic:</w:t>
      </w:r>
    </w:p>
    <w:p w14:paraId="76FE27DC" w14:textId="77777777" w:rsidR="00E07B87" w:rsidRPr="008E68E1" w:rsidRDefault="00E07B87" w:rsidP="00E07B87">
      <w:pPr>
        <w:numPr>
          <w:ilvl w:val="0"/>
          <w:numId w:val="1"/>
        </w:numPr>
        <w:rPr>
          <w:sz w:val="22"/>
          <w:szCs w:val="22"/>
        </w:rPr>
      </w:pPr>
      <w:r w:rsidRPr="008E68E1">
        <w:rPr>
          <w:sz w:val="22"/>
          <w:szCs w:val="22"/>
        </w:rPr>
        <w:t xml:space="preserve">For each subject, a pathway was considered “covered” if its module-level aggregated pathway coverage (see Methods) was at least </w:t>
      </w:r>
      <w:r w:rsidRPr="008E68E1">
        <w:rPr>
          <w:i/>
          <w:iCs/>
          <w:sz w:val="22"/>
          <w:szCs w:val="22"/>
        </w:rPr>
        <w:t>cov_thr</w:t>
      </w:r>
      <w:r w:rsidRPr="008E68E1">
        <w:rPr>
          <w:sz w:val="22"/>
          <w:szCs w:val="22"/>
        </w:rPr>
        <w:t>.</w:t>
      </w:r>
    </w:p>
    <w:p w14:paraId="0F4C2839" w14:textId="77777777" w:rsidR="00E07B87" w:rsidRPr="008E68E1" w:rsidRDefault="00E07B87" w:rsidP="00E07B87">
      <w:pPr>
        <w:numPr>
          <w:ilvl w:val="0"/>
          <w:numId w:val="1"/>
        </w:numPr>
        <w:rPr>
          <w:sz w:val="22"/>
          <w:szCs w:val="22"/>
        </w:rPr>
      </w:pPr>
      <w:r w:rsidRPr="008E68E1">
        <w:rPr>
          <w:sz w:val="22"/>
          <w:szCs w:val="22"/>
        </w:rPr>
        <w:t>Prevalence was defined as the fraction of subjects meeting this criterion.</w:t>
      </w:r>
      <w:r w:rsidRPr="008E68E1">
        <w:rPr>
          <w:sz w:val="22"/>
          <w:szCs w:val="22"/>
        </w:rPr>
        <w:br/>
        <w:t xml:space="preserve">Pairs were retained only if prevalence ≥ </w:t>
      </w:r>
      <w:r w:rsidRPr="008E68E1">
        <w:rPr>
          <w:i/>
          <w:iCs/>
          <w:sz w:val="22"/>
          <w:szCs w:val="22"/>
        </w:rPr>
        <w:t>prev_thr</w:t>
      </w:r>
      <w:r w:rsidRPr="008E68E1">
        <w:rPr>
          <w:sz w:val="22"/>
          <w:szCs w:val="22"/>
        </w:rPr>
        <w:t xml:space="preserve">. In other words, pathways were required to have coverage ≥ </w:t>
      </w:r>
      <w:r w:rsidRPr="008E68E1">
        <w:rPr>
          <w:i/>
          <w:iCs/>
          <w:sz w:val="22"/>
          <w:szCs w:val="22"/>
        </w:rPr>
        <w:t>cov_thr</w:t>
      </w:r>
      <w:r w:rsidRPr="008E68E1">
        <w:rPr>
          <w:sz w:val="22"/>
          <w:szCs w:val="22"/>
        </w:rPr>
        <w:t xml:space="preserve"> in at least </w:t>
      </w:r>
      <w:r w:rsidRPr="008E68E1">
        <w:rPr>
          <w:i/>
          <w:iCs/>
          <w:sz w:val="22"/>
          <w:szCs w:val="22"/>
        </w:rPr>
        <w:t>prev_thr</w:t>
      </w:r>
      <w:r w:rsidRPr="008E68E1">
        <w:rPr>
          <w:sz w:val="22"/>
          <w:szCs w:val="22"/>
        </w:rPr>
        <w:t xml:space="preserve"> × 100% of subjects.</w:t>
      </w:r>
    </w:p>
    <w:p w14:paraId="77AFCB93" w14:textId="77777777" w:rsidR="00E07B87" w:rsidRPr="008E68E1" w:rsidRDefault="00E07B87" w:rsidP="00E07B87">
      <w:pPr>
        <w:rPr>
          <w:sz w:val="22"/>
          <w:szCs w:val="22"/>
        </w:rPr>
      </w:pPr>
      <w:r w:rsidRPr="008E68E1">
        <w:rPr>
          <w:sz w:val="22"/>
          <w:szCs w:val="22"/>
        </w:rPr>
        <w:t xml:space="preserve">After prevalence filtering, we removed weak associations by requiring |Spearman ρ| ≥ </w:t>
      </w:r>
      <w:r w:rsidRPr="008E68E1">
        <w:rPr>
          <w:i/>
          <w:iCs/>
          <w:sz w:val="22"/>
          <w:szCs w:val="22"/>
        </w:rPr>
        <w:t>min_abs_rho</w:t>
      </w:r>
      <w:r w:rsidRPr="008E68E1">
        <w:rPr>
          <w:sz w:val="22"/>
          <w:szCs w:val="22"/>
        </w:rPr>
        <w:t>.</w:t>
      </w:r>
    </w:p>
    <w:p w14:paraId="6006A30D" w14:textId="6DE9E98B" w:rsidR="00E07B87" w:rsidRPr="008E68E1" w:rsidRDefault="00E07B87" w:rsidP="00E07B87">
      <w:pPr>
        <w:rPr>
          <w:sz w:val="22"/>
          <w:szCs w:val="22"/>
        </w:rPr>
      </w:pPr>
      <w:r w:rsidRPr="008E68E1">
        <w:rPr>
          <w:sz w:val="22"/>
          <w:szCs w:val="22"/>
        </w:rPr>
        <w:t>We performed a grid search over candidate</w:t>
      </w:r>
      <w:r w:rsidR="00ED074A">
        <w:rPr>
          <w:sz w:val="22"/>
          <w:szCs w:val="22"/>
        </w:rPr>
        <w:t xml:space="preserve"> threshold</w:t>
      </w:r>
      <w:r w:rsidRPr="008E68E1">
        <w:rPr>
          <w:sz w:val="22"/>
          <w:szCs w:val="22"/>
        </w:rPr>
        <w:t xml:space="preserve"> values:</w:t>
      </w:r>
    </w:p>
    <w:p w14:paraId="79AA20DB" w14:textId="77777777" w:rsidR="00E07B87" w:rsidRPr="008E68E1" w:rsidRDefault="00E07B87" w:rsidP="00E07B87">
      <w:pPr>
        <w:numPr>
          <w:ilvl w:val="0"/>
          <w:numId w:val="2"/>
        </w:numPr>
        <w:rPr>
          <w:sz w:val="22"/>
          <w:szCs w:val="22"/>
        </w:rPr>
      </w:pPr>
      <w:r w:rsidRPr="008E68E1">
        <w:rPr>
          <w:i/>
          <w:iCs/>
          <w:sz w:val="22"/>
          <w:szCs w:val="22"/>
        </w:rPr>
        <w:t>cov_thr</w:t>
      </w:r>
      <w:r w:rsidRPr="008E68E1">
        <w:rPr>
          <w:sz w:val="22"/>
          <w:szCs w:val="22"/>
        </w:rPr>
        <w:t xml:space="preserve"> </w:t>
      </w:r>
      <w:r w:rsidRPr="008E68E1">
        <w:rPr>
          <w:rFonts w:ascii="Cambria Math" w:hAnsi="Cambria Math" w:cs="Cambria Math"/>
          <w:sz w:val="22"/>
          <w:szCs w:val="22"/>
        </w:rPr>
        <w:t>∈</w:t>
      </w:r>
      <w:r w:rsidRPr="008E68E1">
        <w:rPr>
          <w:sz w:val="22"/>
          <w:szCs w:val="22"/>
        </w:rPr>
        <w:t xml:space="preserve"> {0.05, 0.10, 0.20, 0.30}</w:t>
      </w:r>
    </w:p>
    <w:p w14:paraId="0EBB6A6C" w14:textId="77777777" w:rsidR="00E07B87" w:rsidRPr="008E68E1" w:rsidRDefault="00E07B87" w:rsidP="00E07B87">
      <w:pPr>
        <w:numPr>
          <w:ilvl w:val="0"/>
          <w:numId w:val="2"/>
        </w:numPr>
        <w:rPr>
          <w:sz w:val="22"/>
          <w:szCs w:val="22"/>
        </w:rPr>
      </w:pPr>
      <w:r w:rsidRPr="008E68E1">
        <w:rPr>
          <w:i/>
          <w:iCs/>
          <w:sz w:val="22"/>
          <w:szCs w:val="22"/>
        </w:rPr>
        <w:t>prev_thr</w:t>
      </w:r>
      <w:r w:rsidRPr="008E68E1">
        <w:rPr>
          <w:sz w:val="22"/>
          <w:szCs w:val="22"/>
        </w:rPr>
        <w:t xml:space="preserve"> </w:t>
      </w:r>
      <w:r w:rsidRPr="008E68E1">
        <w:rPr>
          <w:rFonts w:ascii="Cambria Math" w:hAnsi="Cambria Math" w:cs="Cambria Math"/>
          <w:sz w:val="22"/>
          <w:szCs w:val="22"/>
        </w:rPr>
        <w:t>∈</w:t>
      </w:r>
      <w:r w:rsidRPr="008E68E1">
        <w:rPr>
          <w:sz w:val="22"/>
          <w:szCs w:val="22"/>
        </w:rPr>
        <w:t xml:space="preserve"> {0.30, 0.50, 0.70}</w:t>
      </w:r>
    </w:p>
    <w:p w14:paraId="46EE6443" w14:textId="3354320C" w:rsidR="00E07B87" w:rsidRPr="008E68E1" w:rsidRDefault="00E07B87" w:rsidP="00E07B87">
      <w:pPr>
        <w:numPr>
          <w:ilvl w:val="0"/>
          <w:numId w:val="2"/>
        </w:numPr>
        <w:rPr>
          <w:sz w:val="22"/>
          <w:szCs w:val="22"/>
        </w:rPr>
      </w:pPr>
      <w:r w:rsidRPr="008E68E1">
        <w:rPr>
          <w:i/>
          <w:iCs/>
          <w:sz w:val="22"/>
          <w:szCs w:val="22"/>
        </w:rPr>
        <w:t>min_abs_rho</w:t>
      </w:r>
      <w:r w:rsidRPr="008E68E1">
        <w:rPr>
          <w:sz w:val="22"/>
          <w:szCs w:val="22"/>
        </w:rPr>
        <w:t xml:space="preserve"> </w:t>
      </w:r>
      <w:r w:rsidRPr="008E68E1">
        <w:rPr>
          <w:rFonts w:ascii="Cambria Math" w:hAnsi="Cambria Math" w:cs="Cambria Math"/>
          <w:sz w:val="22"/>
          <w:szCs w:val="22"/>
        </w:rPr>
        <w:t>∈</w:t>
      </w:r>
      <w:r w:rsidRPr="008E68E1">
        <w:rPr>
          <w:sz w:val="22"/>
          <w:szCs w:val="22"/>
        </w:rPr>
        <w:t xml:space="preserve"> {0.10, 0.15, 0.20}</w:t>
      </w:r>
    </w:p>
    <w:p w14:paraId="42892C91" w14:textId="34363AE1" w:rsidR="00E07B87" w:rsidRPr="008E68E1" w:rsidRDefault="00E07B87" w:rsidP="00E07B87">
      <w:pPr>
        <w:rPr>
          <w:sz w:val="22"/>
          <w:szCs w:val="22"/>
        </w:rPr>
      </w:pPr>
      <w:r w:rsidRPr="008E68E1">
        <w:rPr>
          <w:sz w:val="22"/>
          <w:szCs w:val="22"/>
        </w:rPr>
        <w:t>For each skeletal site and each configuration, we generated the retained module–pathway set after coverage–prevalence filtering, minimum-|ρ| filtering, and within-module FDR control. Because computing bootstrap stability</w:t>
      </w:r>
      <w:r w:rsidR="00A34C53">
        <w:rPr>
          <w:sz w:val="22"/>
          <w:szCs w:val="22"/>
        </w:rPr>
        <w:t xml:space="preserve"> (see Methods)</w:t>
      </w:r>
      <w:r w:rsidRPr="008E68E1">
        <w:rPr>
          <w:sz w:val="22"/>
          <w:szCs w:val="22"/>
        </w:rPr>
        <w:t xml:space="preserve"> for all retained pairs can be computationally intensive, stability was estimated on a representative subset consisting of the top 10 retained pathways per module, ranked by FDR q-value (ascending) and then by |ρ| (descending) for ties. For </w:t>
      </w:r>
      <w:r w:rsidRPr="008E68E1">
        <w:rPr>
          <w:sz w:val="22"/>
          <w:szCs w:val="22"/>
        </w:rPr>
        <w:lastRenderedPageBreak/>
        <w:t>these top-ranked pairs, we computed bootstrap stability and summarized robustness using the median and mean stability across the subset.</w:t>
      </w:r>
    </w:p>
    <w:p w14:paraId="237F826E" w14:textId="352EC888" w:rsidR="00E07B87" w:rsidRPr="008E68E1" w:rsidRDefault="00E07B87" w:rsidP="00E07B87">
      <w:pPr>
        <w:rPr>
          <w:sz w:val="22"/>
          <w:szCs w:val="22"/>
        </w:rPr>
      </w:pPr>
      <w:r w:rsidRPr="008E68E1">
        <w:rPr>
          <w:sz w:val="22"/>
          <w:szCs w:val="22"/>
        </w:rPr>
        <w:t>Candidate configurations were compared based on (i) high stability among top-ranked module–pathway pairs and (ii) yielding a sufficiently sized set</w:t>
      </w:r>
      <w:r w:rsidR="00BD4390">
        <w:rPr>
          <w:sz w:val="22"/>
          <w:szCs w:val="22"/>
        </w:rPr>
        <w:t xml:space="preserve"> </w:t>
      </w:r>
      <w:r w:rsidRPr="008E68E1">
        <w:rPr>
          <w:sz w:val="22"/>
          <w:szCs w:val="22"/>
        </w:rPr>
        <w:t>of retained associations for interpretation, thereby avoiding overly stringent settings that discard the majority of candidate associations and overly permissive settings that introduce excessive noise.</w:t>
      </w:r>
    </w:p>
    <w:p w14:paraId="77DB8F8A" w14:textId="77777777" w:rsidR="00E07B87" w:rsidRDefault="00E07B87"/>
    <w:p w14:paraId="7730DD90" w14:textId="77777777" w:rsidR="007D7329" w:rsidRDefault="007D7329"/>
    <w:p w14:paraId="2A36A40F" w14:textId="77777777" w:rsidR="007D7329" w:rsidRDefault="007D7329"/>
    <w:p w14:paraId="1FC39797" w14:textId="77777777" w:rsidR="007D7329" w:rsidRDefault="007D7329"/>
    <w:p w14:paraId="08DAE061" w14:textId="77777777" w:rsidR="007D7329" w:rsidRDefault="007D7329"/>
    <w:p w14:paraId="57C97FFF" w14:textId="77777777" w:rsidR="007D7329" w:rsidRDefault="007D7329"/>
    <w:p w14:paraId="41A88DE1" w14:textId="77777777" w:rsidR="007D7329" w:rsidRDefault="007D7329"/>
    <w:p w14:paraId="1F590EF2" w14:textId="77777777" w:rsidR="007D7329" w:rsidRDefault="007D7329"/>
    <w:p w14:paraId="4ED2B55B" w14:textId="77777777" w:rsidR="007D7329" w:rsidRDefault="007D7329"/>
    <w:p w14:paraId="2995AB9D" w14:textId="77777777" w:rsidR="007D7329" w:rsidRDefault="007D7329"/>
    <w:p w14:paraId="6DB99CA2" w14:textId="77777777" w:rsidR="007D7329" w:rsidRDefault="007D7329"/>
    <w:p w14:paraId="62EE521E" w14:textId="77777777" w:rsidR="007D7329" w:rsidRDefault="007D7329"/>
    <w:p w14:paraId="5C8C32C0" w14:textId="77777777" w:rsidR="007D7329" w:rsidRDefault="007D7329"/>
    <w:p w14:paraId="5DE5C576" w14:textId="77777777" w:rsidR="007D7329" w:rsidRDefault="007D7329"/>
    <w:p w14:paraId="3C6F303C" w14:textId="77777777" w:rsidR="007D7329" w:rsidRDefault="007D7329"/>
    <w:p w14:paraId="0408C74A" w14:textId="77777777" w:rsidR="0032425C" w:rsidRDefault="0032425C"/>
    <w:p w14:paraId="19ACBA8B" w14:textId="77777777" w:rsidR="0032425C" w:rsidRDefault="0032425C"/>
    <w:p w14:paraId="3ED5C72A" w14:textId="77777777" w:rsidR="00B36EA9" w:rsidRDefault="00B36EA9"/>
    <w:p w14:paraId="6BC2DB31" w14:textId="77777777" w:rsidR="00B36EA9" w:rsidRDefault="00B36EA9"/>
    <w:p w14:paraId="4F8D6CCF" w14:textId="77777777" w:rsidR="00B36EA9" w:rsidRDefault="00B36EA9"/>
    <w:p w14:paraId="4EA2F861" w14:textId="77777777" w:rsidR="0032425C" w:rsidRDefault="0032425C"/>
    <w:p w14:paraId="2D1E9800" w14:textId="7B8634BF" w:rsidR="008B3E0E" w:rsidRPr="00A2088A" w:rsidRDefault="00A2088A">
      <w:pPr>
        <w:rPr>
          <w:b/>
          <w:bCs/>
        </w:rPr>
      </w:pPr>
      <w:r w:rsidRPr="00A2088A">
        <w:rPr>
          <w:b/>
          <w:bCs/>
        </w:rPr>
        <w:lastRenderedPageBreak/>
        <w:t>References</w:t>
      </w:r>
    </w:p>
    <w:p w14:paraId="355EBF05" w14:textId="77777777" w:rsidR="00B97E89" w:rsidRPr="00B97E89" w:rsidRDefault="003609CC" w:rsidP="00B97E89">
      <w:pPr>
        <w:pStyle w:val="EndNoteBibliography"/>
        <w:spacing w:after="0"/>
        <w:ind w:left="720" w:hanging="720"/>
      </w:pPr>
      <w:r>
        <w:fldChar w:fldCharType="begin"/>
      </w:r>
      <w:r>
        <w:instrText xml:space="preserve"> ADDIN EN.REFLIST </w:instrText>
      </w:r>
      <w:r>
        <w:fldChar w:fldCharType="separate"/>
      </w:r>
      <w:r w:rsidR="00B97E89" w:rsidRPr="00B97E89">
        <w:t>1.</w:t>
      </w:r>
      <w:r w:rsidR="00B97E89" w:rsidRPr="00B97E89">
        <w:tab/>
        <w:t xml:space="preserve">Li, H. and R. Durbin, </w:t>
      </w:r>
      <w:r w:rsidR="00B97E89" w:rsidRPr="00B97E89">
        <w:rPr>
          <w:i/>
        </w:rPr>
        <w:t>Fast and accurate short read alignment with Burrows–Wheeler transform.</w:t>
      </w:r>
      <w:r w:rsidR="00B97E89" w:rsidRPr="00B97E89">
        <w:t xml:space="preserve"> bioinformatics, 2009. </w:t>
      </w:r>
      <w:r w:rsidR="00B97E89" w:rsidRPr="00B97E89">
        <w:rPr>
          <w:b/>
        </w:rPr>
        <w:t>25</w:t>
      </w:r>
      <w:r w:rsidR="00B97E89" w:rsidRPr="00B97E89">
        <w:t>(14): p. 1754-1760.</w:t>
      </w:r>
    </w:p>
    <w:p w14:paraId="589F8D49" w14:textId="77777777" w:rsidR="00B97E89" w:rsidRPr="00B97E89" w:rsidRDefault="00B97E89" w:rsidP="00B97E89">
      <w:pPr>
        <w:pStyle w:val="EndNoteBibliography"/>
        <w:spacing w:after="0"/>
        <w:ind w:left="720" w:hanging="720"/>
      </w:pPr>
      <w:r w:rsidRPr="00B97E89">
        <w:t>2.</w:t>
      </w:r>
      <w:r w:rsidRPr="00B97E89">
        <w:tab/>
        <w:t xml:space="preserve">Van der Auwera, G.A., et al., </w:t>
      </w:r>
      <w:r w:rsidRPr="00B97E89">
        <w:rPr>
          <w:i/>
        </w:rPr>
        <w:t>From FastQ data to high</w:t>
      </w:r>
      <w:r w:rsidRPr="00B97E89">
        <w:rPr>
          <w:rFonts w:ascii="Cambria Math" w:hAnsi="Cambria Math" w:cs="Cambria Math"/>
          <w:i/>
        </w:rPr>
        <w:t>‐</w:t>
      </w:r>
      <w:r w:rsidRPr="00B97E89">
        <w:rPr>
          <w:i/>
        </w:rPr>
        <w:t>confidence variant calls: the genome analysis toolkit best practices pipeline.</w:t>
      </w:r>
      <w:r w:rsidRPr="00B97E89">
        <w:t xml:space="preserve"> Current protocols in bioinformatics, 2013. </w:t>
      </w:r>
      <w:r w:rsidRPr="00B97E89">
        <w:rPr>
          <w:b/>
        </w:rPr>
        <w:t>43</w:t>
      </w:r>
      <w:r w:rsidRPr="00B97E89">
        <w:t>(1): p. 11.10. 1-11.10. 33.</w:t>
      </w:r>
    </w:p>
    <w:p w14:paraId="02F851A5" w14:textId="77777777" w:rsidR="00B97E89" w:rsidRPr="00B97E89" w:rsidRDefault="00B97E89" w:rsidP="00B97E89">
      <w:pPr>
        <w:pStyle w:val="EndNoteBibliography"/>
        <w:spacing w:after="0"/>
        <w:ind w:left="720" w:hanging="720"/>
      </w:pPr>
      <w:r w:rsidRPr="00B97E89">
        <w:t>3.</w:t>
      </w:r>
      <w:r w:rsidRPr="00B97E89">
        <w:tab/>
        <w:t xml:space="preserve">McKenna, A., et al., </w:t>
      </w:r>
      <w:r w:rsidRPr="00B97E89">
        <w:rPr>
          <w:i/>
        </w:rPr>
        <w:t>The Genome Analysis Toolkit: a MapReduce framework for analyzing next-generation DNA sequencing data.</w:t>
      </w:r>
      <w:r w:rsidRPr="00B97E89">
        <w:t xml:space="preserve"> Genome research, 2010. </w:t>
      </w:r>
      <w:r w:rsidRPr="00B97E89">
        <w:rPr>
          <w:b/>
        </w:rPr>
        <w:t>20</w:t>
      </w:r>
      <w:r w:rsidRPr="00B97E89">
        <w:t>(9): p. 1297-1303.</w:t>
      </w:r>
    </w:p>
    <w:p w14:paraId="1B2149A5" w14:textId="77777777" w:rsidR="00B97E89" w:rsidRPr="00B97E89" w:rsidRDefault="00B97E89" w:rsidP="00B97E89">
      <w:pPr>
        <w:pStyle w:val="EndNoteBibliography"/>
        <w:spacing w:after="0"/>
        <w:ind w:left="720" w:hanging="720"/>
      </w:pPr>
      <w:r w:rsidRPr="00B97E89">
        <w:t>4.</w:t>
      </w:r>
      <w:r w:rsidRPr="00B97E89">
        <w:tab/>
        <w:t xml:space="preserve">Aniagwu, T., </w:t>
      </w:r>
      <w:r w:rsidRPr="00B97E89">
        <w:rPr>
          <w:i/>
        </w:rPr>
        <w:t>The International HapMap Project.</w:t>
      </w:r>
      <w:r w:rsidRPr="00B97E89">
        <w:t xml:space="preserve"> Nature, 2003.</w:t>
      </w:r>
    </w:p>
    <w:p w14:paraId="6145B663" w14:textId="77777777" w:rsidR="00B97E89" w:rsidRPr="00B97E89" w:rsidRDefault="00B97E89" w:rsidP="00B97E89">
      <w:pPr>
        <w:pStyle w:val="EndNoteBibliography"/>
        <w:spacing w:after="0"/>
        <w:ind w:left="720" w:hanging="720"/>
      </w:pPr>
      <w:r w:rsidRPr="00B97E89">
        <w:t>5.</w:t>
      </w:r>
      <w:r w:rsidRPr="00B97E89">
        <w:tab/>
        <w:t xml:space="preserve">Thorisson, G.A., et al., </w:t>
      </w:r>
      <w:r w:rsidRPr="00B97E89">
        <w:rPr>
          <w:i/>
        </w:rPr>
        <w:t>The international HapMap project web site.</w:t>
      </w:r>
      <w:r w:rsidRPr="00B97E89">
        <w:t xml:space="preserve"> Genome research, 2005. </w:t>
      </w:r>
      <w:r w:rsidRPr="00B97E89">
        <w:rPr>
          <w:b/>
        </w:rPr>
        <w:t>15</w:t>
      </w:r>
      <w:r w:rsidRPr="00B97E89">
        <w:t>(11): p. 1592-1593.</w:t>
      </w:r>
    </w:p>
    <w:p w14:paraId="23B45446" w14:textId="77777777" w:rsidR="00B97E89" w:rsidRPr="00B97E89" w:rsidRDefault="00B97E89" w:rsidP="00B97E89">
      <w:pPr>
        <w:pStyle w:val="EndNoteBibliography"/>
        <w:spacing w:after="0"/>
        <w:ind w:left="720" w:hanging="720"/>
      </w:pPr>
      <w:r w:rsidRPr="00B97E89">
        <w:t>6.</w:t>
      </w:r>
      <w:r w:rsidRPr="00B97E89">
        <w:tab/>
        <w:t xml:space="preserve">Consortium, G.P., </w:t>
      </w:r>
      <w:r w:rsidRPr="00B97E89">
        <w:rPr>
          <w:i/>
        </w:rPr>
        <w:t>A global reference for human genetic variation.</w:t>
      </w:r>
      <w:r w:rsidRPr="00B97E89">
        <w:t xml:space="preserve"> Nature, 2015. </w:t>
      </w:r>
      <w:r w:rsidRPr="00B97E89">
        <w:rPr>
          <w:b/>
        </w:rPr>
        <w:t>526</w:t>
      </w:r>
      <w:r w:rsidRPr="00B97E89">
        <w:t>(7571): p. 68.</w:t>
      </w:r>
    </w:p>
    <w:p w14:paraId="3FA87CA7" w14:textId="77777777" w:rsidR="00B97E89" w:rsidRPr="00B97E89" w:rsidRDefault="00B97E89" w:rsidP="00B97E89">
      <w:pPr>
        <w:pStyle w:val="EndNoteBibliography"/>
        <w:spacing w:after="0"/>
        <w:ind w:left="720" w:hanging="720"/>
      </w:pPr>
      <w:r w:rsidRPr="00B97E89">
        <w:t>7.</w:t>
      </w:r>
      <w:r w:rsidRPr="00B97E89">
        <w:tab/>
        <w:t xml:space="preserve">Reza, M.S., et al., </w:t>
      </w:r>
      <w:r w:rsidRPr="00B97E89">
        <w:rPr>
          <w:i/>
        </w:rPr>
        <w:t>An Attention</w:t>
      </w:r>
      <w:r w:rsidRPr="00B97E89">
        <w:rPr>
          <w:rFonts w:ascii="Cambria Math" w:hAnsi="Cambria Math" w:cs="Cambria Math"/>
          <w:i/>
        </w:rPr>
        <w:t>‐</w:t>
      </w:r>
      <w:r w:rsidRPr="00B97E89">
        <w:rPr>
          <w:i/>
        </w:rPr>
        <w:t>Aware Multi</w:t>
      </w:r>
      <w:r w:rsidRPr="00B97E89">
        <w:rPr>
          <w:rFonts w:ascii="Cambria Math" w:hAnsi="Cambria Math" w:cs="Cambria Math"/>
          <w:i/>
        </w:rPr>
        <w:t>‐</w:t>
      </w:r>
      <w:r w:rsidRPr="00B97E89">
        <w:rPr>
          <w:i/>
        </w:rPr>
        <w:t>Task Learning Framework Identifies Candidate Targets for Drug Repurposing in Sarcopenia.</w:t>
      </w:r>
      <w:r w:rsidRPr="00B97E89">
        <w:t xml:space="preserve"> Journal of Cachexia, Sarcopenia and Muscle, 2025. </w:t>
      </w:r>
      <w:r w:rsidRPr="00B97E89">
        <w:rPr>
          <w:b/>
        </w:rPr>
        <w:t>16</w:t>
      </w:r>
      <w:r w:rsidRPr="00B97E89">
        <w:t>(2): p. e13661.</w:t>
      </w:r>
    </w:p>
    <w:p w14:paraId="3D611D02" w14:textId="77777777" w:rsidR="00B97E89" w:rsidRPr="00B97E89" w:rsidRDefault="00B97E89" w:rsidP="00B97E89">
      <w:pPr>
        <w:pStyle w:val="EndNoteBibliography"/>
        <w:spacing w:after="0"/>
        <w:ind w:left="720" w:hanging="720"/>
      </w:pPr>
      <w:r w:rsidRPr="00B97E89">
        <w:t>8.</w:t>
      </w:r>
      <w:r w:rsidRPr="00B97E89">
        <w:tab/>
        <w:t xml:space="preserve">Chang, C.C., et al., </w:t>
      </w:r>
      <w:r w:rsidRPr="00B97E89">
        <w:rPr>
          <w:i/>
        </w:rPr>
        <w:t>Second-generation PLINK: rising to the challenge of larger and richer datasets.</w:t>
      </w:r>
      <w:r w:rsidRPr="00B97E89">
        <w:t xml:space="preserve"> Gigascience, 2015. </w:t>
      </w:r>
      <w:r w:rsidRPr="00B97E89">
        <w:rPr>
          <w:b/>
        </w:rPr>
        <w:t>4</w:t>
      </w:r>
      <w:r w:rsidRPr="00B97E89">
        <w:t>(1): p. s13742-015-0047-8.</w:t>
      </w:r>
    </w:p>
    <w:p w14:paraId="0F8433E2" w14:textId="77777777" w:rsidR="00B97E89" w:rsidRPr="00B97E89" w:rsidRDefault="00B97E89" w:rsidP="00B97E89">
      <w:pPr>
        <w:pStyle w:val="EndNoteBibliography"/>
        <w:spacing w:after="0"/>
        <w:ind w:left="720" w:hanging="720"/>
      </w:pPr>
      <w:r w:rsidRPr="00B97E89">
        <w:t>9.</w:t>
      </w:r>
      <w:r w:rsidRPr="00B97E89">
        <w:tab/>
        <w:t xml:space="preserve">Price, A.L., et al., </w:t>
      </w:r>
      <w:r w:rsidRPr="00B97E89">
        <w:rPr>
          <w:i/>
        </w:rPr>
        <w:t>Principal components analysis corrects for stratification in genome-wide association studies.</w:t>
      </w:r>
      <w:r w:rsidRPr="00B97E89">
        <w:t xml:space="preserve"> Nature genetics, 2006. </w:t>
      </w:r>
      <w:r w:rsidRPr="00B97E89">
        <w:rPr>
          <w:b/>
        </w:rPr>
        <w:t>38</w:t>
      </w:r>
      <w:r w:rsidRPr="00B97E89">
        <w:t>(8): p. 904-909.</w:t>
      </w:r>
    </w:p>
    <w:p w14:paraId="39BEDAAC" w14:textId="77777777" w:rsidR="00B97E89" w:rsidRPr="00B97E89" w:rsidRDefault="00B97E89" w:rsidP="00B97E89">
      <w:pPr>
        <w:pStyle w:val="EndNoteBibliography"/>
        <w:spacing w:after="0"/>
        <w:ind w:left="720" w:hanging="720"/>
      </w:pPr>
      <w:r w:rsidRPr="00B97E89">
        <w:t>10.</w:t>
      </w:r>
      <w:r w:rsidRPr="00B97E89">
        <w:tab/>
        <w:t xml:space="preserve">Lin, X., et al., </w:t>
      </w:r>
      <w:r w:rsidRPr="00B97E89">
        <w:rPr>
          <w:i/>
        </w:rPr>
        <w:t>Gut microbiota impacts bone via Bacteroides vulgatus-valeric acid-related pathways.</w:t>
      </w:r>
      <w:r w:rsidRPr="00B97E89">
        <w:t xml:space="preserve"> Nature communications, 2023. </w:t>
      </w:r>
      <w:r w:rsidRPr="00B97E89">
        <w:rPr>
          <w:b/>
        </w:rPr>
        <w:t>14</w:t>
      </w:r>
      <w:r w:rsidRPr="00B97E89">
        <w:t>(1): p. 6853.</w:t>
      </w:r>
    </w:p>
    <w:p w14:paraId="618DE34D" w14:textId="77777777" w:rsidR="00B97E89" w:rsidRPr="00B97E89" w:rsidRDefault="00B97E89" w:rsidP="00B97E89">
      <w:pPr>
        <w:pStyle w:val="EndNoteBibliography"/>
        <w:spacing w:after="0"/>
        <w:ind w:left="720" w:hanging="720"/>
      </w:pPr>
      <w:r w:rsidRPr="00B97E89">
        <w:t>11.</w:t>
      </w:r>
      <w:r w:rsidRPr="00B97E89">
        <w:tab/>
        <w:t xml:space="preserve">Liu, H.-M., et al., </w:t>
      </w:r>
      <w:r w:rsidRPr="00B97E89">
        <w:rPr>
          <w:i/>
        </w:rPr>
        <w:t>Integrated metagenome and metabolome analyses of blood pressure studies in early postmenopausal Chinese women.</w:t>
      </w:r>
      <w:r w:rsidRPr="00B97E89">
        <w:t xml:space="preserve"> Journal of Hypertension, 2021. </w:t>
      </w:r>
      <w:r w:rsidRPr="00B97E89">
        <w:rPr>
          <w:b/>
        </w:rPr>
        <w:t>39</w:t>
      </w:r>
      <w:r w:rsidRPr="00B97E89">
        <w:t>(9): p. 1800-1809.</w:t>
      </w:r>
    </w:p>
    <w:p w14:paraId="2552FA79" w14:textId="77777777" w:rsidR="00B97E89" w:rsidRPr="00B97E89" w:rsidRDefault="00B97E89" w:rsidP="00B97E89">
      <w:pPr>
        <w:pStyle w:val="EndNoteBibliography"/>
        <w:spacing w:after="0"/>
        <w:ind w:left="720" w:hanging="720"/>
      </w:pPr>
      <w:r w:rsidRPr="00B97E89">
        <w:t>12.</w:t>
      </w:r>
      <w:r w:rsidRPr="00B97E89">
        <w:tab/>
        <w:t xml:space="preserve">Lv, W.Q., et al., </w:t>
      </w:r>
      <w:r w:rsidRPr="00B97E89">
        <w:rPr>
          <w:i/>
        </w:rPr>
        <w:t>Human gut microbiome impacts skeletal muscle mass via gut microbial synthesis of the short</w:t>
      </w:r>
      <w:r w:rsidRPr="00B97E89">
        <w:rPr>
          <w:rFonts w:ascii="Cambria Math" w:hAnsi="Cambria Math" w:cs="Cambria Math"/>
          <w:i/>
        </w:rPr>
        <w:t>‐</w:t>
      </w:r>
      <w:r w:rsidRPr="00B97E89">
        <w:rPr>
          <w:i/>
        </w:rPr>
        <w:t>chain fatty acid butyrate among healthy menopausal women.</w:t>
      </w:r>
      <w:r w:rsidRPr="00B97E89">
        <w:t xml:space="preserve"> Journal of cachexia, sarcopenia and muscle, 2021. </w:t>
      </w:r>
      <w:r w:rsidRPr="00B97E89">
        <w:rPr>
          <w:b/>
        </w:rPr>
        <w:t>12</w:t>
      </w:r>
      <w:r w:rsidRPr="00B97E89">
        <w:t>(6): p. 1860-1870.</w:t>
      </w:r>
    </w:p>
    <w:p w14:paraId="5F7D2A76" w14:textId="77777777" w:rsidR="00B97E89" w:rsidRPr="00B97E89" w:rsidRDefault="00B97E89" w:rsidP="00B97E89">
      <w:pPr>
        <w:pStyle w:val="EndNoteBibliography"/>
        <w:spacing w:after="0"/>
        <w:ind w:left="720" w:hanging="720"/>
      </w:pPr>
      <w:r w:rsidRPr="00B97E89">
        <w:t>13.</w:t>
      </w:r>
      <w:r w:rsidRPr="00B97E89">
        <w:tab/>
        <w:t xml:space="preserve">Shen, W.-D., et al., </w:t>
      </w:r>
      <w:r w:rsidRPr="00B97E89">
        <w:rPr>
          <w:i/>
        </w:rPr>
        <w:t>Gut microbiota accelerates obesity in peri-/post-menopausal women via Bacteroides fragilis and acetic acid.</w:t>
      </w:r>
      <w:r w:rsidRPr="00B97E89">
        <w:t xml:space="preserve"> International Journal of Obesity, 2022. </w:t>
      </w:r>
      <w:r w:rsidRPr="00B97E89">
        <w:rPr>
          <w:b/>
        </w:rPr>
        <w:t>46</w:t>
      </w:r>
      <w:r w:rsidRPr="00B97E89">
        <w:t>(10): p. 1918-1924.</w:t>
      </w:r>
    </w:p>
    <w:p w14:paraId="119BB692" w14:textId="77777777" w:rsidR="00B97E89" w:rsidRPr="00B97E89" w:rsidRDefault="00B97E89" w:rsidP="00B97E89">
      <w:pPr>
        <w:pStyle w:val="EndNoteBibliography"/>
        <w:spacing w:after="0"/>
        <w:ind w:left="720" w:hanging="720"/>
      </w:pPr>
      <w:r w:rsidRPr="00B97E89">
        <w:t>14.</w:t>
      </w:r>
      <w:r w:rsidRPr="00B97E89">
        <w:tab/>
        <w:t xml:space="preserve">Tian, B., et al., </w:t>
      </w:r>
      <w:r w:rsidRPr="00B97E89">
        <w:rPr>
          <w:i/>
        </w:rPr>
        <w:t>Identification of the serum metabolites associated with cow milk consumption in Chinese Peri-/Postmenopausal women.</w:t>
      </w:r>
      <w:r w:rsidRPr="00B97E89">
        <w:t xml:space="preserve"> International Journal of Food Sciences and Nutrition, 2024. </w:t>
      </w:r>
      <w:r w:rsidRPr="00B97E89">
        <w:rPr>
          <w:b/>
        </w:rPr>
        <w:t>75</w:t>
      </w:r>
      <w:r w:rsidRPr="00B97E89">
        <w:t>(6): p. 537-549.</w:t>
      </w:r>
    </w:p>
    <w:p w14:paraId="2A458F44" w14:textId="77777777" w:rsidR="00B97E89" w:rsidRPr="00B97E89" w:rsidRDefault="00B97E89" w:rsidP="00B97E89">
      <w:pPr>
        <w:pStyle w:val="EndNoteBibliography"/>
        <w:spacing w:after="0"/>
        <w:ind w:left="720" w:hanging="720"/>
      </w:pPr>
      <w:r w:rsidRPr="00B97E89">
        <w:t>15.</w:t>
      </w:r>
      <w:r w:rsidRPr="00B97E89">
        <w:tab/>
        <w:t xml:space="preserve">Tian, B., et al., </w:t>
      </w:r>
      <w:r w:rsidRPr="00B97E89">
        <w:rPr>
          <w:i/>
        </w:rPr>
        <w:t>Metagenomic study of the gut microbiota associated with cow milk consumption in Chinese peri-/postmenopausal women.</w:t>
      </w:r>
      <w:r w:rsidRPr="00B97E89">
        <w:t xml:space="preserve"> Frontiers in microbiology, 2022. </w:t>
      </w:r>
      <w:r w:rsidRPr="00B97E89">
        <w:rPr>
          <w:b/>
        </w:rPr>
        <w:t>13</w:t>
      </w:r>
      <w:r w:rsidRPr="00B97E89">
        <w:t>: p. 957885.</w:t>
      </w:r>
    </w:p>
    <w:p w14:paraId="6A147140" w14:textId="77777777" w:rsidR="00B97E89" w:rsidRPr="00B97E89" w:rsidRDefault="00B97E89" w:rsidP="00B97E89">
      <w:pPr>
        <w:pStyle w:val="EndNoteBibliography"/>
        <w:spacing w:after="0"/>
        <w:ind w:left="720" w:hanging="720"/>
      </w:pPr>
      <w:r w:rsidRPr="00B97E89">
        <w:t>16.</w:t>
      </w:r>
      <w:r w:rsidRPr="00B97E89">
        <w:tab/>
        <w:t xml:space="preserve">Liu, A., et al., </w:t>
      </w:r>
      <w:r w:rsidRPr="00B97E89">
        <w:rPr>
          <w:i/>
        </w:rPr>
        <w:t>Multi-view integrative approach for imputing short-chain fatty acids and identifying key factors predicting blood SCFA.</w:t>
      </w:r>
      <w:r w:rsidRPr="00B97E89">
        <w:t xml:space="preserve"> bioRxiv, 2024.</w:t>
      </w:r>
    </w:p>
    <w:p w14:paraId="7D17293B" w14:textId="77777777" w:rsidR="00B97E89" w:rsidRPr="00B97E89" w:rsidRDefault="00B97E89" w:rsidP="00B97E89">
      <w:pPr>
        <w:pStyle w:val="EndNoteBibliography"/>
        <w:spacing w:after="0"/>
        <w:ind w:left="720" w:hanging="720"/>
      </w:pPr>
      <w:r w:rsidRPr="00B97E89">
        <w:t>17.</w:t>
      </w:r>
      <w:r w:rsidRPr="00B97E89">
        <w:tab/>
        <w:t xml:space="preserve">Bentley, D.R., et al., </w:t>
      </w:r>
      <w:r w:rsidRPr="00B97E89">
        <w:rPr>
          <w:i/>
        </w:rPr>
        <w:t>Accurate whole human genome sequencing using reversible terminator chemistry.</w:t>
      </w:r>
      <w:r w:rsidRPr="00B97E89">
        <w:t xml:space="preserve"> nature, 2008. </w:t>
      </w:r>
      <w:r w:rsidRPr="00B97E89">
        <w:rPr>
          <w:b/>
        </w:rPr>
        <w:t>456</w:t>
      </w:r>
      <w:r w:rsidRPr="00B97E89">
        <w:t>(7218): p. 53-59.</w:t>
      </w:r>
    </w:p>
    <w:p w14:paraId="1A3ABC29" w14:textId="77777777" w:rsidR="00B97E89" w:rsidRPr="00B97E89" w:rsidRDefault="00B97E89" w:rsidP="00B97E89">
      <w:pPr>
        <w:pStyle w:val="EndNoteBibliography"/>
        <w:spacing w:after="0"/>
        <w:ind w:left="720" w:hanging="720"/>
      </w:pPr>
      <w:r w:rsidRPr="00B97E89">
        <w:lastRenderedPageBreak/>
        <w:t>18.</w:t>
      </w:r>
      <w:r w:rsidRPr="00B97E89">
        <w:tab/>
        <w:t xml:space="preserve">Martin, M., </w:t>
      </w:r>
      <w:r w:rsidRPr="00B97E89">
        <w:rPr>
          <w:i/>
        </w:rPr>
        <w:t>Cutadapt removes adapter sequences from high-throughput sequencing reads.</w:t>
      </w:r>
      <w:r w:rsidRPr="00B97E89">
        <w:t xml:space="preserve"> EMBnet. journal, 2011. </w:t>
      </w:r>
      <w:r w:rsidRPr="00B97E89">
        <w:rPr>
          <w:b/>
        </w:rPr>
        <w:t>17</w:t>
      </w:r>
      <w:r w:rsidRPr="00B97E89">
        <w:t>(1): p. 10-12.</w:t>
      </w:r>
    </w:p>
    <w:p w14:paraId="78E1202B" w14:textId="77777777" w:rsidR="00B97E89" w:rsidRPr="00B97E89" w:rsidRDefault="00B97E89" w:rsidP="00B97E89">
      <w:pPr>
        <w:pStyle w:val="EndNoteBibliography"/>
        <w:spacing w:after="0"/>
        <w:ind w:left="720" w:hanging="720"/>
      </w:pPr>
      <w:r w:rsidRPr="00B97E89">
        <w:t>19.</w:t>
      </w:r>
      <w:r w:rsidRPr="00B97E89">
        <w:tab/>
      </w:r>
      <w:r w:rsidRPr="00B97E89">
        <w:rPr>
          <w:i/>
        </w:rPr>
        <w:t>fqtrim: a quality trimming tool for FASTQ data</w:t>
      </w:r>
      <w:r w:rsidRPr="00B97E89">
        <w:t>. 2015, fqtrim software.</w:t>
      </w:r>
    </w:p>
    <w:p w14:paraId="74D27B60" w14:textId="77777777" w:rsidR="00B97E89" w:rsidRPr="00B97E89" w:rsidRDefault="00B97E89" w:rsidP="00B97E89">
      <w:pPr>
        <w:pStyle w:val="EndNoteBibliography"/>
        <w:spacing w:after="0"/>
        <w:ind w:left="720" w:hanging="720"/>
      </w:pPr>
      <w:r w:rsidRPr="00B97E89">
        <w:t>20.</w:t>
      </w:r>
      <w:r w:rsidRPr="00B97E89">
        <w:tab/>
        <w:t xml:space="preserve">Langmead, B. and S.L. Salzberg, </w:t>
      </w:r>
      <w:r w:rsidRPr="00B97E89">
        <w:rPr>
          <w:i/>
        </w:rPr>
        <w:t>Fast gapped-read alignment with Bowtie 2.</w:t>
      </w:r>
      <w:r w:rsidRPr="00B97E89">
        <w:t xml:space="preserve"> Nature methods, 2012. </w:t>
      </w:r>
      <w:r w:rsidRPr="00B97E89">
        <w:rPr>
          <w:b/>
        </w:rPr>
        <w:t>9</w:t>
      </w:r>
      <w:r w:rsidRPr="00B97E89">
        <w:t>(4): p. 357-359.</w:t>
      </w:r>
    </w:p>
    <w:p w14:paraId="653F982F" w14:textId="77777777" w:rsidR="00B97E89" w:rsidRPr="00B97E89" w:rsidRDefault="00B97E89" w:rsidP="00B97E89">
      <w:pPr>
        <w:pStyle w:val="EndNoteBibliography"/>
        <w:spacing w:after="0"/>
        <w:ind w:left="720" w:hanging="720"/>
      </w:pPr>
      <w:r w:rsidRPr="00B97E89">
        <w:t>21.</w:t>
      </w:r>
      <w:r w:rsidRPr="00B97E89">
        <w:tab/>
        <w:t xml:space="preserve">Peng, Y., et al., </w:t>
      </w:r>
      <w:r w:rsidRPr="00B97E89">
        <w:rPr>
          <w:i/>
        </w:rPr>
        <w:t>IDBA-UD: a de novo assembler for single-cell and metagenomic sequencing data with highly uneven depth.</w:t>
      </w:r>
      <w:r w:rsidRPr="00B97E89">
        <w:t xml:space="preserve"> Bioinformatics, 2012. </w:t>
      </w:r>
      <w:r w:rsidRPr="00B97E89">
        <w:rPr>
          <w:b/>
        </w:rPr>
        <w:t>28</w:t>
      </w:r>
      <w:r w:rsidRPr="00B97E89">
        <w:t>(11): p. 1420-1428.</w:t>
      </w:r>
    </w:p>
    <w:p w14:paraId="19787369" w14:textId="77777777" w:rsidR="00B97E89" w:rsidRPr="00B97E89" w:rsidRDefault="00B97E89" w:rsidP="00B97E89">
      <w:pPr>
        <w:pStyle w:val="EndNoteBibliography"/>
        <w:spacing w:after="0"/>
        <w:ind w:left="720" w:hanging="720"/>
      </w:pPr>
      <w:r w:rsidRPr="00B97E89">
        <w:t>22.</w:t>
      </w:r>
      <w:r w:rsidRPr="00B97E89">
        <w:tab/>
        <w:t xml:space="preserve">Zhu, W., A. Lomsadze, and M. Borodovsky, </w:t>
      </w:r>
      <w:r w:rsidRPr="00B97E89">
        <w:rPr>
          <w:i/>
        </w:rPr>
        <w:t>Ab initio gene identification in metagenomic sequences.</w:t>
      </w:r>
      <w:r w:rsidRPr="00B97E89">
        <w:t xml:space="preserve"> Nucleic acids research, 2010. </w:t>
      </w:r>
      <w:r w:rsidRPr="00B97E89">
        <w:rPr>
          <w:b/>
        </w:rPr>
        <w:t>38</w:t>
      </w:r>
      <w:r w:rsidRPr="00B97E89">
        <w:t>(12): p. e132-e132.</w:t>
      </w:r>
    </w:p>
    <w:p w14:paraId="154C59A9" w14:textId="77777777" w:rsidR="00B97E89" w:rsidRPr="00B97E89" w:rsidRDefault="00B97E89" w:rsidP="00B97E89">
      <w:pPr>
        <w:pStyle w:val="EndNoteBibliography"/>
        <w:spacing w:after="0"/>
        <w:ind w:left="720" w:hanging="720"/>
      </w:pPr>
      <w:r w:rsidRPr="00B97E89">
        <w:t>23.</w:t>
      </w:r>
      <w:r w:rsidRPr="00B97E89">
        <w:tab/>
        <w:t xml:space="preserve">Li, W. and A. Godzik, </w:t>
      </w:r>
      <w:r w:rsidRPr="00B97E89">
        <w:rPr>
          <w:i/>
        </w:rPr>
        <w:t>Cd-hit: a fast program for clustering and comparing large sets of protein or nucleotide sequences.</w:t>
      </w:r>
      <w:r w:rsidRPr="00B97E89">
        <w:t xml:space="preserve"> Bioinformatics, 2006. </w:t>
      </w:r>
      <w:r w:rsidRPr="00B97E89">
        <w:rPr>
          <w:b/>
        </w:rPr>
        <w:t>22</w:t>
      </w:r>
      <w:r w:rsidRPr="00B97E89">
        <w:t>(13): p. 1658-1659.</w:t>
      </w:r>
    </w:p>
    <w:p w14:paraId="1BCE1D13" w14:textId="77777777" w:rsidR="00B97E89" w:rsidRPr="00B97E89" w:rsidRDefault="00B97E89" w:rsidP="00B97E89">
      <w:pPr>
        <w:pStyle w:val="EndNoteBibliography"/>
        <w:spacing w:after="0"/>
        <w:ind w:left="720" w:hanging="720"/>
      </w:pPr>
      <w:r w:rsidRPr="00B97E89">
        <w:t>24.</w:t>
      </w:r>
      <w:r w:rsidRPr="00B97E89">
        <w:tab/>
        <w:t xml:space="preserve">Buchfink, B., C. Xie, and D.H. Huson, </w:t>
      </w:r>
      <w:r w:rsidRPr="00B97E89">
        <w:rPr>
          <w:i/>
        </w:rPr>
        <w:t>Fast and sensitive protein alignment using DIAMOND.</w:t>
      </w:r>
      <w:r w:rsidRPr="00B97E89">
        <w:t xml:space="preserve"> Nature methods, 2015. </w:t>
      </w:r>
      <w:r w:rsidRPr="00B97E89">
        <w:rPr>
          <w:b/>
        </w:rPr>
        <w:t>12</w:t>
      </w:r>
      <w:r w:rsidRPr="00B97E89">
        <w:t>(1): p. 59-60.</w:t>
      </w:r>
    </w:p>
    <w:p w14:paraId="7E8D1973" w14:textId="77777777" w:rsidR="00B97E89" w:rsidRPr="00B97E89" w:rsidRDefault="00B97E89" w:rsidP="00B97E89">
      <w:pPr>
        <w:pStyle w:val="EndNoteBibliography"/>
        <w:spacing w:after="0"/>
        <w:ind w:left="720" w:hanging="720"/>
      </w:pPr>
      <w:r w:rsidRPr="00B97E89">
        <w:t>25.</w:t>
      </w:r>
      <w:r w:rsidRPr="00B97E89">
        <w:tab/>
        <w:t xml:space="preserve">Pruitt, K.D., T. Tatusova, and D.R. Maglott, </w:t>
      </w:r>
      <w:r w:rsidRPr="00B97E89">
        <w:rPr>
          <w:i/>
        </w:rPr>
        <w:t>NCBI reference sequences (RefSeq): a curated non-redundant sequence database of genomes, transcripts and proteins.</w:t>
      </w:r>
      <w:r w:rsidRPr="00B97E89">
        <w:t xml:space="preserve"> Nucleic acids research, 2007. </w:t>
      </w:r>
      <w:r w:rsidRPr="00B97E89">
        <w:rPr>
          <w:b/>
        </w:rPr>
        <w:t>35</w:t>
      </w:r>
      <w:r w:rsidRPr="00B97E89">
        <w:t>(suppl_1): p. D61-D65.</w:t>
      </w:r>
    </w:p>
    <w:p w14:paraId="59B7BBE1" w14:textId="77777777" w:rsidR="00B97E89" w:rsidRPr="00B97E89" w:rsidRDefault="00B97E89" w:rsidP="00B97E89">
      <w:pPr>
        <w:pStyle w:val="EndNoteBibliography"/>
        <w:spacing w:after="0"/>
        <w:ind w:left="720" w:hanging="720"/>
      </w:pPr>
      <w:r w:rsidRPr="00B97E89">
        <w:t>26.</w:t>
      </w:r>
      <w:r w:rsidRPr="00B97E89">
        <w:tab/>
        <w:t xml:space="preserve">Wheeler, D.L., et al., </w:t>
      </w:r>
      <w:r w:rsidRPr="00B97E89">
        <w:rPr>
          <w:i/>
        </w:rPr>
        <w:t>Database resources of the national center for biotechnology information.</w:t>
      </w:r>
      <w:r w:rsidRPr="00B97E89">
        <w:t xml:space="preserve"> Nucleic acids research, 2007. </w:t>
      </w:r>
      <w:r w:rsidRPr="00B97E89">
        <w:rPr>
          <w:b/>
        </w:rPr>
        <w:t>36</w:t>
      </w:r>
      <w:r w:rsidRPr="00B97E89">
        <w:t>(suppl_1): p. D13-D21.</w:t>
      </w:r>
    </w:p>
    <w:p w14:paraId="01B62A7E" w14:textId="77777777" w:rsidR="00B97E89" w:rsidRPr="00B97E89" w:rsidRDefault="00B97E89" w:rsidP="00B97E89">
      <w:pPr>
        <w:pStyle w:val="EndNoteBibliography"/>
        <w:spacing w:after="0"/>
        <w:ind w:left="720" w:hanging="720"/>
      </w:pPr>
      <w:r w:rsidRPr="00B97E89">
        <w:t>27.</w:t>
      </w:r>
      <w:r w:rsidRPr="00B97E89">
        <w:tab/>
        <w:t xml:space="preserve">Chen, S., et al., </w:t>
      </w:r>
      <w:r w:rsidRPr="00B97E89">
        <w:rPr>
          <w:i/>
        </w:rPr>
        <w:t>fastp: an ultra-fast all-in-one FASTQ preprocessor.</w:t>
      </w:r>
      <w:r w:rsidRPr="00B97E89">
        <w:t xml:space="preserve"> Bioinformatics, 2018. </w:t>
      </w:r>
      <w:r w:rsidRPr="00B97E89">
        <w:rPr>
          <w:b/>
        </w:rPr>
        <w:t>34</w:t>
      </w:r>
      <w:r w:rsidRPr="00B97E89">
        <w:t>(17): p. i884-i890.</w:t>
      </w:r>
    </w:p>
    <w:p w14:paraId="32A0344F" w14:textId="77777777" w:rsidR="00B97E89" w:rsidRPr="00B97E89" w:rsidRDefault="00B97E89" w:rsidP="00B97E89">
      <w:pPr>
        <w:pStyle w:val="EndNoteBibliography"/>
        <w:spacing w:after="0"/>
        <w:ind w:left="720" w:hanging="720"/>
      </w:pPr>
      <w:r w:rsidRPr="00B97E89">
        <w:t>28.</w:t>
      </w:r>
      <w:r w:rsidRPr="00B97E89">
        <w:tab/>
        <w:t xml:space="preserve">Truong, D.T., et al., </w:t>
      </w:r>
      <w:r w:rsidRPr="00B97E89">
        <w:rPr>
          <w:i/>
        </w:rPr>
        <w:t>MetaPhlAn2 for enhanced metagenomic taxonomic profiling.</w:t>
      </w:r>
      <w:r w:rsidRPr="00B97E89">
        <w:t xml:space="preserve"> Nature methods, 2015. </w:t>
      </w:r>
      <w:r w:rsidRPr="00B97E89">
        <w:rPr>
          <w:b/>
        </w:rPr>
        <w:t>12</w:t>
      </w:r>
      <w:r w:rsidRPr="00B97E89">
        <w:t>(10): p. 902-903.</w:t>
      </w:r>
    </w:p>
    <w:p w14:paraId="6BE56C27" w14:textId="77777777" w:rsidR="00B97E89" w:rsidRPr="00B97E89" w:rsidRDefault="00B97E89" w:rsidP="00B97E89">
      <w:pPr>
        <w:pStyle w:val="EndNoteBibliography"/>
        <w:spacing w:after="0"/>
        <w:ind w:left="720" w:hanging="720"/>
      </w:pPr>
      <w:r w:rsidRPr="00B97E89">
        <w:t>29.</w:t>
      </w:r>
      <w:r w:rsidRPr="00B97E89">
        <w:tab/>
        <w:t xml:space="preserve">Franzosa, E.A., et al., </w:t>
      </w:r>
      <w:r w:rsidRPr="00B97E89">
        <w:rPr>
          <w:i/>
        </w:rPr>
        <w:t>Species-level functional profiling of metagenomes and metatranscriptomes.</w:t>
      </w:r>
      <w:r w:rsidRPr="00B97E89">
        <w:t xml:space="preserve"> Nature methods, 2018. </w:t>
      </w:r>
      <w:r w:rsidRPr="00B97E89">
        <w:rPr>
          <w:b/>
        </w:rPr>
        <w:t>15</w:t>
      </w:r>
      <w:r w:rsidRPr="00B97E89">
        <w:t>(11): p. 962-968.</w:t>
      </w:r>
    </w:p>
    <w:p w14:paraId="3D407E1B" w14:textId="77777777" w:rsidR="00B97E89" w:rsidRPr="00B97E89" w:rsidRDefault="00B97E89" w:rsidP="00B97E89">
      <w:pPr>
        <w:pStyle w:val="EndNoteBibliography"/>
        <w:spacing w:after="0"/>
        <w:ind w:left="720" w:hanging="720"/>
      </w:pPr>
      <w:r w:rsidRPr="00B97E89">
        <w:t>30.</w:t>
      </w:r>
      <w:r w:rsidRPr="00B97E89">
        <w:tab/>
        <w:t xml:space="preserve">Van De Velden, M., et al., </w:t>
      </w:r>
      <w:r w:rsidRPr="00B97E89">
        <w:rPr>
          <w:i/>
        </w:rPr>
        <w:t>Unbiased mixed variables distance.</w:t>
      </w:r>
      <w:r w:rsidRPr="00B97E89">
        <w:t xml:space="preserve"> arXiv preprint arXiv:2411.00429, 2024.</w:t>
      </w:r>
    </w:p>
    <w:p w14:paraId="2990C9BC" w14:textId="77777777" w:rsidR="00B97E89" w:rsidRPr="00B97E89" w:rsidRDefault="00B97E89" w:rsidP="00B97E89">
      <w:pPr>
        <w:pStyle w:val="EndNoteBibliography"/>
        <w:spacing w:after="0"/>
        <w:ind w:left="720" w:hanging="720"/>
      </w:pPr>
      <w:r w:rsidRPr="00B97E89">
        <w:t>31.</w:t>
      </w:r>
      <w:r w:rsidRPr="00B97E89">
        <w:tab/>
        <w:t xml:space="preserve">Martín-Fernández, J.A., et al., </w:t>
      </w:r>
      <w:r w:rsidRPr="00B97E89">
        <w:rPr>
          <w:i/>
        </w:rPr>
        <w:t>Advances in principal balances for compositional data.</w:t>
      </w:r>
      <w:r w:rsidRPr="00B97E89">
        <w:t xml:space="preserve"> Mathematical Geosciences, 2018. </w:t>
      </w:r>
      <w:r w:rsidRPr="00B97E89">
        <w:rPr>
          <w:b/>
        </w:rPr>
        <w:t>50</w:t>
      </w:r>
      <w:r w:rsidRPr="00B97E89">
        <w:t>(3): p. 273-298.</w:t>
      </w:r>
    </w:p>
    <w:p w14:paraId="223E2BAB" w14:textId="77777777" w:rsidR="00B97E89" w:rsidRPr="00B97E89" w:rsidRDefault="00B97E89" w:rsidP="00B97E89">
      <w:pPr>
        <w:pStyle w:val="EndNoteBibliography"/>
        <w:spacing w:after="0"/>
        <w:ind w:left="720" w:hanging="720"/>
      </w:pPr>
      <w:r w:rsidRPr="00B97E89">
        <w:t>32.</w:t>
      </w:r>
      <w:r w:rsidRPr="00B97E89">
        <w:tab/>
        <w:t xml:space="preserve">Tenenbaum, J.B., V.d. Silva, and J.C. Langford, </w:t>
      </w:r>
      <w:r w:rsidRPr="00B97E89">
        <w:rPr>
          <w:i/>
        </w:rPr>
        <w:t>A global geometric framework for nonlinear dimensionality reduction.</w:t>
      </w:r>
      <w:r w:rsidRPr="00B97E89">
        <w:t xml:space="preserve"> science, 2000. </w:t>
      </w:r>
      <w:r w:rsidRPr="00B97E89">
        <w:rPr>
          <w:b/>
        </w:rPr>
        <w:t>290</w:t>
      </w:r>
      <w:r w:rsidRPr="00B97E89">
        <w:t>(5500): p. 2319-2323.</w:t>
      </w:r>
    </w:p>
    <w:p w14:paraId="094662D9" w14:textId="77777777" w:rsidR="00B97E89" w:rsidRPr="00B97E89" w:rsidRDefault="00B97E89" w:rsidP="00B97E89">
      <w:pPr>
        <w:pStyle w:val="EndNoteBibliography"/>
        <w:spacing w:after="0"/>
        <w:ind w:left="720" w:hanging="720"/>
      </w:pPr>
      <w:r w:rsidRPr="00B97E89">
        <w:t>33.</w:t>
      </w:r>
      <w:r w:rsidRPr="00B97E89">
        <w:tab/>
        <w:t xml:space="preserve">Cao, K., et al., </w:t>
      </w:r>
      <w:r w:rsidRPr="00B97E89">
        <w:rPr>
          <w:i/>
        </w:rPr>
        <w:t>Unsupervised topological alignment for single-cell multi-omics integration.</w:t>
      </w:r>
      <w:r w:rsidRPr="00B97E89">
        <w:t xml:space="preserve"> Bioinformatics, 2020. </w:t>
      </w:r>
      <w:r w:rsidRPr="00B97E89">
        <w:rPr>
          <w:b/>
        </w:rPr>
        <w:t>36</w:t>
      </w:r>
      <w:r w:rsidRPr="00B97E89">
        <w:t>(Supplement_1): p. i48-i56.</w:t>
      </w:r>
    </w:p>
    <w:p w14:paraId="139CC947" w14:textId="77777777" w:rsidR="00B97E89" w:rsidRPr="00B97E89" w:rsidRDefault="00B97E89" w:rsidP="00B97E89">
      <w:pPr>
        <w:pStyle w:val="EndNoteBibliography"/>
        <w:spacing w:after="0"/>
        <w:ind w:left="720" w:hanging="720"/>
        <w:rPr>
          <w:i/>
        </w:rPr>
      </w:pPr>
      <w:r w:rsidRPr="00B97E89">
        <w:t>34.</w:t>
      </w:r>
      <w:r w:rsidRPr="00B97E89">
        <w:tab/>
        <w:t xml:space="preserve">Kalafut, N.C., X. Huang, and D. Wang, </w:t>
      </w:r>
      <w:r w:rsidRPr="00B97E89">
        <w:rPr>
          <w:i/>
        </w:rPr>
        <w:t>JAMIE: Joint Variational Autoencoders for Multi-Modal Imputation and Embedding.</w:t>
      </w:r>
    </w:p>
    <w:p w14:paraId="08B260F5" w14:textId="77777777" w:rsidR="00B97E89" w:rsidRPr="00B97E89" w:rsidRDefault="00B97E89" w:rsidP="00B97E89">
      <w:pPr>
        <w:pStyle w:val="EndNoteBibliography"/>
        <w:spacing w:after="0"/>
        <w:ind w:left="720" w:hanging="720"/>
      </w:pPr>
      <w:r w:rsidRPr="00B97E89">
        <w:t>35.</w:t>
      </w:r>
      <w:r w:rsidRPr="00B97E89">
        <w:tab/>
        <w:t xml:space="preserve">Chipman, H.A. and H. Gu, </w:t>
      </w:r>
      <w:r w:rsidRPr="00B97E89">
        <w:rPr>
          <w:i/>
        </w:rPr>
        <w:t>Interpretable dimension reduction.</w:t>
      </w:r>
      <w:r w:rsidRPr="00B97E89">
        <w:t xml:space="preserve"> Journal of applied statistics, 2005. </w:t>
      </w:r>
      <w:r w:rsidRPr="00B97E89">
        <w:rPr>
          <w:b/>
        </w:rPr>
        <w:t>32</w:t>
      </w:r>
      <w:r w:rsidRPr="00B97E89">
        <w:t>(9): p. 969-987.</w:t>
      </w:r>
    </w:p>
    <w:p w14:paraId="073B59AD" w14:textId="77777777" w:rsidR="00B97E89" w:rsidRPr="00B97E89" w:rsidRDefault="00B97E89" w:rsidP="00B97E89">
      <w:pPr>
        <w:pStyle w:val="EndNoteBibliography"/>
        <w:spacing w:after="0"/>
        <w:ind w:left="720" w:hanging="720"/>
      </w:pPr>
      <w:r w:rsidRPr="00B97E89">
        <w:t>36.</w:t>
      </w:r>
      <w:r w:rsidRPr="00B97E89">
        <w:tab/>
        <w:t xml:space="preserve">Ng, A., M. Jordan, and Y. Weiss, </w:t>
      </w:r>
      <w:r w:rsidRPr="00B97E89">
        <w:rPr>
          <w:i/>
        </w:rPr>
        <w:t>On spectral clustering: Analysis and an algorithm.</w:t>
      </w:r>
      <w:r w:rsidRPr="00B97E89">
        <w:t xml:space="preserve"> Advances in neural information processing systems, 2001. </w:t>
      </w:r>
      <w:r w:rsidRPr="00B97E89">
        <w:rPr>
          <w:b/>
        </w:rPr>
        <w:t>14</w:t>
      </w:r>
      <w:r w:rsidRPr="00B97E89">
        <w:t>.</w:t>
      </w:r>
    </w:p>
    <w:p w14:paraId="198B3EB0" w14:textId="77777777" w:rsidR="00B97E89" w:rsidRPr="00B97E89" w:rsidRDefault="00B97E89" w:rsidP="00B97E89">
      <w:pPr>
        <w:pStyle w:val="EndNoteBibliography"/>
        <w:spacing w:after="0"/>
        <w:ind w:left="720" w:hanging="720"/>
      </w:pPr>
      <w:r w:rsidRPr="00B97E89">
        <w:t>37.</w:t>
      </w:r>
      <w:r w:rsidRPr="00B97E89">
        <w:tab/>
        <w:t xml:space="preserve">Efron, B. and R.J. Tibshirani, </w:t>
      </w:r>
      <w:r w:rsidRPr="00B97E89">
        <w:rPr>
          <w:i/>
        </w:rPr>
        <w:t>An introduction to the bootstrap</w:t>
      </w:r>
      <w:r w:rsidRPr="00B97E89">
        <w:t>. 1994: Chapman and Hall/CRC.</w:t>
      </w:r>
    </w:p>
    <w:p w14:paraId="6AA6E844" w14:textId="77777777" w:rsidR="00B97E89" w:rsidRPr="00B97E89" w:rsidRDefault="00B97E89" w:rsidP="00B97E89">
      <w:pPr>
        <w:pStyle w:val="EndNoteBibliography"/>
        <w:spacing w:after="0"/>
        <w:ind w:left="720" w:hanging="720"/>
      </w:pPr>
      <w:r w:rsidRPr="00B97E89">
        <w:t>38.</w:t>
      </w:r>
      <w:r w:rsidRPr="00B97E89">
        <w:tab/>
        <w:t xml:space="preserve">Hubert, L. and P. Arabie, </w:t>
      </w:r>
      <w:r w:rsidRPr="00B97E89">
        <w:rPr>
          <w:i/>
        </w:rPr>
        <w:t>Comparing partitions.</w:t>
      </w:r>
      <w:r w:rsidRPr="00B97E89">
        <w:t xml:space="preserve"> Journal of classification, 1985. </w:t>
      </w:r>
      <w:r w:rsidRPr="00B97E89">
        <w:rPr>
          <w:b/>
        </w:rPr>
        <w:t>2</w:t>
      </w:r>
      <w:r w:rsidRPr="00B97E89">
        <w:t>(1): p. 193-218.</w:t>
      </w:r>
    </w:p>
    <w:p w14:paraId="6EE8724B" w14:textId="77777777" w:rsidR="00B97E89" w:rsidRPr="00B97E89" w:rsidRDefault="00B97E89" w:rsidP="00B97E89">
      <w:pPr>
        <w:pStyle w:val="EndNoteBibliography"/>
        <w:spacing w:after="0"/>
        <w:ind w:left="720" w:hanging="720"/>
      </w:pPr>
      <w:r w:rsidRPr="00B97E89">
        <w:lastRenderedPageBreak/>
        <w:t>39.</w:t>
      </w:r>
      <w:r w:rsidRPr="00B97E89">
        <w:tab/>
        <w:t xml:space="preserve">Strehl, A. and J. Ghosh, </w:t>
      </w:r>
      <w:r w:rsidRPr="00B97E89">
        <w:rPr>
          <w:i/>
        </w:rPr>
        <w:t>Cluster ensembles---a knowledge reuse framework for combining multiple partitions.</w:t>
      </w:r>
      <w:r w:rsidRPr="00B97E89">
        <w:t xml:space="preserve"> Journal of machine learning research, 2002. </w:t>
      </w:r>
      <w:r w:rsidRPr="00B97E89">
        <w:rPr>
          <w:b/>
        </w:rPr>
        <w:t>3</w:t>
      </w:r>
      <w:r w:rsidRPr="00B97E89">
        <w:t>(Dec): p. 583-617.</w:t>
      </w:r>
    </w:p>
    <w:p w14:paraId="1C48F56B" w14:textId="77777777" w:rsidR="00B97E89" w:rsidRPr="00B97E89" w:rsidRDefault="00B97E89" w:rsidP="00B97E89">
      <w:pPr>
        <w:pStyle w:val="EndNoteBibliography"/>
        <w:ind w:left="720" w:hanging="720"/>
      </w:pPr>
      <w:r w:rsidRPr="00B97E89">
        <w:t>40.</w:t>
      </w:r>
      <w:r w:rsidRPr="00B97E89">
        <w:tab/>
        <w:t xml:space="preserve">Ronchetti, E.M. and P.J. Huber, </w:t>
      </w:r>
      <w:r w:rsidRPr="00B97E89">
        <w:rPr>
          <w:i/>
        </w:rPr>
        <w:t>Robust statistics</w:t>
      </w:r>
      <w:r w:rsidRPr="00B97E89">
        <w:t>. 2009: John Wiley &amp; Sons Hoboken, NJ, USA.</w:t>
      </w:r>
    </w:p>
    <w:p w14:paraId="2380DB11" w14:textId="45E5CF27" w:rsidR="0067347A" w:rsidRDefault="003609CC">
      <w:r>
        <w:fldChar w:fldCharType="end"/>
      </w:r>
    </w:p>
    <w:sectPr w:rsidR="00673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2E2"/>
    <w:multiLevelType w:val="multilevel"/>
    <w:tmpl w:val="52A4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13E80"/>
    <w:multiLevelType w:val="multilevel"/>
    <w:tmpl w:val="EA90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40776E"/>
    <w:multiLevelType w:val="multilevel"/>
    <w:tmpl w:val="FB16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DA0149"/>
    <w:multiLevelType w:val="multilevel"/>
    <w:tmpl w:val="1D28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F29A9"/>
    <w:multiLevelType w:val="multilevel"/>
    <w:tmpl w:val="CB2E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96ED7"/>
    <w:multiLevelType w:val="multilevel"/>
    <w:tmpl w:val="003C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296537">
    <w:abstractNumId w:val="3"/>
  </w:num>
  <w:num w:numId="2" w16cid:durableId="2127431769">
    <w:abstractNumId w:val="2"/>
  </w:num>
  <w:num w:numId="3" w16cid:durableId="1532260314">
    <w:abstractNumId w:val="4"/>
  </w:num>
  <w:num w:numId="4" w16cid:durableId="1764647452">
    <w:abstractNumId w:val="1"/>
  </w:num>
  <w:num w:numId="5" w16cid:durableId="898176423">
    <w:abstractNumId w:val="5"/>
  </w:num>
  <w:num w:numId="6" w16cid:durableId="13180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w5p9exs29tsnea0afp092b5s22ez9rxvdw&quot;&gt;My EndNote Library2&lt;record-ids&gt;&lt;item&gt;3&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5&lt;/item&gt;&lt;item&gt;47&lt;/item&gt;&lt;item&gt;48&lt;/item&gt;&lt;item&gt;49&lt;/item&gt;&lt;item&gt;57&lt;/item&gt;&lt;item&gt;60&lt;/item&gt;&lt;item&gt;61&lt;/item&gt;&lt;item&gt;62&lt;/item&gt;&lt;/record-ids&gt;&lt;/item&gt;&lt;/Libraries&gt;"/>
  </w:docVars>
  <w:rsids>
    <w:rsidRoot w:val="00581BCE"/>
    <w:rsid w:val="00012369"/>
    <w:rsid w:val="00016BD5"/>
    <w:rsid w:val="00027D5E"/>
    <w:rsid w:val="00030374"/>
    <w:rsid w:val="00063228"/>
    <w:rsid w:val="000871F1"/>
    <w:rsid w:val="000A1C4E"/>
    <w:rsid w:val="000C7C5A"/>
    <w:rsid w:val="000E58D7"/>
    <w:rsid w:val="000F62C6"/>
    <w:rsid w:val="00115637"/>
    <w:rsid w:val="00115F3A"/>
    <w:rsid w:val="001224A1"/>
    <w:rsid w:val="00131F8B"/>
    <w:rsid w:val="00150230"/>
    <w:rsid w:val="00154A1F"/>
    <w:rsid w:val="0015697C"/>
    <w:rsid w:val="00165980"/>
    <w:rsid w:val="001741FF"/>
    <w:rsid w:val="00184657"/>
    <w:rsid w:val="00185CC8"/>
    <w:rsid w:val="001907DE"/>
    <w:rsid w:val="001A1BAB"/>
    <w:rsid w:val="001B089F"/>
    <w:rsid w:val="001B4507"/>
    <w:rsid w:val="001C7199"/>
    <w:rsid w:val="001D3A24"/>
    <w:rsid w:val="001F1CBC"/>
    <w:rsid w:val="001F25F3"/>
    <w:rsid w:val="001F2C19"/>
    <w:rsid w:val="001F419D"/>
    <w:rsid w:val="00211854"/>
    <w:rsid w:val="00222D28"/>
    <w:rsid w:val="00231AE8"/>
    <w:rsid w:val="00245006"/>
    <w:rsid w:val="00255F3E"/>
    <w:rsid w:val="002674D0"/>
    <w:rsid w:val="00294FE6"/>
    <w:rsid w:val="002A4DEB"/>
    <w:rsid w:val="002B182B"/>
    <w:rsid w:val="002C0CB7"/>
    <w:rsid w:val="002C69DF"/>
    <w:rsid w:val="002D5A5A"/>
    <w:rsid w:val="002E5548"/>
    <w:rsid w:val="002E73BE"/>
    <w:rsid w:val="002F38F6"/>
    <w:rsid w:val="002F614C"/>
    <w:rsid w:val="00305B39"/>
    <w:rsid w:val="003112F5"/>
    <w:rsid w:val="0032425C"/>
    <w:rsid w:val="003265EB"/>
    <w:rsid w:val="003370AC"/>
    <w:rsid w:val="00350F04"/>
    <w:rsid w:val="00352115"/>
    <w:rsid w:val="00360070"/>
    <w:rsid w:val="003609CC"/>
    <w:rsid w:val="00367B80"/>
    <w:rsid w:val="0037218B"/>
    <w:rsid w:val="0038716D"/>
    <w:rsid w:val="003C05FE"/>
    <w:rsid w:val="003C5D98"/>
    <w:rsid w:val="003C6626"/>
    <w:rsid w:val="003F2C8E"/>
    <w:rsid w:val="0040656F"/>
    <w:rsid w:val="00430279"/>
    <w:rsid w:val="00442D65"/>
    <w:rsid w:val="0046367D"/>
    <w:rsid w:val="00466405"/>
    <w:rsid w:val="00466EA3"/>
    <w:rsid w:val="0047488C"/>
    <w:rsid w:val="00476384"/>
    <w:rsid w:val="00480913"/>
    <w:rsid w:val="00483402"/>
    <w:rsid w:val="00483CF3"/>
    <w:rsid w:val="00492B37"/>
    <w:rsid w:val="004946D6"/>
    <w:rsid w:val="004A4D8E"/>
    <w:rsid w:val="004B269D"/>
    <w:rsid w:val="004B2777"/>
    <w:rsid w:val="004C3647"/>
    <w:rsid w:val="004C74D2"/>
    <w:rsid w:val="004D4862"/>
    <w:rsid w:val="004F6EBD"/>
    <w:rsid w:val="00506DD0"/>
    <w:rsid w:val="00507032"/>
    <w:rsid w:val="00513DA4"/>
    <w:rsid w:val="0053050C"/>
    <w:rsid w:val="0053640D"/>
    <w:rsid w:val="00545601"/>
    <w:rsid w:val="00557DD7"/>
    <w:rsid w:val="00565F14"/>
    <w:rsid w:val="00571A8A"/>
    <w:rsid w:val="0057248E"/>
    <w:rsid w:val="00581BCE"/>
    <w:rsid w:val="00582BC2"/>
    <w:rsid w:val="005A2E77"/>
    <w:rsid w:val="005A4578"/>
    <w:rsid w:val="005A4A18"/>
    <w:rsid w:val="005C0532"/>
    <w:rsid w:val="005C1928"/>
    <w:rsid w:val="005C4579"/>
    <w:rsid w:val="005C4F4C"/>
    <w:rsid w:val="005C6F50"/>
    <w:rsid w:val="005D55F3"/>
    <w:rsid w:val="005D706A"/>
    <w:rsid w:val="005E4799"/>
    <w:rsid w:val="005F588D"/>
    <w:rsid w:val="005F670B"/>
    <w:rsid w:val="00607463"/>
    <w:rsid w:val="00610283"/>
    <w:rsid w:val="00610F4F"/>
    <w:rsid w:val="00614D29"/>
    <w:rsid w:val="0061671C"/>
    <w:rsid w:val="00624A0D"/>
    <w:rsid w:val="006329ED"/>
    <w:rsid w:val="00637A4B"/>
    <w:rsid w:val="00640C6A"/>
    <w:rsid w:val="00643D28"/>
    <w:rsid w:val="00651827"/>
    <w:rsid w:val="006575DD"/>
    <w:rsid w:val="00660886"/>
    <w:rsid w:val="00662E39"/>
    <w:rsid w:val="00667834"/>
    <w:rsid w:val="00667FDE"/>
    <w:rsid w:val="0067347A"/>
    <w:rsid w:val="0067528F"/>
    <w:rsid w:val="00682D90"/>
    <w:rsid w:val="00683893"/>
    <w:rsid w:val="00685B46"/>
    <w:rsid w:val="006960C2"/>
    <w:rsid w:val="006A4739"/>
    <w:rsid w:val="006A4F0A"/>
    <w:rsid w:val="006A6D00"/>
    <w:rsid w:val="006B09EB"/>
    <w:rsid w:val="006B494F"/>
    <w:rsid w:val="006D6516"/>
    <w:rsid w:val="006E6F06"/>
    <w:rsid w:val="007005B5"/>
    <w:rsid w:val="00700604"/>
    <w:rsid w:val="00704FC3"/>
    <w:rsid w:val="007278E7"/>
    <w:rsid w:val="00730630"/>
    <w:rsid w:val="00761C4E"/>
    <w:rsid w:val="007860E3"/>
    <w:rsid w:val="007B1E13"/>
    <w:rsid w:val="007B4B6D"/>
    <w:rsid w:val="007B77B4"/>
    <w:rsid w:val="007C6963"/>
    <w:rsid w:val="007D50B1"/>
    <w:rsid w:val="007D7329"/>
    <w:rsid w:val="007E3C32"/>
    <w:rsid w:val="007E4CFD"/>
    <w:rsid w:val="007F0DF3"/>
    <w:rsid w:val="007F2664"/>
    <w:rsid w:val="008012FF"/>
    <w:rsid w:val="00806228"/>
    <w:rsid w:val="00834235"/>
    <w:rsid w:val="00834C75"/>
    <w:rsid w:val="0083647B"/>
    <w:rsid w:val="00847965"/>
    <w:rsid w:val="00860E1B"/>
    <w:rsid w:val="00897242"/>
    <w:rsid w:val="008A01F1"/>
    <w:rsid w:val="008A1928"/>
    <w:rsid w:val="008B3185"/>
    <w:rsid w:val="008B3E0E"/>
    <w:rsid w:val="008C0582"/>
    <w:rsid w:val="008C208E"/>
    <w:rsid w:val="008C64D4"/>
    <w:rsid w:val="008E06C4"/>
    <w:rsid w:val="008E1AA3"/>
    <w:rsid w:val="008E68E1"/>
    <w:rsid w:val="008E77C4"/>
    <w:rsid w:val="00904ECD"/>
    <w:rsid w:val="00926CF1"/>
    <w:rsid w:val="00931606"/>
    <w:rsid w:val="00970F88"/>
    <w:rsid w:val="00971E6F"/>
    <w:rsid w:val="00974219"/>
    <w:rsid w:val="009746B7"/>
    <w:rsid w:val="00977A6F"/>
    <w:rsid w:val="009806C6"/>
    <w:rsid w:val="009819A7"/>
    <w:rsid w:val="00985589"/>
    <w:rsid w:val="0099699E"/>
    <w:rsid w:val="009C488D"/>
    <w:rsid w:val="009D4D2C"/>
    <w:rsid w:val="009D5632"/>
    <w:rsid w:val="009E2A99"/>
    <w:rsid w:val="009E44BA"/>
    <w:rsid w:val="009F594F"/>
    <w:rsid w:val="00A043AC"/>
    <w:rsid w:val="00A1192D"/>
    <w:rsid w:val="00A136CC"/>
    <w:rsid w:val="00A2088A"/>
    <w:rsid w:val="00A239E0"/>
    <w:rsid w:val="00A334C6"/>
    <w:rsid w:val="00A34B08"/>
    <w:rsid w:val="00A34C53"/>
    <w:rsid w:val="00A423F9"/>
    <w:rsid w:val="00A424DB"/>
    <w:rsid w:val="00A524B4"/>
    <w:rsid w:val="00A528DA"/>
    <w:rsid w:val="00A61F2E"/>
    <w:rsid w:val="00A719A3"/>
    <w:rsid w:val="00A764D9"/>
    <w:rsid w:val="00AB2C56"/>
    <w:rsid w:val="00AC5467"/>
    <w:rsid w:val="00AD20B7"/>
    <w:rsid w:val="00AE557F"/>
    <w:rsid w:val="00AF4462"/>
    <w:rsid w:val="00AF54CE"/>
    <w:rsid w:val="00AF6ECC"/>
    <w:rsid w:val="00B32A29"/>
    <w:rsid w:val="00B36EA9"/>
    <w:rsid w:val="00B564A4"/>
    <w:rsid w:val="00B63B4C"/>
    <w:rsid w:val="00B707F1"/>
    <w:rsid w:val="00B7138E"/>
    <w:rsid w:val="00B771AE"/>
    <w:rsid w:val="00B80BA7"/>
    <w:rsid w:val="00B83477"/>
    <w:rsid w:val="00B837F8"/>
    <w:rsid w:val="00B930FF"/>
    <w:rsid w:val="00B94032"/>
    <w:rsid w:val="00B97E89"/>
    <w:rsid w:val="00BC2097"/>
    <w:rsid w:val="00BC6BF1"/>
    <w:rsid w:val="00BD0272"/>
    <w:rsid w:val="00BD1EFB"/>
    <w:rsid w:val="00BD3A52"/>
    <w:rsid w:val="00BD4390"/>
    <w:rsid w:val="00BD6646"/>
    <w:rsid w:val="00BE2D94"/>
    <w:rsid w:val="00BE69BB"/>
    <w:rsid w:val="00BF2408"/>
    <w:rsid w:val="00C269AB"/>
    <w:rsid w:val="00C303C9"/>
    <w:rsid w:val="00C323ED"/>
    <w:rsid w:val="00C34D45"/>
    <w:rsid w:val="00C4044A"/>
    <w:rsid w:val="00C51316"/>
    <w:rsid w:val="00C547F7"/>
    <w:rsid w:val="00C551E6"/>
    <w:rsid w:val="00C62704"/>
    <w:rsid w:val="00C74841"/>
    <w:rsid w:val="00C75076"/>
    <w:rsid w:val="00C76421"/>
    <w:rsid w:val="00C83E75"/>
    <w:rsid w:val="00CA1D82"/>
    <w:rsid w:val="00CA5E8E"/>
    <w:rsid w:val="00CC0DAD"/>
    <w:rsid w:val="00CC3D12"/>
    <w:rsid w:val="00CD5AF3"/>
    <w:rsid w:val="00D02DE6"/>
    <w:rsid w:val="00D042ED"/>
    <w:rsid w:val="00D128F5"/>
    <w:rsid w:val="00D13629"/>
    <w:rsid w:val="00D2003D"/>
    <w:rsid w:val="00D5007E"/>
    <w:rsid w:val="00D503F6"/>
    <w:rsid w:val="00D52483"/>
    <w:rsid w:val="00D54B87"/>
    <w:rsid w:val="00D63E9B"/>
    <w:rsid w:val="00D738EF"/>
    <w:rsid w:val="00D73B87"/>
    <w:rsid w:val="00D93BE1"/>
    <w:rsid w:val="00D94B84"/>
    <w:rsid w:val="00DA1103"/>
    <w:rsid w:val="00DA5FE2"/>
    <w:rsid w:val="00DB1447"/>
    <w:rsid w:val="00DE0417"/>
    <w:rsid w:val="00DE6A4C"/>
    <w:rsid w:val="00DF2153"/>
    <w:rsid w:val="00DF7452"/>
    <w:rsid w:val="00E07B87"/>
    <w:rsid w:val="00E16788"/>
    <w:rsid w:val="00E33FC6"/>
    <w:rsid w:val="00E5048A"/>
    <w:rsid w:val="00E51CE0"/>
    <w:rsid w:val="00E545DF"/>
    <w:rsid w:val="00E63BA4"/>
    <w:rsid w:val="00E676A7"/>
    <w:rsid w:val="00E73C54"/>
    <w:rsid w:val="00E84BBD"/>
    <w:rsid w:val="00EB4596"/>
    <w:rsid w:val="00EC4610"/>
    <w:rsid w:val="00EC5421"/>
    <w:rsid w:val="00EC648B"/>
    <w:rsid w:val="00ED074A"/>
    <w:rsid w:val="00EE1705"/>
    <w:rsid w:val="00EF2B03"/>
    <w:rsid w:val="00F066BD"/>
    <w:rsid w:val="00F15A8B"/>
    <w:rsid w:val="00F17756"/>
    <w:rsid w:val="00F33B00"/>
    <w:rsid w:val="00F35614"/>
    <w:rsid w:val="00F406BD"/>
    <w:rsid w:val="00F43FB6"/>
    <w:rsid w:val="00F5137F"/>
    <w:rsid w:val="00F57028"/>
    <w:rsid w:val="00F57436"/>
    <w:rsid w:val="00F64A5C"/>
    <w:rsid w:val="00F73483"/>
    <w:rsid w:val="00F824C7"/>
    <w:rsid w:val="00FA41B7"/>
    <w:rsid w:val="00FC2FB1"/>
    <w:rsid w:val="00FC5026"/>
    <w:rsid w:val="00FD3902"/>
    <w:rsid w:val="00FF3AE9"/>
    <w:rsid w:val="00FF48FD"/>
    <w:rsid w:val="00FF5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ADAE"/>
  <w15:chartTrackingRefBased/>
  <w15:docId w15:val="{3B2BFFB9-8EDA-4E79-9B0F-FDCB8A47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paragraph" w:styleId="Heading1">
    <w:name w:val="heading 1"/>
    <w:basedOn w:val="Normal"/>
    <w:next w:val="Normal"/>
    <w:link w:val="Heading1Char"/>
    <w:uiPriority w:val="9"/>
    <w:qFormat/>
    <w:rsid w:val="00581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BC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581BC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81BC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81BCE"/>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581BCE"/>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581BCE"/>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581BCE"/>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581BCE"/>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581BCE"/>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581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BC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81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BC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81BCE"/>
    <w:pPr>
      <w:spacing w:before="160"/>
      <w:jc w:val="center"/>
    </w:pPr>
    <w:rPr>
      <w:i/>
      <w:iCs/>
      <w:color w:val="404040" w:themeColor="text1" w:themeTint="BF"/>
    </w:rPr>
  </w:style>
  <w:style w:type="character" w:customStyle="1" w:styleId="QuoteChar">
    <w:name w:val="Quote Char"/>
    <w:basedOn w:val="DefaultParagraphFont"/>
    <w:link w:val="Quote"/>
    <w:uiPriority w:val="29"/>
    <w:rsid w:val="00581BCE"/>
    <w:rPr>
      <w:i/>
      <w:iCs/>
      <w:color w:val="404040" w:themeColor="text1" w:themeTint="BF"/>
      <w:kern w:val="0"/>
      <w14:ligatures w14:val="none"/>
    </w:rPr>
  </w:style>
  <w:style w:type="paragraph" w:styleId="ListParagraph">
    <w:name w:val="List Paragraph"/>
    <w:basedOn w:val="Normal"/>
    <w:uiPriority w:val="34"/>
    <w:qFormat/>
    <w:rsid w:val="00581BCE"/>
    <w:pPr>
      <w:ind w:left="720"/>
      <w:contextualSpacing/>
    </w:pPr>
  </w:style>
  <w:style w:type="character" w:styleId="IntenseEmphasis">
    <w:name w:val="Intense Emphasis"/>
    <w:basedOn w:val="DefaultParagraphFont"/>
    <w:uiPriority w:val="21"/>
    <w:qFormat/>
    <w:rsid w:val="00581BCE"/>
    <w:rPr>
      <w:i/>
      <w:iCs/>
      <w:color w:val="0F4761" w:themeColor="accent1" w:themeShade="BF"/>
    </w:rPr>
  </w:style>
  <w:style w:type="paragraph" w:styleId="IntenseQuote">
    <w:name w:val="Intense Quote"/>
    <w:basedOn w:val="Normal"/>
    <w:next w:val="Normal"/>
    <w:link w:val="IntenseQuoteChar"/>
    <w:uiPriority w:val="30"/>
    <w:qFormat/>
    <w:rsid w:val="00581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BCE"/>
    <w:rPr>
      <w:i/>
      <w:iCs/>
      <w:color w:val="0F4761" w:themeColor="accent1" w:themeShade="BF"/>
      <w:kern w:val="0"/>
      <w14:ligatures w14:val="none"/>
    </w:rPr>
  </w:style>
  <w:style w:type="character" w:styleId="IntenseReference">
    <w:name w:val="Intense Reference"/>
    <w:basedOn w:val="DefaultParagraphFont"/>
    <w:uiPriority w:val="32"/>
    <w:qFormat/>
    <w:rsid w:val="00581BCE"/>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3609CC"/>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3609CC"/>
    <w:rPr>
      <w:rFonts w:ascii="Aptos" w:hAnsi="Aptos"/>
      <w:noProof/>
      <w:kern w:val="0"/>
      <w14:ligatures w14:val="none"/>
    </w:rPr>
  </w:style>
  <w:style w:type="paragraph" w:customStyle="1" w:styleId="EndNoteBibliography">
    <w:name w:val="EndNote Bibliography"/>
    <w:basedOn w:val="Normal"/>
    <w:link w:val="EndNoteBibliographyChar"/>
    <w:rsid w:val="003609CC"/>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3609CC"/>
    <w:rPr>
      <w:rFonts w:ascii="Aptos" w:hAnsi="Aptos"/>
      <w:noProof/>
      <w:kern w:val="0"/>
      <w14:ligatures w14:val="none"/>
    </w:rPr>
  </w:style>
  <w:style w:type="paragraph" w:styleId="Revision">
    <w:name w:val="Revision"/>
    <w:hidden/>
    <w:uiPriority w:val="99"/>
    <w:semiHidden/>
    <w:rsid w:val="00030374"/>
    <w:pPr>
      <w:spacing w:after="0" w:line="240" w:lineRule="auto"/>
    </w:pPr>
    <w:rPr>
      <w:kern w:val="0"/>
      <w14:ligatures w14:val="none"/>
    </w:rPr>
  </w:style>
  <w:style w:type="table" w:styleId="TableGrid">
    <w:name w:val="Table Grid"/>
    <w:basedOn w:val="TableNormal"/>
    <w:uiPriority w:val="39"/>
    <w:rsid w:val="00B8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2389</TotalTime>
  <Pages>10</Pages>
  <Words>7631</Words>
  <Characters>43501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 Lindong</dc:creator>
  <cp:keywords/>
  <dc:description/>
  <cp:lastModifiedBy>Jiang, Lindong</cp:lastModifiedBy>
  <cp:revision>322</cp:revision>
  <dcterms:created xsi:type="dcterms:W3CDTF">2026-02-09T19:09:00Z</dcterms:created>
  <dcterms:modified xsi:type="dcterms:W3CDTF">2026-05-26T18:58:00Z</dcterms:modified>
</cp:coreProperties>
</file>