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6E81" w14:textId="1B6739E1" w:rsidR="00637C27" w:rsidRDefault="00637C27" w:rsidP="001231D9">
      <w:pPr>
        <w:spacing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Supp</w:t>
      </w:r>
      <w:r w:rsidR="0085532B">
        <w:rPr>
          <w:b/>
          <w:bCs/>
          <w:lang w:val="en-US"/>
        </w:rPr>
        <w:t xml:space="preserve">lementary </w:t>
      </w:r>
    </w:p>
    <w:p w14:paraId="08C2F7E4" w14:textId="778FE663" w:rsidR="006452AD" w:rsidRDefault="006452AD" w:rsidP="001231D9">
      <w:pPr>
        <w:spacing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Bacterial topology of the respiratory tract, including the pulmonary site-of-disease in people with active tuberculosis: a case-control study</w:t>
      </w:r>
    </w:p>
    <w:p w14:paraId="5863C045" w14:textId="77777777" w:rsidR="0085532B" w:rsidRDefault="0085532B" w:rsidP="0085532B">
      <w:pPr>
        <w:suppressLineNumbers/>
        <w:spacing w:line="240" w:lineRule="auto"/>
        <w:rPr>
          <w:b/>
          <w:bCs/>
          <w:lang w:val="en-US"/>
        </w:rPr>
      </w:pPr>
    </w:p>
    <w:p w14:paraId="41F2EB91" w14:textId="2E35940F" w:rsidR="00BD5B59" w:rsidRDefault="00C959A3" w:rsidP="001231D9">
      <w:pPr>
        <w:spacing w:line="240" w:lineRule="auto"/>
        <w:rPr>
          <w:rFonts w:eastAsia="Calibri"/>
        </w:rPr>
      </w:pPr>
      <w:bookmarkStart w:id="0" w:name="_Toc231480749"/>
      <w:r w:rsidRPr="20CCFEDD">
        <w:rPr>
          <w:rStyle w:val="Heading1Char"/>
        </w:rPr>
        <w:t>Table of contents</w:t>
      </w:r>
      <w:bookmarkEnd w:id="0"/>
      <w:r w:rsidRPr="20CCFEDD">
        <w:rPr>
          <w:rFonts w:eastAsia="Calibri"/>
        </w:rPr>
        <w:t xml:space="preserve"> </w:t>
      </w:r>
    </w:p>
    <w:sdt>
      <w:sdtPr>
        <w:rPr>
          <w:b w:val="0"/>
          <w:bCs w:val="0"/>
          <w:noProof w:val="0"/>
        </w:rPr>
        <w:id w:val="-725764694"/>
        <w:docPartObj>
          <w:docPartGallery w:val="Table of Contents"/>
          <w:docPartUnique/>
        </w:docPartObj>
      </w:sdtPr>
      <w:sdtEndPr/>
      <w:sdtContent>
        <w:p w14:paraId="279EE03E" w14:textId="0AAFCA6A" w:rsidR="00FB55C8" w:rsidRPr="00FB55C8" w:rsidRDefault="00A76E65" w:rsidP="00FB55C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ZA"/>
              <w14:ligatures w14:val="standardContextual"/>
            </w:rPr>
          </w:pPr>
          <w:r w:rsidRPr="00FB55C8">
            <w:rPr>
              <w:b w:val="0"/>
              <w:bCs w:val="0"/>
              <w:noProof w:val="0"/>
            </w:rPr>
            <w:fldChar w:fldCharType="begin"/>
          </w:r>
          <w:r w:rsidRPr="00FB55C8">
            <w:rPr>
              <w:b w:val="0"/>
              <w:bCs w:val="0"/>
            </w:rPr>
            <w:instrText xml:space="preserve"> TOC \o "1-3" \h \z \u </w:instrText>
          </w:r>
          <w:r w:rsidRPr="00FB55C8">
            <w:rPr>
              <w:b w:val="0"/>
              <w:bCs w:val="0"/>
              <w:noProof w:val="0"/>
            </w:rPr>
            <w:fldChar w:fldCharType="separate"/>
          </w:r>
          <w:hyperlink w:anchor="_Toc231480750" w:history="1">
            <w:r w:rsidR="00FB55C8" w:rsidRPr="00FB55C8">
              <w:rPr>
                <w:rStyle w:val="Hyperlink"/>
                <w:b w:val="0"/>
                <w:bCs w:val="0"/>
              </w:rPr>
              <w:t>Methods</w:t>
            </w:r>
            <w:r w:rsidR="00FB55C8" w:rsidRPr="00FB55C8">
              <w:rPr>
                <w:b w:val="0"/>
                <w:bCs w:val="0"/>
                <w:webHidden/>
              </w:rPr>
              <w:tab/>
            </w:r>
            <w:r w:rsidR="00FB55C8" w:rsidRPr="00FB55C8">
              <w:rPr>
                <w:b w:val="0"/>
                <w:bCs w:val="0"/>
                <w:webHidden/>
              </w:rPr>
              <w:fldChar w:fldCharType="begin"/>
            </w:r>
            <w:r w:rsidR="00FB55C8" w:rsidRPr="00FB55C8">
              <w:rPr>
                <w:b w:val="0"/>
                <w:bCs w:val="0"/>
                <w:webHidden/>
              </w:rPr>
              <w:instrText xml:space="preserve"> PAGEREF _Toc231480750 \h </w:instrText>
            </w:r>
            <w:r w:rsidR="00FB55C8" w:rsidRPr="00FB55C8">
              <w:rPr>
                <w:b w:val="0"/>
                <w:bCs w:val="0"/>
                <w:webHidden/>
              </w:rPr>
            </w:r>
            <w:r w:rsidR="00FB55C8" w:rsidRPr="00FB55C8">
              <w:rPr>
                <w:b w:val="0"/>
                <w:bCs w:val="0"/>
                <w:webHidden/>
              </w:rPr>
              <w:fldChar w:fldCharType="separate"/>
            </w:r>
            <w:r w:rsidR="00FB55C8" w:rsidRPr="00FB55C8">
              <w:rPr>
                <w:b w:val="0"/>
                <w:bCs w:val="0"/>
                <w:webHidden/>
              </w:rPr>
              <w:t>2</w:t>
            </w:r>
            <w:r w:rsidR="00FB55C8" w:rsidRPr="00FB55C8">
              <w:rPr>
                <w:b w:val="0"/>
                <w:bCs w:val="0"/>
                <w:webHidden/>
              </w:rPr>
              <w:fldChar w:fldCharType="end"/>
            </w:r>
          </w:hyperlink>
        </w:p>
        <w:p w14:paraId="150D6439" w14:textId="4790C4EF" w:rsidR="00FB55C8" w:rsidRPr="00FB55C8" w:rsidRDefault="00FB55C8" w:rsidP="00FB55C8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231480751" w:history="1">
            <w:r w:rsidRPr="00FB55C8">
              <w:rPr>
                <w:rStyle w:val="Hyperlink"/>
              </w:rPr>
              <w:t>Bronchoalveolar lavage</w:t>
            </w:r>
            <w:r w:rsidRPr="00FB55C8">
              <w:rPr>
                <w:webHidden/>
              </w:rPr>
              <w:tab/>
            </w:r>
            <w:r w:rsidRPr="00FB55C8">
              <w:rPr>
                <w:webHidden/>
              </w:rPr>
              <w:fldChar w:fldCharType="begin"/>
            </w:r>
            <w:r w:rsidRPr="00FB55C8">
              <w:rPr>
                <w:webHidden/>
              </w:rPr>
              <w:instrText xml:space="preserve"> PAGEREF _Toc231480751 \h </w:instrText>
            </w:r>
            <w:r w:rsidRPr="00FB55C8">
              <w:rPr>
                <w:webHidden/>
              </w:rPr>
            </w:r>
            <w:r w:rsidRPr="00FB55C8">
              <w:rPr>
                <w:webHidden/>
              </w:rPr>
              <w:fldChar w:fldCharType="separate"/>
            </w:r>
            <w:r w:rsidRPr="00FB55C8">
              <w:rPr>
                <w:webHidden/>
              </w:rPr>
              <w:t>2</w:t>
            </w:r>
            <w:r w:rsidRPr="00FB55C8">
              <w:rPr>
                <w:webHidden/>
              </w:rPr>
              <w:fldChar w:fldCharType="end"/>
            </w:r>
          </w:hyperlink>
        </w:p>
        <w:p w14:paraId="3DCA8CF0" w14:textId="1AF64EE2" w:rsidR="00FB55C8" w:rsidRPr="00FB55C8" w:rsidRDefault="00FB55C8" w:rsidP="00FB55C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231480752" w:history="1">
            <w:r w:rsidRPr="00FB55C8">
              <w:rPr>
                <w:rStyle w:val="Hyperlink"/>
                <w:b w:val="0"/>
                <w:bCs w:val="0"/>
              </w:rPr>
              <w:t>Supplementary figures</w:t>
            </w:r>
            <w:r w:rsidRPr="00FB55C8">
              <w:rPr>
                <w:b w:val="0"/>
                <w:bCs w:val="0"/>
                <w:webHidden/>
              </w:rPr>
              <w:tab/>
            </w:r>
            <w:r w:rsidRPr="00FB55C8">
              <w:rPr>
                <w:b w:val="0"/>
                <w:bCs w:val="0"/>
                <w:webHidden/>
              </w:rPr>
              <w:fldChar w:fldCharType="begin"/>
            </w:r>
            <w:r w:rsidRPr="00FB55C8">
              <w:rPr>
                <w:b w:val="0"/>
                <w:bCs w:val="0"/>
                <w:webHidden/>
              </w:rPr>
              <w:instrText xml:space="preserve"> PAGEREF _Toc231480752 \h </w:instrText>
            </w:r>
            <w:r w:rsidRPr="00FB55C8">
              <w:rPr>
                <w:b w:val="0"/>
                <w:bCs w:val="0"/>
                <w:webHidden/>
              </w:rPr>
            </w:r>
            <w:r w:rsidRPr="00FB55C8">
              <w:rPr>
                <w:b w:val="0"/>
                <w:bCs w:val="0"/>
                <w:webHidden/>
              </w:rPr>
              <w:fldChar w:fldCharType="separate"/>
            </w:r>
            <w:r w:rsidRPr="00FB55C8">
              <w:rPr>
                <w:b w:val="0"/>
                <w:bCs w:val="0"/>
                <w:webHidden/>
              </w:rPr>
              <w:t>3</w:t>
            </w:r>
            <w:r w:rsidRPr="00FB55C8">
              <w:rPr>
                <w:b w:val="0"/>
                <w:bCs w:val="0"/>
                <w:webHidden/>
              </w:rPr>
              <w:fldChar w:fldCharType="end"/>
            </w:r>
          </w:hyperlink>
        </w:p>
        <w:p w14:paraId="1E8DAFCD" w14:textId="21BA4E06" w:rsidR="00FB55C8" w:rsidRPr="00FB55C8" w:rsidRDefault="00FB55C8" w:rsidP="00FB55C8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231480753" w:history="1">
            <w:r w:rsidRPr="00FB55C8">
              <w:rPr>
                <w:rStyle w:val="Hyperlink"/>
              </w:rPr>
              <w:t>Figure S1.Specimens are distinct from background</w:t>
            </w:r>
            <w:r w:rsidRPr="00FB55C8">
              <w:rPr>
                <w:webHidden/>
              </w:rPr>
              <w:tab/>
            </w:r>
            <w:r w:rsidRPr="00FB55C8">
              <w:rPr>
                <w:webHidden/>
              </w:rPr>
              <w:fldChar w:fldCharType="begin"/>
            </w:r>
            <w:r w:rsidRPr="00FB55C8">
              <w:rPr>
                <w:webHidden/>
              </w:rPr>
              <w:instrText xml:space="preserve"> PAGEREF _Toc231480753 \h </w:instrText>
            </w:r>
            <w:r w:rsidRPr="00FB55C8">
              <w:rPr>
                <w:webHidden/>
              </w:rPr>
            </w:r>
            <w:r w:rsidRPr="00FB55C8">
              <w:rPr>
                <w:webHidden/>
              </w:rPr>
              <w:fldChar w:fldCharType="separate"/>
            </w:r>
            <w:r w:rsidRPr="00FB55C8">
              <w:rPr>
                <w:webHidden/>
              </w:rPr>
              <w:t>3</w:t>
            </w:r>
            <w:r w:rsidRPr="00FB55C8">
              <w:rPr>
                <w:webHidden/>
              </w:rPr>
              <w:fldChar w:fldCharType="end"/>
            </w:r>
          </w:hyperlink>
        </w:p>
        <w:p w14:paraId="3C9E126E" w14:textId="797B794D" w:rsidR="00FB55C8" w:rsidRPr="00FB55C8" w:rsidRDefault="00FB55C8" w:rsidP="00FB55C8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231480754" w:history="1">
            <w:r w:rsidRPr="00FB55C8">
              <w:rPr>
                <w:rStyle w:val="Hyperlink"/>
              </w:rPr>
              <w:t>Figure S2. Upper respiratory tract (URT) versus Sputum.</w:t>
            </w:r>
            <w:r w:rsidRPr="00FB55C8">
              <w:rPr>
                <w:webHidden/>
              </w:rPr>
              <w:tab/>
            </w:r>
            <w:r w:rsidRPr="00FB55C8">
              <w:rPr>
                <w:webHidden/>
              </w:rPr>
              <w:fldChar w:fldCharType="begin"/>
            </w:r>
            <w:r w:rsidRPr="00FB55C8">
              <w:rPr>
                <w:webHidden/>
              </w:rPr>
              <w:instrText xml:space="preserve"> PAGEREF _Toc231480754 \h </w:instrText>
            </w:r>
            <w:r w:rsidRPr="00FB55C8">
              <w:rPr>
                <w:webHidden/>
              </w:rPr>
            </w:r>
            <w:r w:rsidRPr="00FB55C8">
              <w:rPr>
                <w:webHidden/>
              </w:rPr>
              <w:fldChar w:fldCharType="separate"/>
            </w:r>
            <w:r w:rsidRPr="00FB55C8">
              <w:rPr>
                <w:webHidden/>
              </w:rPr>
              <w:t>4</w:t>
            </w:r>
            <w:r w:rsidRPr="00FB55C8">
              <w:rPr>
                <w:webHidden/>
              </w:rPr>
              <w:fldChar w:fldCharType="end"/>
            </w:r>
          </w:hyperlink>
        </w:p>
        <w:p w14:paraId="1735E054" w14:textId="461EDF67" w:rsidR="00FB55C8" w:rsidRPr="00FB55C8" w:rsidRDefault="00FB55C8" w:rsidP="00FB55C8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231480755" w:history="1">
            <w:r w:rsidRPr="00FB55C8">
              <w:rPr>
                <w:rStyle w:val="Hyperlink"/>
              </w:rPr>
              <w:t>Figure S3. Comparable microbiota in cases diseased and non-diseased protected specimen brushings</w:t>
            </w:r>
            <w:r w:rsidRPr="00FB55C8">
              <w:rPr>
                <w:webHidden/>
              </w:rPr>
              <w:tab/>
            </w:r>
            <w:r w:rsidRPr="00FB55C8">
              <w:rPr>
                <w:webHidden/>
              </w:rPr>
              <w:fldChar w:fldCharType="begin"/>
            </w:r>
            <w:r w:rsidRPr="00FB55C8">
              <w:rPr>
                <w:webHidden/>
              </w:rPr>
              <w:instrText xml:space="preserve"> PAGEREF _Toc231480755 \h </w:instrText>
            </w:r>
            <w:r w:rsidRPr="00FB55C8">
              <w:rPr>
                <w:webHidden/>
              </w:rPr>
            </w:r>
            <w:r w:rsidRPr="00FB55C8">
              <w:rPr>
                <w:webHidden/>
              </w:rPr>
              <w:fldChar w:fldCharType="separate"/>
            </w:r>
            <w:r w:rsidRPr="00FB55C8">
              <w:rPr>
                <w:webHidden/>
              </w:rPr>
              <w:t>5</w:t>
            </w:r>
            <w:r w:rsidRPr="00FB55C8">
              <w:rPr>
                <w:webHidden/>
              </w:rPr>
              <w:fldChar w:fldCharType="end"/>
            </w:r>
          </w:hyperlink>
        </w:p>
        <w:p w14:paraId="08EBAC3E" w14:textId="13EFC431" w:rsidR="00FB55C8" w:rsidRPr="00FB55C8" w:rsidRDefault="00FB55C8" w:rsidP="00FB55C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231480756" w:history="1">
            <w:r w:rsidRPr="00FB55C8">
              <w:rPr>
                <w:rStyle w:val="Hyperlink"/>
                <w:b w:val="0"/>
                <w:bCs w:val="0"/>
              </w:rPr>
              <w:t>References</w:t>
            </w:r>
            <w:r w:rsidRPr="00FB55C8">
              <w:rPr>
                <w:b w:val="0"/>
                <w:bCs w:val="0"/>
                <w:webHidden/>
              </w:rPr>
              <w:tab/>
            </w:r>
            <w:r w:rsidRPr="00FB55C8">
              <w:rPr>
                <w:b w:val="0"/>
                <w:bCs w:val="0"/>
                <w:webHidden/>
              </w:rPr>
              <w:fldChar w:fldCharType="begin"/>
            </w:r>
            <w:r w:rsidRPr="00FB55C8">
              <w:rPr>
                <w:b w:val="0"/>
                <w:bCs w:val="0"/>
                <w:webHidden/>
              </w:rPr>
              <w:instrText xml:space="preserve"> PAGEREF _Toc231480756 \h </w:instrText>
            </w:r>
            <w:r w:rsidRPr="00FB55C8">
              <w:rPr>
                <w:b w:val="0"/>
                <w:bCs w:val="0"/>
                <w:webHidden/>
              </w:rPr>
            </w:r>
            <w:r w:rsidRPr="00FB55C8">
              <w:rPr>
                <w:b w:val="0"/>
                <w:bCs w:val="0"/>
                <w:webHidden/>
              </w:rPr>
              <w:fldChar w:fldCharType="separate"/>
            </w:r>
            <w:r w:rsidRPr="00FB55C8">
              <w:rPr>
                <w:b w:val="0"/>
                <w:bCs w:val="0"/>
                <w:webHidden/>
              </w:rPr>
              <w:t>6</w:t>
            </w:r>
            <w:r w:rsidRPr="00FB55C8">
              <w:rPr>
                <w:b w:val="0"/>
                <w:bCs w:val="0"/>
                <w:webHidden/>
              </w:rPr>
              <w:fldChar w:fldCharType="end"/>
            </w:r>
          </w:hyperlink>
        </w:p>
        <w:p w14:paraId="70340CD5" w14:textId="543B8311" w:rsidR="007360AC" w:rsidRPr="004F14C1" w:rsidRDefault="00A76E65" w:rsidP="001231D9">
          <w:pPr>
            <w:spacing w:line="240" w:lineRule="auto"/>
          </w:pPr>
          <w:r w:rsidRPr="00FB55C8">
            <w:rPr>
              <w:noProof/>
            </w:rPr>
            <w:fldChar w:fldCharType="end"/>
          </w:r>
        </w:p>
      </w:sdtContent>
    </w:sdt>
    <w:p w14:paraId="0081516E" w14:textId="06ABDF95" w:rsidR="00F327A8" w:rsidRPr="00622C51" w:rsidRDefault="00F327A8" w:rsidP="001231D9">
      <w:pPr>
        <w:suppressLineNumbers/>
        <w:spacing w:line="240" w:lineRule="auto"/>
        <w:rPr>
          <w:b/>
          <w:bCs/>
          <w:noProof/>
        </w:rPr>
      </w:pPr>
      <w:r>
        <w:br w:type="page"/>
      </w:r>
    </w:p>
    <w:p w14:paraId="109B32DF" w14:textId="308885CA" w:rsidR="00891F79" w:rsidRDefault="00891F79" w:rsidP="001231D9">
      <w:pPr>
        <w:pStyle w:val="Heading1"/>
        <w:spacing w:line="240" w:lineRule="auto"/>
      </w:pPr>
      <w:bookmarkStart w:id="1" w:name="_Toc231480750"/>
      <w:r>
        <w:lastRenderedPageBreak/>
        <w:t>Methods</w:t>
      </w:r>
      <w:bookmarkEnd w:id="1"/>
    </w:p>
    <w:p w14:paraId="2CFB4066" w14:textId="499CDD6B" w:rsidR="00891F79" w:rsidRPr="0026276F" w:rsidRDefault="00891F79" w:rsidP="001231D9">
      <w:pPr>
        <w:pStyle w:val="Heading2"/>
        <w:spacing w:line="240" w:lineRule="auto"/>
        <w:jc w:val="both"/>
        <w:rPr>
          <w:i w:val="0"/>
          <w:iCs/>
          <w:u w:val="single"/>
        </w:rPr>
      </w:pPr>
      <w:bookmarkStart w:id="2" w:name="_Toc169301549"/>
      <w:bookmarkStart w:id="3" w:name="_Toc231480751"/>
      <w:r w:rsidRPr="0026276F">
        <w:rPr>
          <w:i w:val="0"/>
          <w:iCs/>
          <w:u w:val="single"/>
        </w:rPr>
        <w:t>Bronchoalveolar lavage</w:t>
      </w:r>
      <w:bookmarkEnd w:id="2"/>
      <w:bookmarkEnd w:id="3"/>
    </w:p>
    <w:p w14:paraId="1FB7D3BB" w14:textId="3FC3A740" w:rsidR="00114D44" w:rsidRPr="000C3216" w:rsidRDefault="00B24DF4" w:rsidP="001231D9">
      <w:pPr>
        <w:spacing w:line="240" w:lineRule="auto"/>
        <w:rPr>
          <w:rFonts w:cs="Arial"/>
          <w:color w:val="000000" w:themeColor="text1"/>
        </w:rPr>
      </w:pPr>
      <w:r w:rsidRPr="00B24DF4">
        <w:rPr>
          <w:rFonts w:cs="Arial"/>
          <w:color w:val="000000" w:themeColor="text1"/>
          <w:szCs w:val="22"/>
          <w:lang w:val="en-GB"/>
          <w14:ligatures w14:val="standardContextual"/>
        </w:rPr>
        <w:t xml:space="preserve">Fitness to undergo bronchoscopy was assessed by </w:t>
      </w:r>
      <w:r>
        <w:rPr>
          <w:rFonts w:cs="Arial"/>
          <w:color w:val="000000" w:themeColor="text1"/>
          <w:szCs w:val="22"/>
          <w:lang w:val="en-GB"/>
          <w14:ligatures w14:val="standardContextual"/>
        </w:rPr>
        <w:t xml:space="preserve">an </w:t>
      </w:r>
      <w:r w:rsidRPr="00B24DF4">
        <w:rPr>
          <w:rFonts w:cs="Arial"/>
          <w:color w:val="000000" w:themeColor="text1"/>
          <w:szCs w:val="22"/>
          <w:lang w:val="en-GB"/>
          <w14:ligatures w14:val="standardContextual"/>
        </w:rPr>
        <w:t xml:space="preserve">experienced pulmonologist following clinical examination and </w:t>
      </w:r>
      <w:r w:rsidR="00770648">
        <w:rPr>
          <w:rFonts w:cs="Arial"/>
          <w:color w:val="000000" w:themeColor="text1"/>
          <w:szCs w:val="22"/>
          <w:lang w:val="en-GB"/>
          <w14:ligatures w14:val="standardContextual"/>
        </w:rPr>
        <w:t>review of</w:t>
      </w:r>
      <w:r w:rsidRPr="00B24DF4">
        <w:rPr>
          <w:rFonts w:cs="Arial"/>
          <w:color w:val="000000" w:themeColor="text1"/>
          <w:szCs w:val="22"/>
          <w:lang w:val="en-GB"/>
          <w14:ligatures w14:val="standardContextual"/>
        </w:rPr>
        <w:t xml:space="preserve"> </w:t>
      </w:r>
      <w:r w:rsidR="00A504CE" w:rsidRPr="00B24DF4">
        <w:rPr>
          <w:rFonts w:cs="Arial"/>
          <w:color w:val="000000" w:themeColor="text1"/>
          <w:szCs w:val="22"/>
          <w:lang w:val="en-GB"/>
          <w14:ligatures w14:val="standardContextual"/>
        </w:rPr>
        <w:t xml:space="preserve">chest </w:t>
      </w:r>
      <w:r w:rsidR="00A504CE">
        <w:rPr>
          <w:rFonts w:cs="Arial"/>
          <w:color w:val="000000" w:themeColor="text1"/>
          <w:szCs w:val="22"/>
          <w:lang w:val="en-GB"/>
          <w14:ligatures w14:val="standardContextual"/>
        </w:rPr>
        <w:t>x-ray (CXR).</w:t>
      </w:r>
      <w:r w:rsidR="00126D3D">
        <w:rPr>
          <w:rFonts w:cs="Arial"/>
          <w:color w:val="000000" w:themeColor="text1"/>
          <w:szCs w:val="22"/>
          <w:lang w:val="en-GB"/>
          <w14:ligatures w14:val="standardContextual"/>
        </w:rPr>
        <w:t xml:space="preserve"> </w:t>
      </w:r>
      <w:r w:rsidR="00891F79">
        <w:t xml:space="preserve">Bronchoscopies with </w:t>
      </w:r>
      <w:r w:rsidR="00FA0221">
        <w:t>broncho</w:t>
      </w:r>
      <w:r w:rsidR="00891F79">
        <w:t xml:space="preserve">alveolar lavage </w:t>
      </w:r>
      <w:r w:rsidR="00A6357D">
        <w:t xml:space="preserve">(BAL) </w:t>
      </w:r>
      <w:r w:rsidR="00891F79">
        <w:t xml:space="preserve">were done at Tygerberg </w:t>
      </w:r>
      <w:r w:rsidR="00B933B8">
        <w:t xml:space="preserve">Academic </w:t>
      </w:r>
      <w:r w:rsidR="00891F79">
        <w:t xml:space="preserve">Hospital </w:t>
      </w:r>
      <w:r w:rsidR="00B933B8">
        <w:t xml:space="preserve">in </w:t>
      </w:r>
      <w:r w:rsidR="00891F79">
        <w:t>Cape Town</w:t>
      </w:r>
      <w:r w:rsidR="00B933B8">
        <w:t xml:space="preserve"> South Africa</w:t>
      </w:r>
      <w:r w:rsidR="00891F79">
        <w:t xml:space="preserve">, based on the </w:t>
      </w:r>
      <w:r w:rsidR="00891F79" w:rsidRPr="7CAB6F88">
        <w:rPr>
          <w:rFonts w:cs="Arial"/>
          <w:color w:val="000000" w:themeColor="text1"/>
        </w:rPr>
        <w:t>European Respiratory Society (ERS) and American Thoracic Society (ATS) recommendations</w:t>
      </w:r>
      <w:r w:rsidR="00891F79" w:rsidRPr="0053582E">
        <w:rPr>
          <w:rFonts w:cs="Arial"/>
          <w:noProof/>
          <w:color w:val="000000" w:themeColor="text1"/>
          <w:vertAlign w:val="superscript"/>
        </w:rPr>
        <w:t>1,2</w:t>
      </w:r>
      <w:r w:rsidR="00891F79" w:rsidRPr="7CAB6F88">
        <w:rPr>
          <w:rFonts w:eastAsia="Arial" w:cs="Arial"/>
          <w:color w:val="000000" w:themeColor="text1"/>
        </w:rPr>
        <w:t>.</w:t>
      </w:r>
      <w:r w:rsidR="00891F79" w:rsidRPr="7CAB6F88">
        <w:t xml:space="preserve"> </w:t>
      </w:r>
      <w:r w:rsidR="00891F79">
        <w:t xml:space="preserve">Local </w:t>
      </w:r>
      <w:r w:rsidR="00891F79" w:rsidRPr="7CAB6F88">
        <w:t xml:space="preserve">anaesthetic </w:t>
      </w:r>
      <w:r w:rsidR="00891F79" w:rsidRPr="7CAB6F88">
        <w:rPr>
          <w:rFonts w:cs="Arial"/>
          <w:color w:val="000000" w:themeColor="text1"/>
        </w:rPr>
        <w:t xml:space="preserve">lidocaine was used to suppress cough reflex during the procedure. </w:t>
      </w:r>
      <w:r w:rsidR="00C3160B" w:rsidRPr="007A4A06">
        <w:rPr>
          <w:rFonts w:cs="Arial"/>
          <w:color w:val="000000" w:themeColor="text1"/>
          <w:szCs w:val="22"/>
          <w:lang w:val="en-GB"/>
          <w14:ligatures w14:val="standardContextual"/>
        </w:rPr>
        <w:t>Propofol and fentanyl (or Midazolam)</w:t>
      </w:r>
      <w:r w:rsidR="00C3160B" w:rsidRPr="007A4A06">
        <w:rPr>
          <w:rFonts w:cs="Arial"/>
          <w:color w:val="000000" w:themeColor="text1"/>
          <w:szCs w:val="22"/>
        </w:rPr>
        <w:t xml:space="preserve"> </w:t>
      </w:r>
      <w:r w:rsidR="00891F79" w:rsidRPr="7CAB6F88">
        <w:rPr>
          <w:rFonts w:cs="Arial"/>
          <w:color w:val="000000" w:themeColor="text1"/>
        </w:rPr>
        <w:t xml:space="preserve">were administered </w:t>
      </w:r>
      <w:r w:rsidR="0073103E">
        <w:rPr>
          <w:rFonts w:cs="Arial"/>
          <w:color w:val="000000" w:themeColor="text1"/>
        </w:rPr>
        <w:t xml:space="preserve">for </w:t>
      </w:r>
      <w:r w:rsidR="00891F79" w:rsidRPr="7CAB6F88">
        <w:rPr>
          <w:rFonts w:cs="Arial"/>
          <w:color w:val="000000" w:themeColor="text1"/>
        </w:rPr>
        <w:t>conscious sedation during bronchoscopy.</w:t>
      </w:r>
      <w:r w:rsidR="002D45B0">
        <w:rPr>
          <w:rFonts w:cs="Arial"/>
          <w:color w:val="000000" w:themeColor="text1"/>
        </w:rPr>
        <w:t xml:space="preserve"> </w:t>
      </w:r>
      <w:r w:rsidR="00891F79">
        <w:rPr>
          <w:rFonts w:cs="Arial"/>
          <w:color w:val="000000" w:themeColor="text1"/>
        </w:rPr>
        <w:t>BAL</w:t>
      </w:r>
      <w:r w:rsidR="00891F79" w:rsidRPr="7CAB6F88">
        <w:rPr>
          <w:rFonts w:cs="Arial"/>
          <w:color w:val="000000" w:themeColor="text1"/>
        </w:rPr>
        <w:t xml:space="preserve"> with sequential aliquots of 60 mL saline was instilled and gently aspirated (after </w:t>
      </w:r>
      <w:r w:rsidR="00821E65">
        <w:rPr>
          <w:rFonts w:cs="Arial"/>
          <w:color w:val="000000" w:themeColor="text1"/>
        </w:rPr>
        <w:t>~</w:t>
      </w:r>
      <w:r w:rsidR="00891F79" w:rsidRPr="7CAB6F88">
        <w:rPr>
          <w:rFonts w:cs="Arial"/>
          <w:color w:val="000000" w:themeColor="text1"/>
        </w:rPr>
        <w:t>10s) from a sub-segmental bronchus of interest to a maximum of 150 mL per lobe.</w:t>
      </w:r>
      <w:r w:rsidR="006F4013">
        <w:rPr>
          <w:rFonts w:cs="Arial"/>
          <w:color w:val="000000" w:themeColor="text1"/>
        </w:rPr>
        <w:t xml:space="preserve"> </w:t>
      </w:r>
      <w:r w:rsidR="006F4013">
        <w:t>BAL was done sequentially, starting with the u</w:t>
      </w:r>
      <w:r w:rsidR="0035468F">
        <w:t>n</w:t>
      </w:r>
      <w:r w:rsidR="006F4013">
        <w:t>involved lobe and then the involved lobe</w:t>
      </w:r>
      <w:r w:rsidR="0035468F">
        <w:t>.</w:t>
      </w:r>
      <w:r w:rsidR="00FF5D9C">
        <w:t xml:space="preserve"> After BAL</w:t>
      </w:r>
      <w:r w:rsidR="0044172E">
        <w:t>,</w:t>
      </w:r>
      <w:r w:rsidR="0035468F">
        <w:t xml:space="preserve"> </w:t>
      </w:r>
      <w:r w:rsidR="00891F79" w:rsidRPr="7CAB6F88">
        <w:rPr>
          <w:rFonts w:cs="Arial"/>
          <w:color w:val="000000" w:themeColor="text1"/>
        </w:rPr>
        <w:t>endobronchial brushing</w:t>
      </w:r>
      <w:r w:rsidR="00891F79">
        <w:rPr>
          <w:rFonts w:cs="Arial"/>
          <w:color w:val="000000" w:themeColor="text1"/>
        </w:rPr>
        <w:t>s</w:t>
      </w:r>
      <w:r w:rsidR="00FF5D9C">
        <w:rPr>
          <w:rFonts w:cs="Arial"/>
          <w:color w:val="000000" w:themeColor="text1"/>
        </w:rPr>
        <w:t xml:space="preserve"> (in both lobes)</w:t>
      </w:r>
      <w:r w:rsidR="00891F79" w:rsidRPr="7CAB6F88">
        <w:rPr>
          <w:rFonts w:cs="Arial"/>
          <w:color w:val="000000" w:themeColor="text1"/>
        </w:rPr>
        <w:t xml:space="preserve"> with a sheathed protected specimen brush w</w:t>
      </w:r>
      <w:r w:rsidR="00891F79">
        <w:rPr>
          <w:rFonts w:cs="Arial"/>
          <w:color w:val="000000" w:themeColor="text1"/>
        </w:rPr>
        <w:t>ere</w:t>
      </w:r>
      <w:r w:rsidR="00891F79" w:rsidRPr="7CAB6F88">
        <w:rPr>
          <w:rFonts w:cs="Arial"/>
          <w:color w:val="000000" w:themeColor="text1"/>
        </w:rPr>
        <w:t xml:space="preserve"> done</w:t>
      </w:r>
      <w:r w:rsidR="00851748">
        <w:rPr>
          <w:rFonts w:cs="Arial"/>
          <w:color w:val="000000" w:themeColor="text1"/>
        </w:rPr>
        <w:t>.</w:t>
      </w:r>
      <w:r w:rsidR="001F1337">
        <w:rPr>
          <w:rFonts w:cs="Arial"/>
          <w:color w:val="000000" w:themeColor="text1"/>
        </w:rPr>
        <w:t xml:space="preserve"> </w:t>
      </w:r>
      <w:r w:rsidR="00891F79">
        <w:br w:type="page"/>
      </w:r>
    </w:p>
    <w:p w14:paraId="1FE2A25C" w14:textId="4B75DE65" w:rsidR="008D340F" w:rsidRDefault="00891F79" w:rsidP="001231D9">
      <w:pPr>
        <w:pStyle w:val="Heading1"/>
        <w:spacing w:before="0" w:line="240" w:lineRule="auto"/>
      </w:pPr>
      <w:bookmarkStart w:id="4" w:name="_Toc231480752"/>
      <w:r>
        <w:lastRenderedPageBreak/>
        <w:t>Supplementary figures</w:t>
      </w:r>
      <w:bookmarkEnd w:id="4"/>
    </w:p>
    <w:p w14:paraId="428709EE" w14:textId="2BD3FF6E" w:rsidR="005027E9" w:rsidRDefault="00652AF5" w:rsidP="001231D9">
      <w:pPr>
        <w:spacing w:line="240" w:lineRule="auto"/>
      </w:pPr>
      <w:bookmarkStart w:id="5" w:name="_Toc231480753"/>
      <w:r w:rsidRPr="00600457">
        <w:rPr>
          <w:rStyle w:val="Heading2Char"/>
          <w:b/>
          <w:bCs/>
          <w:i w:val="0"/>
          <w:iCs/>
        </w:rPr>
        <w:t>Figure S</w:t>
      </w:r>
      <w:r w:rsidR="008356F2" w:rsidRPr="00600457">
        <w:rPr>
          <w:rStyle w:val="Heading2Char"/>
          <w:b/>
          <w:bCs/>
          <w:i w:val="0"/>
          <w:iCs/>
        </w:rPr>
        <w:t>1.</w:t>
      </w:r>
      <w:r w:rsidR="008356F2">
        <w:rPr>
          <w:rStyle w:val="Heading2Char"/>
          <w:b/>
          <w:bCs/>
          <w:i w:val="0"/>
          <w:iCs/>
        </w:rPr>
        <w:t xml:space="preserve"> Specimens</w:t>
      </w:r>
      <w:r w:rsidR="00AD6CBF">
        <w:rPr>
          <w:rStyle w:val="Heading2Char"/>
          <w:b/>
          <w:bCs/>
          <w:i w:val="0"/>
          <w:iCs/>
        </w:rPr>
        <w:t xml:space="preserve"> are distinct from background</w:t>
      </w:r>
      <w:r w:rsidR="00D779B0">
        <w:rPr>
          <w:rStyle w:val="Heading2Char"/>
          <w:b/>
          <w:bCs/>
          <w:i w:val="0"/>
          <w:iCs/>
        </w:rPr>
        <w:t xml:space="preserve"> (BKG)</w:t>
      </w:r>
      <w:r w:rsidR="00937016" w:rsidRPr="00600457">
        <w:rPr>
          <w:rStyle w:val="Heading2Char"/>
          <w:b/>
          <w:bCs/>
          <w:i w:val="0"/>
          <w:iCs/>
        </w:rPr>
        <w:t>:</w:t>
      </w:r>
      <w:r w:rsidR="00937016" w:rsidRPr="00AC6F49">
        <w:rPr>
          <w:rStyle w:val="Heading2Char"/>
          <w:i w:val="0"/>
          <w:iCs/>
        </w:rPr>
        <w:t xml:space="preserve"> </w:t>
      </w:r>
      <w:r w:rsidR="00EA06C5">
        <w:rPr>
          <w:rStyle w:val="Heading2Char"/>
          <w:b/>
          <w:bCs/>
          <w:i w:val="0"/>
          <w:iCs/>
        </w:rPr>
        <w:t>A</w:t>
      </w:r>
      <w:r w:rsidR="00180E5F" w:rsidRPr="00180E5F">
        <w:rPr>
          <w:rStyle w:val="Heading2Char"/>
          <w:b/>
          <w:bCs/>
          <w:i w:val="0"/>
          <w:iCs/>
        </w:rPr>
        <w:t>.</w:t>
      </w:r>
      <w:r w:rsidR="00937016" w:rsidRPr="00AC6F49">
        <w:rPr>
          <w:rStyle w:val="Heading2Char"/>
          <w:i w:val="0"/>
          <w:iCs/>
        </w:rPr>
        <w:t xml:space="preserve"> 16S rRNA sequencing read counts, </w:t>
      </w:r>
      <w:r w:rsidR="00EA06C5">
        <w:rPr>
          <w:rStyle w:val="Heading2Char"/>
          <w:b/>
          <w:bCs/>
          <w:i w:val="0"/>
          <w:iCs/>
        </w:rPr>
        <w:t>B</w:t>
      </w:r>
      <w:r w:rsidR="00180E5F">
        <w:rPr>
          <w:rStyle w:val="Heading2Char"/>
          <w:b/>
          <w:bCs/>
          <w:i w:val="0"/>
          <w:iCs/>
        </w:rPr>
        <w:t>.</w:t>
      </w:r>
      <w:r w:rsidR="00937016" w:rsidRPr="00AC6F49">
        <w:rPr>
          <w:rStyle w:val="Heading2Char"/>
          <w:i w:val="0"/>
          <w:iCs/>
        </w:rPr>
        <w:t xml:space="preserve"> α-Diversity differed across all specimen types vs. background </w:t>
      </w:r>
      <w:r w:rsidR="00EA06C5" w:rsidRPr="00EA06C5">
        <w:rPr>
          <w:rStyle w:val="Heading2Char"/>
          <w:b/>
          <w:bCs/>
          <w:i w:val="0"/>
          <w:iCs/>
        </w:rPr>
        <w:t>C</w:t>
      </w:r>
      <w:r w:rsidR="00180E5F">
        <w:rPr>
          <w:rStyle w:val="Heading2Char"/>
          <w:b/>
          <w:bCs/>
          <w:i w:val="0"/>
          <w:iCs/>
        </w:rPr>
        <w:t>.</w:t>
      </w:r>
      <w:r w:rsidR="00937016" w:rsidRPr="00AC6F49">
        <w:rPr>
          <w:rStyle w:val="Heading2Char"/>
          <w:i w:val="0"/>
          <w:iCs/>
        </w:rPr>
        <w:t xml:space="preserve"> β-Diversity differed across specimen type</w:t>
      </w:r>
      <w:bookmarkEnd w:id="5"/>
      <w:r w:rsidR="00937016" w:rsidRPr="003A049E">
        <w:t>s.</w:t>
      </w:r>
    </w:p>
    <w:p w14:paraId="6F2FCEAA" w14:textId="48CF9360" w:rsidR="009E2578" w:rsidRDefault="00180E5F" w:rsidP="001231D9">
      <w:pPr>
        <w:suppressLineNumbers/>
        <w:spacing w:line="240" w:lineRule="auto"/>
        <w:rPr>
          <w:rStyle w:val="Heading2Char"/>
          <w:b/>
          <w:bCs/>
          <w:i w:val="0"/>
          <w:iCs/>
        </w:rPr>
      </w:pPr>
      <w:r>
        <w:rPr>
          <w:rFonts w:eastAsiaTheme="majorEastAsia" w:cstheme="majorBidi"/>
          <w:b/>
          <w:bCs/>
          <w:iCs/>
          <w:noProof/>
          <w:szCs w:val="32"/>
          <w14:ligatures w14:val="standardContextual"/>
        </w:rPr>
        <w:drawing>
          <wp:anchor distT="0" distB="0" distL="114300" distR="114300" simplePos="0" relativeHeight="251698176" behindDoc="1" locked="0" layoutInCell="1" allowOverlap="1" wp14:anchorId="5E55B565" wp14:editId="4D663AF0">
            <wp:simplePos x="0" y="0"/>
            <wp:positionH relativeFrom="column">
              <wp:posOffset>-152268</wp:posOffset>
            </wp:positionH>
            <wp:positionV relativeFrom="paragraph">
              <wp:posOffset>82072</wp:posOffset>
            </wp:positionV>
            <wp:extent cx="5878800" cy="4521600"/>
            <wp:effectExtent l="0" t="0" r="8255" b="0"/>
            <wp:wrapNone/>
            <wp:docPr id="1001335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35671" name="Picture 10013356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800" cy="452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578">
        <w:rPr>
          <w:rStyle w:val="Heading2Char"/>
          <w:b/>
          <w:bCs/>
          <w:i w:val="0"/>
          <w:iCs/>
        </w:rPr>
        <w:br w:type="page"/>
      </w:r>
    </w:p>
    <w:p w14:paraId="4E316556" w14:textId="06154F6A" w:rsidR="000E423D" w:rsidRDefault="00C926C7" w:rsidP="001231D9">
      <w:pPr>
        <w:spacing w:line="240" w:lineRule="auto"/>
        <w:rPr>
          <w:rStyle w:val="Heading2Char"/>
          <w:b/>
          <w:bCs/>
          <w:i w:val="0"/>
          <w:iCs/>
        </w:rPr>
      </w:pPr>
      <w:bookmarkStart w:id="6" w:name="_Toc231480754"/>
      <w:r>
        <w:rPr>
          <w:rStyle w:val="Heading2Char"/>
          <w:b/>
          <w:bCs/>
          <w:i w:val="0"/>
          <w:iCs/>
        </w:rPr>
        <w:lastRenderedPageBreak/>
        <w:t>Figure S</w:t>
      </w:r>
      <w:r w:rsidR="00085C89">
        <w:rPr>
          <w:rStyle w:val="Heading2Char"/>
          <w:b/>
          <w:bCs/>
          <w:i w:val="0"/>
          <w:iCs/>
        </w:rPr>
        <w:t>2</w:t>
      </w:r>
      <w:r>
        <w:rPr>
          <w:rStyle w:val="Heading2Char"/>
          <w:b/>
          <w:bCs/>
          <w:i w:val="0"/>
          <w:iCs/>
        </w:rPr>
        <w:t>.</w:t>
      </w:r>
      <w:r w:rsidR="00C9111E">
        <w:rPr>
          <w:rStyle w:val="Heading2Char"/>
          <w:b/>
          <w:bCs/>
          <w:i w:val="0"/>
          <w:iCs/>
        </w:rPr>
        <w:t xml:space="preserve"> Upper respiratory tract (URT) versus </w:t>
      </w:r>
      <w:r w:rsidR="00AF34CF">
        <w:rPr>
          <w:rStyle w:val="Heading2Char"/>
          <w:b/>
          <w:bCs/>
          <w:i w:val="0"/>
          <w:iCs/>
        </w:rPr>
        <w:t xml:space="preserve">Sputum. </w:t>
      </w:r>
      <w:r w:rsidR="00AF34CF" w:rsidRPr="00AF34CF">
        <w:rPr>
          <w:rStyle w:val="Heading2Char"/>
          <w:i w:val="0"/>
          <w:iCs/>
        </w:rPr>
        <w:t>Bubble</w:t>
      </w:r>
      <w:r w:rsidR="003F6B69" w:rsidRPr="00AF34CF">
        <w:rPr>
          <w:rStyle w:val="Heading2Char"/>
          <w:i w:val="0"/>
          <w:iCs/>
        </w:rPr>
        <w:t xml:space="preserve"> plots showing differentially abundant taxa in</w:t>
      </w:r>
      <w:r w:rsidR="003F6B69" w:rsidRPr="007360AC">
        <w:rPr>
          <w:rStyle w:val="Heading2Char"/>
          <w:i w:val="0"/>
          <w:iCs/>
        </w:rPr>
        <w:t xml:space="preserve"> </w:t>
      </w:r>
      <w:r w:rsidR="00807D51" w:rsidRPr="00807D51">
        <w:rPr>
          <w:rStyle w:val="Heading2Char"/>
          <w:b/>
          <w:bCs/>
          <w:i w:val="0"/>
          <w:iCs/>
        </w:rPr>
        <w:t>A</w:t>
      </w:r>
      <w:r w:rsidR="00504672">
        <w:rPr>
          <w:rStyle w:val="Heading2Char"/>
          <w:b/>
          <w:bCs/>
          <w:i w:val="0"/>
          <w:iCs/>
        </w:rPr>
        <w:t>.</w:t>
      </w:r>
      <w:r w:rsidR="00807D51">
        <w:rPr>
          <w:rStyle w:val="Heading2Char"/>
          <w:i w:val="0"/>
          <w:iCs/>
        </w:rPr>
        <w:t xml:space="preserve"> </w:t>
      </w:r>
      <w:r w:rsidR="003F6B69" w:rsidRPr="007360AC">
        <w:rPr>
          <w:rStyle w:val="Heading2Char"/>
          <w:i w:val="0"/>
          <w:iCs/>
        </w:rPr>
        <w:t>controls and</w:t>
      </w:r>
      <w:r w:rsidR="00B039AD">
        <w:rPr>
          <w:rStyle w:val="Heading2Char"/>
          <w:i w:val="0"/>
          <w:iCs/>
        </w:rPr>
        <w:t xml:space="preserve"> </w:t>
      </w:r>
      <w:r w:rsidR="00B039AD" w:rsidRPr="00B039AD">
        <w:rPr>
          <w:rStyle w:val="Heading2Char"/>
          <w:b/>
          <w:bCs/>
          <w:i w:val="0"/>
          <w:iCs/>
        </w:rPr>
        <w:t>B</w:t>
      </w:r>
      <w:r w:rsidR="00504672">
        <w:rPr>
          <w:rStyle w:val="Heading2Char"/>
          <w:b/>
          <w:bCs/>
          <w:i w:val="0"/>
          <w:iCs/>
        </w:rPr>
        <w:t>.</w:t>
      </w:r>
      <w:r w:rsidR="003F6B69" w:rsidRPr="00B039AD">
        <w:rPr>
          <w:rStyle w:val="Heading2Char"/>
          <w:b/>
          <w:bCs/>
          <w:i w:val="0"/>
          <w:iCs/>
        </w:rPr>
        <w:t xml:space="preserve"> </w:t>
      </w:r>
      <w:r w:rsidR="003F6B69" w:rsidRPr="007360AC">
        <w:rPr>
          <w:rStyle w:val="Heading2Char"/>
          <w:i w:val="0"/>
          <w:iCs/>
        </w:rPr>
        <w:t>cases.</w:t>
      </w:r>
      <w:bookmarkEnd w:id="6"/>
    </w:p>
    <w:p w14:paraId="524D0FEF" w14:textId="1D38CFC6" w:rsidR="00B42F8C" w:rsidRDefault="00504672" w:rsidP="001231D9">
      <w:pPr>
        <w:spacing w:line="240" w:lineRule="auto"/>
      </w:pPr>
      <w:r>
        <w:rPr>
          <w:rFonts w:eastAsiaTheme="majorEastAsia" w:cstheme="majorBidi"/>
          <w:b/>
          <w:bCs/>
          <w:iCs/>
          <w:noProof/>
          <w:szCs w:val="32"/>
          <w14:ligatures w14:val="standardContextual"/>
        </w:rPr>
        <w:drawing>
          <wp:anchor distT="0" distB="0" distL="114300" distR="114300" simplePos="0" relativeHeight="251699200" behindDoc="1" locked="0" layoutInCell="1" allowOverlap="1" wp14:anchorId="1AD5DCA5" wp14:editId="401D890C">
            <wp:simplePos x="0" y="0"/>
            <wp:positionH relativeFrom="column">
              <wp:posOffset>-47501</wp:posOffset>
            </wp:positionH>
            <wp:positionV relativeFrom="paragraph">
              <wp:posOffset>93073</wp:posOffset>
            </wp:positionV>
            <wp:extent cx="5731510" cy="2504440"/>
            <wp:effectExtent l="0" t="0" r="2540" b="0"/>
            <wp:wrapNone/>
            <wp:docPr id="12204620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462068" name="Picture 12204620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5CD">
        <w:rPr>
          <w:rStyle w:val="Heading2Char"/>
          <w:b/>
          <w:bCs/>
          <w:i w:val="0"/>
          <w:iCs/>
        </w:rPr>
        <w:br w:type="page"/>
      </w:r>
      <w:bookmarkStart w:id="7" w:name="_Toc231480755"/>
      <w:r w:rsidR="00B42F8C" w:rsidRPr="00807D51">
        <w:rPr>
          <w:rStyle w:val="Heading2Char"/>
          <w:b/>
          <w:bCs/>
          <w:i w:val="0"/>
          <w:iCs/>
        </w:rPr>
        <w:lastRenderedPageBreak/>
        <w:t>Figure S</w:t>
      </w:r>
      <w:r w:rsidR="00B039AD">
        <w:rPr>
          <w:rStyle w:val="Heading2Char"/>
          <w:b/>
          <w:bCs/>
          <w:i w:val="0"/>
          <w:iCs/>
        </w:rPr>
        <w:t>3</w:t>
      </w:r>
      <w:r w:rsidR="00B42F8C" w:rsidRPr="00807D51">
        <w:rPr>
          <w:rStyle w:val="Heading2Char"/>
          <w:b/>
          <w:bCs/>
          <w:i w:val="0"/>
          <w:iCs/>
        </w:rPr>
        <w:t xml:space="preserve">. Comparable microbiota in </w:t>
      </w:r>
      <w:r w:rsidR="00230DE6">
        <w:rPr>
          <w:rStyle w:val="Heading2Char"/>
          <w:b/>
          <w:bCs/>
          <w:i w:val="0"/>
          <w:iCs/>
        </w:rPr>
        <w:t xml:space="preserve">cases </w:t>
      </w:r>
      <w:r w:rsidR="00B26B85">
        <w:rPr>
          <w:rStyle w:val="Heading2Char"/>
          <w:b/>
          <w:bCs/>
          <w:i w:val="0"/>
          <w:iCs/>
        </w:rPr>
        <w:t xml:space="preserve">diseased and </w:t>
      </w:r>
      <w:r w:rsidR="00292B41">
        <w:rPr>
          <w:rStyle w:val="Heading2Char"/>
          <w:b/>
          <w:bCs/>
          <w:i w:val="0"/>
          <w:iCs/>
        </w:rPr>
        <w:t>non</w:t>
      </w:r>
      <w:r w:rsidR="00B26B85">
        <w:rPr>
          <w:rStyle w:val="Heading2Char"/>
          <w:b/>
          <w:bCs/>
          <w:i w:val="0"/>
          <w:iCs/>
        </w:rPr>
        <w:t>-diseased</w:t>
      </w:r>
      <w:r w:rsidR="00B42F8C" w:rsidRPr="00807D51">
        <w:rPr>
          <w:rStyle w:val="Heading2Char"/>
          <w:b/>
          <w:bCs/>
          <w:i w:val="0"/>
          <w:iCs/>
        </w:rPr>
        <w:t xml:space="preserve"> protected specimen brushings (PSB</w:t>
      </w:r>
      <w:r w:rsidR="00230DE6">
        <w:rPr>
          <w:rStyle w:val="Heading2Char"/>
          <w:b/>
          <w:bCs/>
          <w:i w:val="0"/>
          <w:iCs/>
        </w:rPr>
        <w:t>s</w:t>
      </w:r>
      <w:r w:rsidR="00B42F8C" w:rsidRPr="00807D51">
        <w:rPr>
          <w:rStyle w:val="Heading2Char"/>
          <w:b/>
          <w:bCs/>
          <w:i w:val="0"/>
          <w:iCs/>
        </w:rPr>
        <w:t>)</w:t>
      </w:r>
      <w:bookmarkEnd w:id="7"/>
      <w:r w:rsidR="00B42F8C" w:rsidRPr="00807D51">
        <w:rPr>
          <w:i/>
          <w:iCs/>
        </w:rPr>
        <w:t xml:space="preserve">: </w:t>
      </w:r>
      <w:r w:rsidR="00230DE6" w:rsidRPr="003B45CE">
        <w:rPr>
          <w:b/>
          <w:bCs/>
        </w:rPr>
        <w:t>A</w:t>
      </w:r>
      <w:r w:rsidR="001935AD">
        <w:rPr>
          <w:b/>
          <w:bCs/>
        </w:rPr>
        <w:t>.</w:t>
      </w:r>
      <w:r w:rsidR="00B42F8C" w:rsidRPr="003B45CE">
        <w:rPr>
          <w:b/>
          <w:bCs/>
        </w:rPr>
        <w:t xml:space="preserve"> </w:t>
      </w:r>
      <w:r w:rsidR="00B42F8C" w:rsidRPr="00807D51">
        <w:rPr>
          <w:rFonts w:ascii="Symbol" w:eastAsia="Symbol" w:hAnsi="Symbol" w:cs="Symbol"/>
        </w:rPr>
        <w:t>a</w:t>
      </w:r>
      <w:r w:rsidR="00B42F8C" w:rsidRPr="00807D51">
        <w:t>-</w:t>
      </w:r>
      <w:r w:rsidR="003B45CE">
        <w:t>D</w:t>
      </w:r>
      <w:r w:rsidR="00B42F8C" w:rsidRPr="00807D51">
        <w:t xml:space="preserve">iversity comparison between </w:t>
      </w:r>
      <w:r w:rsidR="003B45CE">
        <w:t xml:space="preserve">diseased and </w:t>
      </w:r>
      <w:r w:rsidR="00292B41">
        <w:t>non</w:t>
      </w:r>
      <w:r w:rsidR="003B45CE">
        <w:t xml:space="preserve">-diseased lung lobes </w:t>
      </w:r>
      <w:r w:rsidR="00B42F8C" w:rsidRPr="00807D51">
        <w:t>PSB</w:t>
      </w:r>
      <w:r w:rsidR="003B45CE">
        <w:t>s;</w:t>
      </w:r>
      <w:r w:rsidR="00B42F8C" w:rsidRPr="00807D51">
        <w:t xml:space="preserve"> </w:t>
      </w:r>
      <w:r w:rsidR="003B45CE" w:rsidRPr="003B45CE">
        <w:rPr>
          <w:b/>
          <w:bCs/>
        </w:rPr>
        <w:t>B</w:t>
      </w:r>
      <w:r w:rsidR="001935AD">
        <w:rPr>
          <w:b/>
          <w:bCs/>
        </w:rPr>
        <w:t>.</w:t>
      </w:r>
      <w:r w:rsidR="00B42F8C" w:rsidRPr="00807D51">
        <w:t xml:space="preserve"> </w:t>
      </w:r>
      <w:r w:rsidR="00B42F8C" w:rsidRPr="00807D51">
        <w:rPr>
          <w:rFonts w:ascii="Symbol" w:eastAsia="Symbol" w:hAnsi="Symbol" w:cs="Symbol"/>
        </w:rPr>
        <w:t>b</w:t>
      </w:r>
      <w:r w:rsidR="00B42F8C" w:rsidRPr="00807D51">
        <w:t>-</w:t>
      </w:r>
      <w:r w:rsidR="003B45CE">
        <w:t>D</w:t>
      </w:r>
      <w:r w:rsidR="00B42F8C" w:rsidRPr="00807D51">
        <w:t xml:space="preserve">iversity comparison showing similar microbial </w:t>
      </w:r>
      <w:r w:rsidR="001935AD">
        <w:rPr>
          <w:rFonts w:eastAsiaTheme="majorEastAsia" w:cstheme="majorBidi"/>
          <w:b/>
          <w:bCs/>
          <w:iCs/>
          <w:noProof/>
          <w:szCs w:val="32"/>
          <w14:ligatures w14:val="standardContextual"/>
        </w:rPr>
        <w:drawing>
          <wp:anchor distT="0" distB="0" distL="114300" distR="114300" simplePos="0" relativeHeight="251700224" behindDoc="1" locked="0" layoutInCell="1" allowOverlap="1" wp14:anchorId="4197DCCB" wp14:editId="4DA54A0B">
            <wp:simplePos x="0" y="0"/>
            <wp:positionH relativeFrom="column">
              <wp:posOffset>-95250</wp:posOffset>
            </wp:positionH>
            <wp:positionV relativeFrom="paragraph">
              <wp:posOffset>765175</wp:posOffset>
            </wp:positionV>
            <wp:extent cx="6033135" cy="3099435"/>
            <wp:effectExtent l="0" t="0" r="5715" b="5715"/>
            <wp:wrapNone/>
            <wp:docPr id="17312175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217543" name="Picture 173121754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F8C" w:rsidRPr="00807D51">
        <w:t xml:space="preserve">composition in </w:t>
      </w:r>
      <w:r w:rsidR="003B45CE">
        <w:t xml:space="preserve">diseased and </w:t>
      </w:r>
      <w:r w:rsidR="006D5DE7">
        <w:t>non</w:t>
      </w:r>
      <w:r w:rsidR="003B45CE">
        <w:t xml:space="preserve">-diseased lung lobes </w:t>
      </w:r>
      <w:r w:rsidR="003B45CE" w:rsidRPr="00807D51">
        <w:t>PSB</w:t>
      </w:r>
      <w:r w:rsidR="003B45CE">
        <w:t>s.</w:t>
      </w:r>
    </w:p>
    <w:p w14:paraId="2F851B48" w14:textId="428975F1" w:rsidR="00834832" w:rsidRDefault="00834832" w:rsidP="001231D9">
      <w:pPr>
        <w:suppressLineNumbers/>
        <w:spacing w:line="240" w:lineRule="auto"/>
        <w:rPr>
          <w:rStyle w:val="Heading2Char"/>
          <w:b/>
          <w:bCs/>
          <w:i w:val="0"/>
          <w:iCs/>
        </w:rPr>
      </w:pPr>
      <w:r>
        <w:rPr>
          <w:rStyle w:val="Heading2Char"/>
          <w:b/>
          <w:bCs/>
          <w:i w:val="0"/>
          <w:iCs/>
        </w:rPr>
        <w:br w:type="page"/>
      </w:r>
    </w:p>
    <w:p w14:paraId="48DC21D9" w14:textId="77777777" w:rsidR="00D5103A" w:rsidRPr="00D5103A" w:rsidRDefault="00D5103A" w:rsidP="001231D9">
      <w:pPr>
        <w:pStyle w:val="Heading1"/>
        <w:spacing w:line="240" w:lineRule="auto"/>
        <w:rPr>
          <w:i/>
        </w:rPr>
      </w:pPr>
      <w:bookmarkStart w:id="8" w:name="_Toc231480756"/>
      <w:r w:rsidRPr="00D5103A">
        <w:lastRenderedPageBreak/>
        <w:t>References</w:t>
      </w:r>
      <w:bookmarkEnd w:id="8"/>
    </w:p>
    <w:p w14:paraId="400B4E42" w14:textId="77777777" w:rsidR="00D5103A" w:rsidRPr="005B0927" w:rsidRDefault="00D5103A" w:rsidP="001231D9">
      <w:pPr>
        <w:pStyle w:val="EndNoteBibliography"/>
        <w:spacing w:before="240" w:after="0" w:line="240" w:lineRule="auto"/>
        <w:rPr>
          <w:noProof/>
        </w:rPr>
      </w:pPr>
      <w:r w:rsidRPr="005B0927">
        <w:rPr>
          <w:noProof/>
        </w:rPr>
        <w:t>1.</w:t>
      </w:r>
      <w:r w:rsidRPr="005B0927">
        <w:rPr>
          <w:noProof/>
        </w:rPr>
        <w:tab/>
        <w:t xml:space="preserve">Haslam PL, Baughman RP. Report of ERS Task Force: guidelines for measurement of acellular components and standardization of BAL. </w:t>
      </w:r>
      <w:r w:rsidRPr="005B0927">
        <w:rPr>
          <w:i/>
          <w:noProof/>
        </w:rPr>
        <w:t>European Respiratory Journal</w:t>
      </w:r>
      <w:r w:rsidRPr="005B0927">
        <w:rPr>
          <w:noProof/>
        </w:rPr>
        <w:t xml:space="preserve"> 1999; </w:t>
      </w:r>
      <w:r w:rsidRPr="005B0927">
        <w:rPr>
          <w:b/>
          <w:noProof/>
        </w:rPr>
        <w:t>14</w:t>
      </w:r>
      <w:r w:rsidRPr="005B0927">
        <w:rPr>
          <w:noProof/>
        </w:rPr>
        <w:t>(2): 245-8.</w:t>
      </w:r>
    </w:p>
    <w:p w14:paraId="28FB4B6A" w14:textId="66164547" w:rsidR="00CE4B51" w:rsidRPr="00891F79" w:rsidRDefault="00D5103A" w:rsidP="001231D9">
      <w:pPr>
        <w:pStyle w:val="EndNoteBibliography"/>
        <w:spacing w:line="240" w:lineRule="auto"/>
        <w:rPr>
          <w:noProof/>
        </w:rPr>
      </w:pPr>
      <w:r w:rsidRPr="005B0927">
        <w:rPr>
          <w:noProof/>
        </w:rPr>
        <w:t>2.</w:t>
      </w:r>
      <w:r w:rsidRPr="005B0927">
        <w:rPr>
          <w:noProof/>
        </w:rPr>
        <w:tab/>
        <w:t>Meyer KC, Raghu G, Baughman RP</w:t>
      </w:r>
      <w:r w:rsidRPr="005B0927">
        <w:rPr>
          <w:i/>
          <w:noProof/>
        </w:rPr>
        <w:t>, et al.</w:t>
      </w:r>
      <w:r w:rsidRPr="005B0927">
        <w:rPr>
          <w:noProof/>
        </w:rPr>
        <w:t xml:space="preserve"> An official American Thoracic Society clinical practice guideline: the clinical utility of bronchoalveolar lavage cellular analysis in interstitial lung disease. </w:t>
      </w:r>
      <w:r w:rsidRPr="005B0927">
        <w:rPr>
          <w:i/>
          <w:noProof/>
        </w:rPr>
        <w:t>American journal of respiratory and critical care medicine</w:t>
      </w:r>
      <w:r w:rsidRPr="005B0927">
        <w:rPr>
          <w:noProof/>
        </w:rPr>
        <w:t xml:space="preserve"> 2012; </w:t>
      </w:r>
      <w:r w:rsidRPr="005B0927">
        <w:rPr>
          <w:b/>
          <w:noProof/>
        </w:rPr>
        <w:t>185</w:t>
      </w:r>
      <w:r w:rsidRPr="005B0927">
        <w:rPr>
          <w:noProof/>
        </w:rPr>
        <w:t>(9): 1004-14.</w:t>
      </w:r>
    </w:p>
    <w:sectPr w:rsidR="00CE4B51" w:rsidRPr="00891F79" w:rsidSect="001638CD">
      <w:footerReference w:type="default" r:id="rId10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1B08" w14:textId="77777777" w:rsidR="00BB67E6" w:rsidRDefault="00BB67E6" w:rsidP="00452DBC">
      <w:pPr>
        <w:spacing w:after="0" w:line="240" w:lineRule="auto"/>
      </w:pPr>
      <w:r>
        <w:separator/>
      </w:r>
    </w:p>
  </w:endnote>
  <w:endnote w:type="continuationSeparator" w:id="0">
    <w:p w14:paraId="46804686" w14:textId="77777777" w:rsidR="00BB67E6" w:rsidRDefault="00BB67E6" w:rsidP="0045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152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107D5" w14:textId="6F68CAAB" w:rsidR="00452DBC" w:rsidRDefault="00452D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244269" w14:textId="77777777" w:rsidR="00452DBC" w:rsidRDefault="00452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BDF85" w14:textId="77777777" w:rsidR="00BB67E6" w:rsidRDefault="00BB67E6" w:rsidP="00452DBC">
      <w:pPr>
        <w:spacing w:after="0" w:line="240" w:lineRule="auto"/>
      </w:pPr>
      <w:r>
        <w:separator/>
      </w:r>
    </w:p>
  </w:footnote>
  <w:footnote w:type="continuationSeparator" w:id="0">
    <w:p w14:paraId="3F2488F0" w14:textId="77777777" w:rsidR="00BB67E6" w:rsidRDefault="00BB67E6" w:rsidP="00452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79"/>
    <w:rsid w:val="000032C9"/>
    <w:rsid w:val="00010177"/>
    <w:rsid w:val="00011E75"/>
    <w:rsid w:val="00016EAB"/>
    <w:rsid w:val="000267D8"/>
    <w:rsid w:val="00027924"/>
    <w:rsid w:val="00027E26"/>
    <w:rsid w:val="000823B1"/>
    <w:rsid w:val="000833ED"/>
    <w:rsid w:val="00085C89"/>
    <w:rsid w:val="000B0E13"/>
    <w:rsid w:val="000B1096"/>
    <w:rsid w:val="000B2A0E"/>
    <w:rsid w:val="000B6395"/>
    <w:rsid w:val="000C1FEE"/>
    <w:rsid w:val="000C3216"/>
    <w:rsid w:val="000C78EB"/>
    <w:rsid w:val="000E132A"/>
    <w:rsid w:val="000E423D"/>
    <w:rsid w:val="000F11C5"/>
    <w:rsid w:val="000F7AAC"/>
    <w:rsid w:val="00114D44"/>
    <w:rsid w:val="00115936"/>
    <w:rsid w:val="00115F86"/>
    <w:rsid w:val="001231D9"/>
    <w:rsid w:val="00126D3D"/>
    <w:rsid w:val="0014061A"/>
    <w:rsid w:val="001423D5"/>
    <w:rsid w:val="0014440A"/>
    <w:rsid w:val="00144712"/>
    <w:rsid w:val="001638CD"/>
    <w:rsid w:val="00171BE8"/>
    <w:rsid w:val="00174659"/>
    <w:rsid w:val="00180E5F"/>
    <w:rsid w:val="001935AD"/>
    <w:rsid w:val="001941D8"/>
    <w:rsid w:val="001B4D76"/>
    <w:rsid w:val="001C5FF4"/>
    <w:rsid w:val="001D5C89"/>
    <w:rsid w:val="001F1337"/>
    <w:rsid w:val="001F64FA"/>
    <w:rsid w:val="00202715"/>
    <w:rsid w:val="00206722"/>
    <w:rsid w:val="002117E3"/>
    <w:rsid w:val="00215757"/>
    <w:rsid w:val="00217576"/>
    <w:rsid w:val="00223C1E"/>
    <w:rsid w:val="00230DE6"/>
    <w:rsid w:val="00250442"/>
    <w:rsid w:val="0026276F"/>
    <w:rsid w:val="0026550F"/>
    <w:rsid w:val="0028023A"/>
    <w:rsid w:val="0028715C"/>
    <w:rsid w:val="00292B41"/>
    <w:rsid w:val="002A708E"/>
    <w:rsid w:val="002B0D49"/>
    <w:rsid w:val="002C25DE"/>
    <w:rsid w:val="002D2856"/>
    <w:rsid w:val="002D3F3E"/>
    <w:rsid w:val="002D45B0"/>
    <w:rsid w:val="0030639F"/>
    <w:rsid w:val="00306AE5"/>
    <w:rsid w:val="003141BE"/>
    <w:rsid w:val="00320E00"/>
    <w:rsid w:val="003215F7"/>
    <w:rsid w:val="003371A0"/>
    <w:rsid w:val="003422EB"/>
    <w:rsid w:val="0035468F"/>
    <w:rsid w:val="0039670E"/>
    <w:rsid w:val="003A049E"/>
    <w:rsid w:val="003A3825"/>
    <w:rsid w:val="003A3B54"/>
    <w:rsid w:val="003B45CE"/>
    <w:rsid w:val="003D6D29"/>
    <w:rsid w:val="003F6B69"/>
    <w:rsid w:val="00401FE2"/>
    <w:rsid w:val="00414EA2"/>
    <w:rsid w:val="00417398"/>
    <w:rsid w:val="0044172E"/>
    <w:rsid w:val="00452DBC"/>
    <w:rsid w:val="004630B9"/>
    <w:rsid w:val="00463D56"/>
    <w:rsid w:val="00471D37"/>
    <w:rsid w:val="00475E96"/>
    <w:rsid w:val="00480DBD"/>
    <w:rsid w:val="00482061"/>
    <w:rsid w:val="004C2355"/>
    <w:rsid w:val="004D458C"/>
    <w:rsid w:val="004E5AA6"/>
    <w:rsid w:val="004E71D1"/>
    <w:rsid w:val="004F14C1"/>
    <w:rsid w:val="005027E9"/>
    <w:rsid w:val="00504672"/>
    <w:rsid w:val="005235EA"/>
    <w:rsid w:val="005410D9"/>
    <w:rsid w:val="00541800"/>
    <w:rsid w:val="00544AEC"/>
    <w:rsid w:val="00551FAA"/>
    <w:rsid w:val="0056793E"/>
    <w:rsid w:val="00573768"/>
    <w:rsid w:val="00583991"/>
    <w:rsid w:val="00595AFE"/>
    <w:rsid w:val="005D4AC2"/>
    <w:rsid w:val="005F6CFF"/>
    <w:rsid w:val="00600457"/>
    <w:rsid w:val="006041FF"/>
    <w:rsid w:val="00612E4C"/>
    <w:rsid w:val="00621E3D"/>
    <w:rsid w:val="00622C51"/>
    <w:rsid w:val="00637C27"/>
    <w:rsid w:val="006452AD"/>
    <w:rsid w:val="006527DD"/>
    <w:rsid w:val="00652AF5"/>
    <w:rsid w:val="00654BC4"/>
    <w:rsid w:val="00670887"/>
    <w:rsid w:val="00674863"/>
    <w:rsid w:val="006A398B"/>
    <w:rsid w:val="006A6F81"/>
    <w:rsid w:val="006B01AF"/>
    <w:rsid w:val="006B4643"/>
    <w:rsid w:val="006C0789"/>
    <w:rsid w:val="006C2573"/>
    <w:rsid w:val="006C380E"/>
    <w:rsid w:val="006D5DE7"/>
    <w:rsid w:val="006E65CC"/>
    <w:rsid w:val="006F03CB"/>
    <w:rsid w:val="006F4013"/>
    <w:rsid w:val="006F5E12"/>
    <w:rsid w:val="006F66C0"/>
    <w:rsid w:val="006F7DD8"/>
    <w:rsid w:val="00706155"/>
    <w:rsid w:val="0071265E"/>
    <w:rsid w:val="0073103E"/>
    <w:rsid w:val="00733236"/>
    <w:rsid w:val="007360AC"/>
    <w:rsid w:val="007411E2"/>
    <w:rsid w:val="0075616E"/>
    <w:rsid w:val="00764F2C"/>
    <w:rsid w:val="00770648"/>
    <w:rsid w:val="00782B42"/>
    <w:rsid w:val="00795EBB"/>
    <w:rsid w:val="007A035E"/>
    <w:rsid w:val="007A4A06"/>
    <w:rsid w:val="007B1A78"/>
    <w:rsid w:val="007B287A"/>
    <w:rsid w:val="007B5ED4"/>
    <w:rsid w:val="007C38BB"/>
    <w:rsid w:val="007E0A55"/>
    <w:rsid w:val="007E3C4A"/>
    <w:rsid w:val="007F54B6"/>
    <w:rsid w:val="00807D51"/>
    <w:rsid w:val="00813AAC"/>
    <w:rsid w:val="00821E65"/>
    <w:rsid w:val="00824D7A"/>
    <w:rsid w:val="00834832"/>
    <w:rsid w:val="008356F2"/>
    <w:rsid w:val="00851748"/>
    <w:rsid w:val="0085532B"/>
    <w:rsid w:val="00862C7F"/>
    <w:rsid w:val="00891F79"/>
    <w:rsid w:val="008A11A4"/>
    <w:rsid w:val="008C7DD8"/>
    <w:rsid w:val="008D1356"/>
    <w:rsid w:val="008D340F"/>
    <w:rsid w:val="008E1B82"/>
    <w:rsid w:val="008E3518"/>
    <w:rsid w:val="008E59DC"/>
    <w:rsid w:val="008F6D83"/>
    <w:rsid w:val="00910D9E"/>
    <w:rsid w:val="00921B64"/>
    <w:rsid w:val="00922B51"/>
    <w:rsid w:val="009232DD"/>
    <w:rsid w:val="00923485"/>
    <w:rsid w:val="00924C43"/>
    <w:rsid w:val="00937016"/>
    <w:rsid w:val="009504AE"/>
    <w:rsid w:val="0097435B"/>
    <w:rsid w:val="0097797D"/>
    <w:rsid w:val="009858E2"/>
    <w:rsid w:val="00994820"/>
    <w:rsid w:val="009C2B43"/>
    <w:rsid w:val="009D35CD"/>
    <w:rsid w:val="009D3AE4"/>
    <w:rsid w:val="009E0C44"/>
    <w:rsid w:val="009E2578"/>
    <w:rsid w:val="00A14627"/>
    <w:rsid w:val="00A36331"/>
    <w:rsid w:val="00A504CE"/>
    <w:rsid w:val="00A56122"/>
    <w:rsid w:val="00A6357D"/>
    <w:rsid w:val="00A64B00"/>
    <w:rsid w:val="00A76E65"/>
    <w:rsid w:val="00A8577E"/>
    <w:rsid w:val="00A956B8"/>
    <w:rsid w:val="00A97A24"/>
    <w:rsid w:val="00AA451B"/>
    <w:rsid w:val="00AC6F49"/>
    <w:rsid w:val="00AD6CBF"/>
    <w:rsid w:val="00AF34CF"/>
    <w:rsid w:val="00B02FCA"/>
    <w:rsid w:val="00B039AD"/>
    <w:rsid w:val="00B0639D"/>
    <w:rsid w:val="00B07886"/>
    <w:rsid w:val="00B14D8F"/>
    <w:rsid w:val="00B24DF4"/>
    <w:rsid w:val="00B26B85"/>
    <w:rsid w:val="00B3637F"/>
    <w:rsid w:val="00B4122D"/>
    <w:rsid w:val="00B42AB3"/>
    <w:rsid w:val="00B42F8C"/>
    <w:rsid w:val="00B45BA2"/>
    <w:rsid w:val="00B5244F"/>
    <w:rsid w:val="00B619AA"/>
    <w:rsid w:val="00B72FED"/>
    <w:rsid w:val="00B73EB9"/>
    <w:rsid w:val="00B92FE3"/>
    <w:rsid w:val="00B933B8"/>
    <w:rsid w:val="00BB60B1"/>
    <w:rsid w:val="00BB67E6"/>
    <w:rsid w:val="00BC3F4E"/>
    <w:rsid w:val="00BC6F0B"/>
    <w:rsid w:val="00BC7EFF"/>
    <w:rsid w:val="00BD4C8C"/>
    <w:rsid w:val="00BD5B59"/>
    <w:rsid w:val="00C0279C"/>
    <w:rsid w:val="00C158BB"/>
    <w:rsid w:val="00C22ACF"/>
    <w:rsid w:val="00C242B6"/>
    <w:rsid w:val="00C3160B"/>
    <w:rsid w:val="00C4695C"/>
    <w:rsid w:val="00C6571D"/>
    <w:rsid w:val="00C7098F"/>
    <w:rsid w:val="00C70DE8"/>
    <w:rsid w:val="00C75834"/>
    <w:rsid w:val="00C9111E"/>
    <w:rsid w:val="00C926C7"/>
    <w:rsid w:val="00C959A3"/>
    <w:rsid w:val="00C9748B"/>
    <w:rsid w:val="00CA679B"/>
    <w:rsid w:val="00CB7BA9"/>
    <w:rsid w:val="00CC0320"/>
    <w:rsid w:val="00CC32EE"/>
    <w:rsid w:val="00CC7425"/>
    <w:rsid w:val="00CD2460"/>
    <w:rsid w:val="00CE4B51"/>
    <w:rsid w:val="00CF0F79"/>
    <w:rsid w:val="00CF2E6A"/>
    <w:rsid w:val="00D01543"/>
    <w:rsid w:val="00D04EE5"/>
    <w:rsid w:val="00D276A9"/>
    <w:rsid w:val="00D41835"/>
    <w:rsid w:val="00D5062C"/>
    <w:rsid w:val="00D5103A"/>
    <w:rsid w:val="00D66B4E"/>
    <w:rsid w:val="00D66FD6"/>
    <w:rsid w:val="00D779B0"/>
    <w:rsid w:val="00DA411F"/>
    <w:rsid w:val="00DD1E3A"/>
    <w:rsid w:val="00DE2F53"/>
    <w:rsid w:val="00E0057C"/>
    <w:rsid w:val="00E068A1"/>
    <w:rsid w:val="00E104B3"/>
    <w:rsid w:val="00E13E89"/>
    <w:rsid w:val="00E14857"/>
    <w:rsid w:val="00E20A76"/>
    <w:rsid w:val="00E26F16"/>
    <w:rsid w:val="00E31AD3"/>
    <w:rsid w:val="00E37663"/>
    <w:rsid w:val="00E37C9A"/>
    <w:rsid w:val="00E45F8B"/>
    <w:rsid w:val="00E53107"/>
    <w:rsid w:val="00E80A5C"/>
    <w:rsid w:val="00E8719C"/>
    <w:rsid w:val="00E9294F"/>
    <w:rsid w:val="00E9511D"/>
    <w:rsid w:val="00EA06C5"/>
    <w:rsid w:val="00EA5502"/>
    <w:rsid w:val="00EB5E16"/>
    <w:rsid w:val="00EB617C"/>
    <w:rsid w:val="00ED4E49"/>
    <w:rsid w:val="00EE1729"/>
    <w:rsid w:val="00EE6968"/>
    <w:rsid w:val="00F05930"/>
    <w:rsid w:val="00F25A90"/>
    <w:rsid w:val="00F327A8"/>
    <w:rsid w:val="00F439C0"/>
    <w:rsid w:val="00F53475"/>
    <w:rsid w:val="00F62A16"/>
    <w:rsid w:val="00F66120"/>
    <w:rsid w:val="00F81D32"/>
    <w:rsid w:val="00F84F99"/>
    <w:rsid w:val="00FA0221"/>
    <w:rsid w:val="00FA4025"/>
    <w:rsid w:val="00FA58AB"/>
    <w:rsid w:val="00FB55C8"/>
    <w:rsid w:val="00FD3CC0"/>
    <w:rsid w:val="00FD6F2F"/>
    <w:rsid w:val="00FD7E49"/>
    <w:rsid w:val="00FE511F"/>
    <w:rsid w:val="00FF3846"/>
    <w:rsid w:val="00FF5D9C"/>
    <w:rsid w:val="0A75E70E"/>
    <w:rsid w:val="20CCFEDD"/>
    <w:rsid w:val="54FD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B7D0BD"/>
  <w15:chartTrackingRefBased/>
  <w15:docId w15:val="{C8862A84-7C48-4775-A950-92A6D1F6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F79"/>
    <w:pPr>
      <w:spacing w:line="480" w:lineRule="auto"/>
      <w:jc w:val="both"/>
    </w:pPr>
    <w:rPr>
      <w:rFonts w:ascii="Arial" w:hAnsi="Arial" w:cs="Calibri"/>
      <w:kern w:val="0"/>
      <w:sz w:val="22"/>
      <w:szCs w:val="2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F79"/>
    <w:pPr>
      <w:keepNext/>
      <w:keepLines/>
      <w:spacing w:before="360" w:after="80" w:line="278" w:lineRule="auto"/>
      <w:jc w:val="left"/>
      <w:outlineLvl w:val="0"/>
    </w:pPr>
    <w:rPr>
      <w:rFonts w:eastAsiaTheme="majorEastAsia" w:cstheme="majorBidi"/>
      <w:b/>
      <w:kern w:val="2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F79"/>
    <w:pPr>
      <w:keepNext/>
      <w:keepLines/>
      <w:spacing w:before="160" w:after="80" w:line="278" w:lineRule="auto"/>
      <w:jc w:val="left"/>
      <w:outlineLvl w:val="1"/>
    </w:pPr>
    <w:rPr>
      <w:rFonts w:eastAsiaTheme="majorEastAsia" w:cstheme="majorBidi"/>
      <w:i/>
      <w:kern w:val="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F7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F7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F7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F79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F79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F79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F79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F79"/>
    <w:rPr>
      <w:rFonts w:ascii="Arial" w:eastAsiaTheme="majorEastAsia" w:hAnsi="Arial" w:cstheme="majorBidi"/>
      <w:b/>
      <w:sz w:val="2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1F79"/>
    <w:rPr>
      <w:rFonts w:ascii="Arial" w:eastAsiaTheme="majorEastAsia" w:hAnsi="Arial" w:cstheme="majorBidi"/>
      <w:i/>
      <w:sz w:val="2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1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F7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1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F79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1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F79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1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F79"/>
    <w:pPr>
      <w:spacing w:line="278" w:lineRule="auto"/>
      <w:ind w:left="720"/>
      <w:contextualSpacing/>
      <w:jc w:val="left"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1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F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1F79"/>
    <w:rPr>
      <w:color w:val="467886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D5103A"/>
    <w:rPr>
      <w:rFonts w:cs="Arial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5103A"/>
    <w:rPr>
      <w:rFonts w:ascii="Arial" w:hAnsi="Arial" w:cs="Arial"/>
      <w:kern w:val="0"/>
      <w:sz w:val="22"/>
      <w:szCs w:val="23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276A9"/>
    <w:p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B55C8"/>
    <w:pPr>
      <w:tabs>
        <w:tab w:val="right" w:leader="dot" w:pos="901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B55C8"/>
    <w:pPr>
      <w:tabs>
        <w:tab w:val="right" w:leader="dot" w:pos="9016"/>
      </w:tabs>
      <w:spacing w:after="100" w:line="240" w:lineRule="auto"/>
      <w:ind w:left="220"/>
    </w:pPr>
    <w:rPr>
      <w:i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276A9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DBC"/>
    <w:rPr>
      <w:rFonts w:ascii="Arial" w:hAnsi="Arial" w:cs="Calibri"/>
      <w:kern w:val="0"/>
      <w:sz w:val="22"/>
      <w:szCs w:val="23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DBC"/>
    <w:rPr>
      <w:rFonts w:ascii="Arial" w:hAnsi="Arial" w:cs="Calibri"/>
      <w:kern w:val="0"/>
      <w:sz w:val="22"/>
      <w:szCs w:val="23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D5062C"/>
  </w:style>
  <w:style w:type="paragraph" w:styleId="Revision">
    <w:name w:val="Revision"/>
    <w:hidden/>
    <w:uiPriority w:val="99"/>
    <w:semiHidden/>
    <w:rsid w:val="008E1B82"/>
    <w:pPr>
      <w:spacing w:after="0" w:line="240" w:lineRule="auto"/>
    </w:pPr>
    <w:rPr>
      <w:rFonts w:ascii="Arial" w:hAnsi="Arial" w:cs="Calibri"/>
      <w:kern w:val="0"/>
      <w:sz w:val="22"/>
      <w:szCs w:val="23"/>
      <w14:ligatures w14:val="none"/>
    </w:rPr>
  </w:style>
  <w:style w:type="character" w:customStyle="1" w:styleId="uv3um">
    <w:name w:val="uv3um"/>
    <w:basedOn w:val="DefaultParagraphFont"/>
    <w:rsid w:val="006C2573"/>
  </w:style>
  <w:style w:type="character" w:styleId="CommentReference">
    <w:name w:val="annotation reference"/>
    <w:basedOn w:val="DefaultParagraphFont"/>
    <w:uiPriority w:val="99"/>
    <w:semiHidden/>
    <w:unhideWhenUsed/>
    <w:rsid w:val="00E20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A76"/>
    <w:rPr>
      <w:rFonts w:ascii="Arial" w:hAnsi="Arial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A76"/>
    <w:rPr>
      <w:rFonts w:ascii="Arial" w:hAnsi="Arial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E76D6A-FACA-43BF-826D-23B4DCF5BC3D}">
  <we:reference id="wa104381155" version="1.1.4.0" store="en-US" storeType="OMEX"/>
  <we:alternateReferences>
    <we:reference id="wa104381155" version="1.1.4.0" store="WA10438115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F0E98-A645-4E04-BA2E-886225D3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447</Words>
  <Characters>2553</Characters>
  <Application>Microsoft Office Word</Application>
  <DocSecurity>0</DocSecurity>
  <Lines>21</Lines>
  <Paragraphs>5</Paragraphs>
  <ScaleCrop>false</ScaleCrop>
  <Company>Stellenbosch University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Chiyaka, TL, Mr [tinayechiyaka@sun.ac.za]</dc:creator>
  <cp:keywords/>
  <dc:description/>
  <cp:lastModifiedBy>Chiyaka, TL, Dr [tinayechiyaka@sun.ac.za]</cp:lastModifiedBy>
  <cp:revision>221</cp:revision>
  <dcterms:created xsi:type="dcterms:W3CDTF">2024-08-15T11:21:00Z</dcterms:created>
  <dcterms:modified xsi:type="dcterms:W3CDTF">2026-06-05T09:45:00Z</dcterms:modified>
</cp:coreProperties>
</file>