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F5D4F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eastAsia" w:ascii="Times New Roman" w:hAnsi="Times New Roman" w:eastAsia="宋体" w:cs="Times New Roman"/>
          <w:b/>
          <w:bCs/>
          <w:color w:val="auto"/>
          <w:sz w:val="28"/>
          <w:szCs w:val="28"/>
          <w:lang w:val="en-US" w:eastAsia="zh-CN"/>
        </w:rPr>
      </w:pPr>
      <w:r>
        <w:rPr>
          <w:rFonts w:hint="default" w:ascii="Times New Roman" w:hAnsi="Times New Roman" w:cs="Times New Roman"/>
          <w:b/>
          <w:bCs/>
          <w:color w:val="auto"/>
          <w:sz w:val="36"/>
          <w:szCs w:val="36"/>
        </w:rPr>
        <w:t>Supplementary Information</w:t>
      </w:r>
    </w:p>
    <w:sdt>
      <w:sdtPr>
        <w:rPr>
          <w:rFonts w:hint="default" w:ascii="Times New Roman" w:hAnsi="Times New Roman" w:eastAsia="宋体" w:cs="Times New Roman"/>
          <w:kern w:val="2"/>
          <w:sz w:val="21"/>
          <w:szCs w:val="24"/>
          <w:lang w:val="en-US" w:eastAsia="zh-CN" w:bidi="ar-SA"/>
          <w14:ligatures w14:val="standardContextual"/>
        </w:rPr>
        <w:id w:val="147461112"/>
        <w15:color w:val="DBDBDB"/>
        <w:docPartObj>
          <w:docPartGallery w:val="Table of Contents"/>
          <w:docPartUnique/>
        </w:docPartObj>
      </w:sdtPr>
      <w:sdtEndPr>
        <w:rPr>
          <w:rFonts w:hint="default" w:ascii="Times New Roman" w:hAnsi="Times New Roman" w:eastAsia="宋体" w:cs="Times New Roman"/>
          <w:bCs/>
          <w:color w:val="auto"/>
          <w:kern w:val="2"/>
          <w:sz w:val="24"/>
          <w:szCs w:val="28"/>
          <w:lang w:val="en-US" w:eastAsia="zh-CN" w:bidi="ar-SA"/>
          <w14:ligatures w14:val="standardContextual"/>
        </w:rPr>
      </w:sdtEndPr>
      <w:sdtContent>
        <w:p w14:paraId="223DBF4C">
          <w:pPr>
            <w:keepNext w:val="0"/>
            <w:keepLines w:val="0"/>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default" w:ascii="Times New Roman" w:hAnsi="Times New Roman" w:cs="Times New Roman"/>
            </w:rPr>
          </w:pPr>
        </w:p>
        <w:p w14:paraId="1EE24339">
          <w:pPr>
            <w:pStyle w:val="11"/>
            <w:tabs>
              <w:tab w:val="right" w:leader="dot" w:pos="9360"/>
            </w:tabs>
          </w:pPr>
          <w:r>
            <w:rPr>
              <w:rFonts w:hint="default" w:ascii="Times New Roman" w:hAnsi="Times New Roman" w:eastAsia="宋体" w:cs="Times New Roman"/>
              <w:bCs/>
              <w:color w:val="auto"/>
              <w:kern w:val="2"/>
              <w:sz w:val="24"/>
              <w:szCs w:val="28"/>
              <w:lang w:val="en-US" w:eastAsia="zh-CN" w:bidi="ar-SA"/>
              <w14:ligatures w14:val="standardContextual"/>
            </w:rPr>
            <w:fldChar w:fldCharType="begin"/>
          </w:r>
          <w:r>
            <w:rPr>
              <w:rFonts w:hint="default" w:ascii="Times New Roman" w:hAnsi="Times New Roman" w:eastAsia="宋体" w:cs="Times New Roman"/>
              <w:bCs/>
              <w:color w:val="auto"/>
              <w:kern w:val="2"/>
              <w:sz w:val="24"/>
              <w:szCs w:val="28"/>
              <w:lang w:val="en-US" w:eastAsia="zh-CN" w:bidi="ar-SA"/>
              <w14:ligatures w14:val="standardContextual"/>
            </w:rPr>
            <w:instrText xml:space="preserve">TOC \o "1-3" \h \u </w:instrText>
          </w:r>
          <w:r>
            <w:rPr>
              <w:rFonts w:hint="default" w:ascii="Times New Roman" w:hAnsi="Times New Roman" w:eastAsia="宋体" w:cs="Times New Roman"/>
              <w:bCs/>
              <w:color w:val="auto"/>
              <w:kern w:val="2"/>
              <w:sz w:val="24"/>
              <w:szCs w:val="28"/>
              <w:lang w:val="en-US" w:eastAsia="zh-CN" w:bidi="ar-SA"/>
              <w14:ligatures w14:val="standardContextual"/>
            </w:rPr>
            <w:fldChar w:fldCharType="separate"/>
          </w: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_Toc2680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 xml:space="preserve">Supplementary Text S1 | How prior technological waves reshaped urban space and the </w:t>
          </w:r>
          <w:r>
            <w:rPr>
              <w:rFonts w:hint="eastAsia" w:cs="Times New Roman"/>
              <w:lang w:val="en-US" w:eastAsia="zh-CN"/>
            </w:rPr>
            <w:t>labor</w:t>
          </w:r>
          <w:r>
            <w:rPr>
              <w:rFonts w:hint="default" w:ascii="Times New Roman" w:hAnsi="Times New Roman" w:cs="Times New Roman"/>
              <w:lang w:val="en-US" w:eastAsia="zh-CN"/>
            </w:rPr>
            <w:t xml:space="preserve"> market</w:t>
          </w:r>
          <w:r>
            <w:tab/>
          </w:r>
          <w:r>
            <w:fldChar w:fldCharType="begin"/>
          </w:r>
          <w:r>
            <w:instrText xml:space="preserve"> PAGEREF _Toc2680 \h </w:instrText>
          </w:r>
          <w:r>
            <w:fldChar w:fldCharType="separate"/>
          </w:r>
          <w:r>
            <w:t>3</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3905BC32">
          <w:pPr>
            <w:pStyle w:val="11"/>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_Toc5836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 xml:space="preserve">Supplementary Text S2 | Related research on the </w:t>
          </w:r>
          <w:r>
            <w:rPr>
              <w:rFonts w:hint="eastAsia" w:cs="Times New Roman"/>
              <w:lang w:val="en-US" w:eastAsia="zh-CN"/>
            </w:rPr>
            <w:t>labor</w:t>
          </w:r>
          <w:r>
            <w:rPr>
              <w:rFonts w:hint="default" w:ascii="Times New Roman" w:hAnsi="Times New Roman" w:cs="Times New Roman"/>
              <w:lang w:val="en-US" w:eastAsia="zh-CN"/>
            </w:rPr>
            <w:t>-market impact of AI</w:t>
          </w:r>
          <w:r>
            <w:tab/>
          </w:r>
          <w:r>
            <w:fldChar w:fldCharType="begin"/>
          </w:r>
          <w:r>
            <w:instrText xml:space="preserve"> PAGEREF _Toc5836 \h </w:instrText>
          </w:r>
          <w:r>
            <w:fldChar w:fldCharType="separate"/>
          </w:r>
          <w:r>
            <w:t>5</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657037C3">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_Toc8621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 xml:space="preserve">Supplementary Table S1 | Evolution of research on AI and the </w:t>
          </w:r>
          <w:r>
            <w:rPr>
              <w:rFonts w:hint="eastAsia" w:cs="Times New Roman"/>
              <w:lang w:eastAsia="zh-CN"/>
            </w:rPr>
            <w:t>labor</w:t>
          </w:r>
          <w:r>
            <w:rPr>
              <w:rFonts w:hint="default" w:ascii="Times New Roman" w:hAnsi="Times New Roman" w:cs="Times New Roman"/>
            </w:rPr>
            <w:t xml:space="preserve"> market (2017–2026)</w:t>
          </w:r>
          <w:r>
            <w:tab/>
          </w:r>
          <w:r>
            <w:fldChar w:fldCharType="begin"/>
          </w:r>
          <w:r>
            <w:instrText xml:space="preserve"> PAGEREF _Toc8621 \h </w:instrText>
          </w:r>
          <w:r>
            <w:fldChar w:fldCharType="separate"/>
          </w:r>
          <w:r>
            <w:t>6</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4A9E5AE1">
          <w:pPr>
            <w:pStyle w:val="11"/>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_Toc13603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Supplementary Text S3 | Marginal effects of GenAI on wages across education levels and job-market heat</w:t>
          </w:r>
          <w:r>
            <w:tab/>
          </w:r>
          <w:r>
            <w:fldChar w:fldCharType="begin"/>
          </w:r>
          <w:r>
            <w:instrText xml:space="preserve"> PAGEREF _Toc13603 \h </w:instrText>
          </w:r>
          <w:r>
            <w:fldChar w:fldCharType="separate"/>
          </w:r>
          <w:r>
            <w:t>9</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6B557FBD">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_Toc21351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Supplementary Fig. S1 | Heterogeneous marginal effects of GenAI exposure on wages.</w:t>
          </w:r>
          <w:r>
            <w:tab/>
          </w:r>
          <w:r>
            <w:fldChar w:fldCharType="begin"/>
          </w:r>
          <w:r>
            <w:instrText xml:space="preserve"> PAGEREF _Toc21351 \h </w:instrText>
          </w:r>
          <w:r>
            <w:fldChar w:fldCharType="separate"/>
          </w:r>
          <w:r>
            <w:t>9</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592F38D1">
          <w:pPr>
            <w:pStyle w:val="11"/>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_Toc20438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Supplementary Text S4 | Prompts and rubrics for GenAI exposure assessment</w:t>
          </w:r>
          <w:r>
            <w:tab/>
          </w:r>
          <w:r>
            <w:fldChar w:fldCharType="begin"/>
          </w:r>
          <w:r>
            <w:instrText xml:space="preserve"> PAGEREF _Toc20438 \h </w:instrText>
          </w:r>
          <w:r>
            <w:fldChar w:fldCharType="separate"/>
          </w:r>
          <w:r>
            <w:t>10</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5CA5689E">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_Toc28997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1. Multi-model ensemble strategy</w:t>
          </w:r>
          <w:r>
            <w:tab/>
          </w:r>
          <w:r>
            <w:fldChar w:fldCharType="begin"/>
          </w:r>
          <w:r>
            <w:instrText xml:space="preserve"> PAGEREF _Toc28997 \h </w:instrText>
          </w:r>
          <w:r>
            <w:fldChar w:fldCharType="separate"/>
          </w:r>
          <w:r>
            <w:t>10</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1E0B62EF">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_Toc13176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2. Taxonomy of GenAI exposure (E0–E3)</w:t>
          </w:r>
          <w:r>
            <w:tab/>
          </w:r>
          <w:r>
            <w:fldChar w:fldCharType="begin"/>
          </w:r>
          <w:r>
            <w:instrText xml:space="preserve"> PAGEREF _Toc13176 \h </w:instrText>
          </w:r>
          <w:r>
            <w:fldChar w:fldCharType="separate"/>
          </w:r>
          <w:r>
            <w:t>10</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49563C93">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_Toc31057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3. Standardized evaluation prompts</w:t>
          </w:r>
          <w:r>
            <w:tab/>
          </w:r>
          <w:r>
            <w:fldChar w:fldCharType="begin"/>
          </w:r>
          <w:r>
            <w:instrText xml:space="preserve"> PAGEREF _Toc31057 \h </w:instrText>
          </w:r>
          <w:r>
            <w:fldChar w:fldCharType="separate"/>
          </w:r>
          <w:r>
            <w:t>11</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3A66564C">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_Toc17054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4. Aggregation and index construction</w:t>
          </w:r>
          <w:r>
            <w:tab/>
          </w:r>
          <w:r>
            <w:fldChar w:fldCharType="begin"/>
          </w:r>
          <w:r>
            <w:instrText xml:space="preserve"> PAGEREF _Toc17054 \h </w:instrText>
          </w:r>
          <w:r>
            <w:fldChar w:fldCharType="separate"/>
          </w:r>
          <w:r>
            <w:t>13</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108E2833">
          <w:pPr>
            <w:pStyle w:val="11"/>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_Toc5531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Supplementary Text S5 | Variable definitions</w:t>
          </w:r>
          <w:r>
            <w:tab/>
          </w:r>
          <w:r>
            <w:fldChar w:fldCharType="begin"/>
          </w:r>
          <w:r>
            <w:instrText xml:space="preserve"> PAGEREF _Toc5531 \h </w:instrText>
          </w:r>
          <w:r>
            <w:fldChar w:fldCharType="separate"/>
          </w:r>
          <w:r>
            <w:t>14</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3853AC1F">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_Toc20902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Supplementary Table S2 | Variable definitions and data sources</w:t>
          </w:r>
          <w:r>
            <w:tab/>
          </w:r>
          <w:r>
            <w:fldChar w:fldCharType="begin"/>
          </w:r>
          <w:r>
            <w:instrText xml:space="preserve"> PAGEREF _Toc20902 \h </w:instrText>
          </w:r>
          <w:r>
            <w:fldChar w:fldCharType="separate"/>
          </w:r>
          <w:r>
            <w:t>14</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340E0D52">
          <w:pPr>
            <w:pStyle w:val="11"/>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_Toc31087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Supplementary Text S6 | Bartik IV — extended results and limitations</w:t>
          </w:r>
          <w:r>
            <w:tab/>
          </w:r>
          <w:r>
            <w:fldChar w:fldCharType="begin"/>
          </w:r>
          <w:r>
            <w:instrText xml:space="preserve"> PAGEREF _Toc31087 \h </w:instrText>
          </w:r>
          <w:r>
            <w:fldChar w:fldCharType="separate"/>
          </w:r>
          <w:r>
            <w:t>16</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0E8B1B1C">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_Toc15750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1. Industry-level GenAI exposure</w:t>
          </w:r>
          <w:r>
            <w:tab/>
          </w:r>
          <w:r>
            <w:fldChar w:fldCharType="begin"/>
          </w:r>
          <w:r>
            <w:instrText xml:space="preserve"> PAGEREF _Toc15750 \h </w:instrText>
          </w:r>
          <w:r>
            <w:fldChar w:fldCharType="separate"/>
          </w:r>
          <w:r>
            <w:t>16</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494CB3E9">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_Toc4444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lang w:val="en-US" w:eastAsia="zh-CN"/>
            </w:rPr>
            <w:t>Supplementary Fig. S2 | Industry-level GenAI exposure (basis for the Bartik shift-share IV).</w:t>
          </w:r>
          <w:r>
            <w:tab/>
          </w:r>
          <w:r>
            <w:fldChar w:fldCharType="begin"/>
          </w:r>
          <w:r>
            <w:instrText xml:space="preserve"> PAGEREF _Toc4444 \h </w:instrText>
          </w:r>
          <w:r>
            <w:fldChar w:fldCharType="separate"/>
          </w:r>
          <w:r>
            <w:t>16</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75577290">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_Toc32313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2. First-stage diagnostics</w:t>
          </w:r>
          <w:r>
            <w:tab/>
          </w:r>
          <w:r>
            <w:fldChar w:fldCharType="begin"/>
          </w:r>
          <w:r>
            <w:instrText xml:space="preserve"> PAGEREF _Toc32313 \h </w:instrText>
          </w:r>
          <w:r>
            <w:fldChar w:fldCharType="separate"/>
          </w:r>
          <w:r>
            <w:t>17</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56CB3B1A">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_Toc25714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lang w:val="en-US" w:eastAsia="zh-CN"/>
            </w:rPr>
            <w:t>Supplementary Fig. S3 | First stage — Bartik IV relevance.</w:t>
          </w:r>
          <w:r>
            <w:tab/>
          </w:r>
          <w:r>
            <w:fldChar w:fldCharType="begin"/>
          </w:r>
          <w:r>
            <w:instrText xml:space="preserve"> PAGEREF _Toc25714 \h </w:instrText>
          </w:r>
          <w:r>
            <w:fldChar w:fldCharType="separate"/>
          </w:r>
          <w:r>
            <w:t>18</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1598CF9F">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_Toc14734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3. Reduced form and 2SLS</w:t>
          </w:r>
          <w:r>
            <w:tab/>
          </w:r>
          <w:r>
            <w:fldChar w:fldCharType="begin"/>
          </w:r>
          <w:r>
            <w:instrText xml:space="preserve"> PAGEREF _Toc14734 \h </w:instrText>
          </w:r>
          <w:r>
            <w:fldChar w:fldCharType="separate"/>
          </w:r>
          <w:r>
            <w:t>18</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1B90CA4B">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_Toc14420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4. Parallel-trends test</w:t>
          </w:r>
          <w:r>
            <w:tab/>
          </w:r>
          <w:r>
            <w:fldChar w:fldCharType="begin"/>
          </w:r>
          <w:r>
            <w:instrText xml:space="preserve"> PAGEREF _Toc14420 \h </w:instrText>
          </w:r>
          <w:r>
            <w:fldChar w:fldCharType="separate"/>
          </w:r>
          <w:r>
            <w:t>19</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51202197">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_Toc16733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lang w:val="en-US" w:eastAsia="zh-CN"/>
            </w:rPr>
            <w:t>Supplementary Fig. S4 | Event-study robustness — parallel-trends validation (2020–2024).</w:t>
          </w:r>
          <w:r>
            <w:tab/>
          </w:r>
          <w:r>
            <w:fldChar w:fldCharType="begin"/>
          </w:r>
          <w:r>
            <w:instrText xml:space="preserve"> PAGEREF _Toc16733 \h </w:instrText>
          </w:r>
          <w:r>
            <w:fldChar w:fldCharType="separate"/>
          </w:r>
          <w:r>
            <w:t>20</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4DA86B8A">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_Toc22305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5. Summary</w:t>
          </w:r>
          <w:r>
            <w:tab/>
          </w:r>
          <w:r>
            <w:fldChar w:fldCharType="begin"/>
          </w:r>
          <w:r>
            <w:instrText xml:space="preserve"> PAGEREF _Toc22305 \h </w:instrText>
          </w:r>
          <w:r>
            <w:fldChar w:fldCharType="separate"/>
          </w:r>
          <w:r>
            <w:t>20</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157F5530">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_Toc109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Supplementary Table S3 | Full DID results (extended specifications)</w:t>
          </w:r>
          <w:r>
            <w:tab/>
          </w:r>
          <w:r>
            <w:fldChar w:fldCharType="begin"/>
          </w:r>
          <w:r>
            <w:instrText xml:space="preserve"> PAGEREF _Toc109 \h </w:instrText>
          </w:r>
          <w:r>
            <w:fldChar w:fldCharType="separate"/>
          </w:r>
          <w:r>
            <w:t>20</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67C66D63">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_Toc3378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Supplementary Table S4 | Long-difference instrumental-variables estimation</w:t>
          </w:r>
          <w:r>
            <w:tab/>
          </w:r>
          <w:r>
            <w:fldChar w:fldCharType="begin"/>
          </w:r>
          <w:r>
            <w:instrText xml:space="preserve"> PAGEREF _Toc3378 \h </w:instrText>
          </w:r>
          <w:r>
            <w:fldChar w:fldCharType="separate"/>
          </w:r>
          <w:r>
            <w:t>22</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165156FE">
          <w:pPr>
            <w:pStyle w:val="11"/>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_Toc13206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highlight w:val="none"/>
              <w:lang w:val="en-US" w:eastAsia="zh-CN"/>
            </w:rPr>
            <w:t>Supplementary Text S7 | Triple-DID mechanism analysis</w:t>
          </w:r>
          <w:r>
            <w:tab/>
          </w:r>
          <w:r>
            <w:fldChar w:fldCharType="begin"/>
          </w:r>
          <w:r>
            <w:instrText xml:space="preserve"> PAGEREF _Toc13206 \h </w:instrText>
          </w:r>
          <w:r>
            <w:fldChar w:fldCharType="separate"/>
          </w:r>
          <w:r>
            <w:t>24</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079E9817">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_Toc26179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lang w:val="en-US" w:eastAsia="zh-CN"/>
            </w:rPr>
            <w:t>Supplementary Table S5 | Triple-DID mechanism estimates</w:t>
          </w:r>
          <w:r>
            <w:tab/>
          </w:r>
          <w:r>
            <w:fldChar w:fldCharType="begin"/>
          </w:r>
          <w:r>
            <w:instrText xml:space="preserve"> PAGEREF _Toc26179 \h </w:instrText>
          </w:r>
          <w:r>
            <w:fldChar w:fldCharType="separate"/>
          </w:r>
          <w:r>
            <w:t>24</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3FC39A8E">
          <w:pPr>
            <w:pStyle w:val="11"/>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_Toc30945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lang w:val="en-US" w:eastAsia="zh-CN"/>
            </w:rPr>
            <w:t>Supplementary Text S8 | Robustness checks</w:t>
          </w:r>
          <w:r>
            <w:tab/>
          </w:r>
          <w:r>
            <w:fldChar w:fldCharType="begin"/>
          </w:r>
          <w:r>
            <w:instrText xml:space="preserve"> PAGEREF _Toc30945 \h </w:instrText>
          </w:r>
          <w:r>
            <w:fldChar w:fldCharType="separate"/>
          </w:r>
          <w:r>
            <w:t>26</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2E02D968">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_Toc11403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1. Randomization inference for the DID estimate</w:t>
          </w:r>
          <w:r>
            <w:tab/>
          </w:r>
          <w:r>
            <w:fldChar w:fldCharType="begin"/>
          </w:r>
          <w:r>
            <w:instrText xml:space="preserve"> PAGEREF _Toc11403 \h </w:instrText>
          </w:r>
          <w:r>
            <w:fldChar w:fldCharType="separate"/>
          </w:r>
          <w:r>
            <w:t>26</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0434376B">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_Toc19633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lang w:val="en-US" w:eastAsia="zh-CN"/>
            </w:rPr>
            <w:t>Supplementary Fig. S5 | Permutation test — randomization inference for the DID estimate.</w:t>
          </w:r>
          <w:r>
            <w:tab/>
          </w:r>
          <w:r>
            <w:fldChar w:fldCharType="begin"/>
          </w:r>
          <w:r>
            <w:instrText xml:space="preserve"> PAGEREF _Toc19633 \h </w:instrText>
          </w:r>
          <w:r>
            <w:fldChar w:fldCharType="separate"/>
          </w:r>
          <w:r>
            <w:t>27</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04DD74FE">
          <w:pPr>
            <w:pStyle w:val="12"/>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_Toc447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2. Placebo tests for the fixed-effects models</w:t>
          </w:r>
          <w:r>
            <w:tab/>
          </w:r>
          <w:r>
            <w:fldChar w:fldCharType="begin"/>
          </w:r>
          <w:r>
            <w:instrText xml:space="preserve"> PAGEREF _Toc447 \h </w:instrText>
          </w:r>
          <w:r>
            <w:fldChar w:fldCharType="separate"/>
          </w:r>
          <w:r>
            <w:t>27</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0EBA95A3">
          <w:pPr>
            <w:pStyle w:val="8"/>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_Toc3395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lang w:val="en-US" w:eastAsia="zh-CN"/>
            </w:rPr>
            <w:t>Supplementary Fig. S6 | Placebo tests for the fixed-effects interaction terms.</w:t>
          </w:r>
          <w:r>
            <w:tab/>
          </w:r>
          <w:r>
            <w:fldChar w:fldCharType="begin"/>
          </w:r>
          <w:r>
            <w:instrText xml:space="preserve"> PAGEREF _Toc3395 \h </w:instrText>
          </w:r>
          <w:r>
            <w:fldChar w:fldCharType="separate"/>
          </w:r>
          <w:r>
            <w:t>30</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696ACEC9">
          <w:pPr>
            <w:pStyle w:val="11"/>
            <w:tabs>
              <w:tab w:val="right" w:leader="dot" w:pos="9360"/>
            </w:tabs>
          </w:pPr>
          <w:r>
            <w:rPr>
              <w:rFonts w:hint="default" w:ascii="Times New Roman" w:hAnsi="Times New Roman" w:eastAsia="宋体" w:cs="Times New Roman"/>
              <w:bCs/>
              <w:color w:val="auto"/>
              <w:kern w:val="2"/>
              <w:szCs w:val="28"/>
              <w:lang w:val="en-US" w:eastAsia="zh-CN" w:bidi="ar-SA"/>
              <w14:ligatures w14:val="standardContextual"/>
            </w:rPr>
            <w:fldChar w:fldCharType="begin"/>
          </w:r>
          <w:r>
            <w:rPr>
              <w:rFonts w:hint="default" w:ascii="Times New Roman" w:hAnsi="Times New Roman" w:eastAsia="宋体" w:cs="Times New Roman"/>
              <w:bCs/>
              <w:kern w:val="2"/>
              <w:szCs w:val="28"/>
              <w:lang w:val="en-US" w:eastAsia="zh-CN" w:bidi="ar-SA"/>
              <w14:ligatures w14:val="standardContextual"/>
            </w:rPr>
            <w:instrText xml:space="preserve"> HYPERLINK \l _Toc26913 </w:instrText>
          </w:r>
          <w:r>
            <w:rPr>
              <w:rFonts w:hint="default" w:ascii="Times New Roman" w:hAnsi="Times New Roman" w:eastAsia="宋体" w:cs="Times New Roman"/>
              <w:bCs/>
              <w:kern w:val="2"/>
              <w:szCs w:val="28"/>
              <w:lang w:val="en-US" w:eastAsia="zh-CN" w:bidi="ar-SA"/>
              <w14:ligatures w14:val="standardContextual"/>
            </w:rPr>
            <w:fldChar w:fldCharType="separate"/>
          </w:r>
          <w:r>
            <w:rPr>
              <w:rFonts w:hint="default" w:ascii="Times New Roman" w:hAnsi="Times New Roman" w:cs="Times New Roman"/>
            </w:rPr>
            <w:t>References</w:t>
          </w:r>
          <w:r>
            <w:tab/>
          </w:r>
          <w:r>
            <w:fldChar w:fldCharType="begin"/>
          </w:r>
          <w:r>
            <w:instrText xml:space="preserve"> PAGEREF _Toc26913 \h </w:instrText>
          </w:r>
          <w:r>
            <w:fldChar w:fldCharType="separate"/>
          </w:r>
          <w:r>
            <w:t>31</w:t>
          </w:r>
          <w:r>
            <w:fldChar w:fldCharType="end"/>
          </w:r>
          <w:r>
            <w:rPr>
              <w:rFonts w:hint="default" w:ascii="Times New Roman" w:hAnsi="Times New Roman" w:eastAsia="宋体" w:cs="Times New Roman"/>
              <w:bCs/>
              <w:color w:val="auto"/>
              <w:kern w:val="2"/>
              <w:szCs w:val="28"/>
              <w:lang w:val="en-US" w:eastAsia="zh-CN" w:bidi="ar-SA"/>
              <w14:ligatures w14:val="standardContextual"/>
            </w:rPr>
            <w:fldChar w:fldCharType="end"/>
          </w:r>
        </w:p>
        <w:p w14:paraId="4C8FD0D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Cs/>
              <w:color w:val="auto"/>
              <w:kern w:val="2"/>
              <w:sz w:val="24"/>
              <w:szCs w:val="28"/>
              <w:lang w:val="en-US" w:eastAsia="zh-CN" w:bidi="ar-SA"/>
              <w14:ligatures w14:val="standardContextual"/>
            </w:rPr>
          </w:pPr>
          <w:r>
            <w:rPr>
              <w:rFonts w:hint="default" w:ascii="Times New Roman" w:hAnsi="Times New Roman" w:eastAsia="宋体" w:cs="Times New Roman"/>
              <w:bCs/>
              <w:color w:val="auto"/>
              <w:kern w:val="2"/>
              <w:szCs w:val="28"/>
              <w:lang w:val="en-US" w:eastAsia="zh-CN" w:bidi="ar-SA"/>
              <w14:ligatures w14:val="standardContextual"/>
            </w:rPr>
            <w:fldChar w:fldCharType="end"/>
          </w:r>
        </w:p>
      </w:sdtContent>
    </w:sdt>
    <w:p w14:paraId="381FD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773CB963">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0" w:name="_Toc2680"/>
      <w:r>
        <w:rPr>
          <w:rFonts w:hint="default" w:ascii="Times New Roman" w:hAnsi="Times New Roman" w:cs="Times New Roman"/>
          <w:lang w:val="en-US" w:eastAsia="zh-CN"/>
        </w:rPr>
        <w:t xml:space="preserve">Supplementary Text S1 | How prior technological waves reshaped urban space and the </w:t>
      </w:r>
      <w:r>
        <w:rPr>
          <w:rFonts w:hint="eastAsia" w:cs="Times New Roman"/>
          <w:lang w:val="en-US" w:eastAsia="zh-CN"/>
        </w:rPr>
        <w:t>labor</w:t>
      </w:r>
      <w:r>
        <w:rPr>
          <w:rFonts w:hint="default" w:ascii="Times New Roman" w:hAnsi="Times New Roman" w:cs="Times New Roman"/>
          <w:lang w:val="en-US" w:eastAsia="zh-CN"/>
        </w:rPr>
        <w:t xml:space="preserve"> market</w:t>
      </w:r>
      <w:bookmarkEnd w:id="0"/>
    </w:p>
    <w:p w14:paraId="3E9EB18A">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To contextualize the impact of GenAI, it is useful first to review how earlier waves of technological change reshaped urban space and </w:t>
      </w:r>
      <w:r>
        <w:rPr>
          <w:rFonts w:hint="eastAsia" w:cs="Times New Roman"/>
          <w:color w:val="auto"/>
          <w:lang w:eastAsia="zh-CN"/>
        </w:rPr>
        <w:t>labor</w:t>
      </w:r>
      <w:r>
        <w:rPr>
          <w:rFonts w:hint="default" w:ascii="Times New Roman" w:hAnsi="Times New Roman" w:cs="Times New Roman"/>
          <w:color w:val="auto"/>
        </w:rPr>
        <w:t xml:space="preserve"> markets.</w:t>
      </w:r>
    </w:p>
    <w:p w14:paraId="749E2E8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b/>
          <w:bCs/>
          <w:color w:val="auto"/>
        </w:rPr>
        <w:t>The era of mechanized assembly lines (early twentieth century–1970s).</w:t>
      </w:r>
      <w:r>
        <w:rPr>
          <w:rFonts w:hint="default" w:ascii="Times New Roman" w:hAnsi="Times New Roman" w:cs="Times New Roman"/>
          <w:color w:val="auto"/>
        </w:rPr>
        <w:t xml:space="preserve"> The defining feature of Fordist technologies—most notably the conveyor belt—was the mechanical substitution of physical </w:t>
      </w:r>
      <w:r>
        <w:rPr>
          <w:rFonts w:hint="eastAsia" w:cs="Times New Roman"/>
          <w:color w:val="auto"/>
          <w:lang w:eastAsia="zh-CN"/>
        </w:rPr>
        <w:t>labor</w:t>
      </w:r>
      <w:r>
        <w:rPr>
          <w:rFonts w:hint="default" w:ascii="Times New Roman" w:hAnsi="Times New Roman" w:cs="Times New Roman"/>
          <w:color w:val="auto"/>
        </w:rPr>
        <w:t xml:space="preserve">. Through </w:t>
      </w:r>
      <w:r>
        <w:rPr>
          <w:rFonts w:hint="default" w:ascii="Times New Roman" w:hAnsi="Times New Roman" w:cs="Times New Roman"/>
          <w:color w:val="auto"/>
          <w:lang w:val="en-US" w:eastAsia="zh-CN"/>
        </w:rPr>
        <w:t>“</w:t>
      </w:r>
      <w:r>
        <w:rPr>
          <w:rFonts w:hint="default" w:ascii="Times New Roman" w:hAnsi="Times New Roman" w:cs="Times New Roman"/>
          <w:color w:val="auto"/>
        </w:rPr>
        <w:t>de-skilling,</w:t>
      </w:r>
      <w:r>
        <w:rPr>
          <w:rFonts w:hint="default" w:ascii="Times New Roman" w:hAnsi="Times New Roman" w:cs="Times New Roman"/>
          <w:color w:val="auto"/>
          <w:lang w:val="en-US" w:eastAsia="zh-CN"/>
        </w:rPr>
        <w:t>”</w:t>
      </w:r>
      <w:r>
        <w:rPr>
          <w:rFonts w:hint="default" w:ascii="Times New Roman" w:hAnsi="Times New Roman" w:cs="Times New Roman"/>
          <w:color w:val="auto"/>
        </w:rPr>
        <w:t xml:space="preserve"> complex craftsmanship was decomposed into simple machine operations, weakening workers</w:t>
      </w:r>
      <w:r>
        <w:rPr>
          <w:rFonts w:hint="default" w:ascii="Times New Roman" w:hAnsi="Times New Roman" w:cs="Times New Roman"/>
          <w:color w:val="auto"/>
          <w:lang w:val="en-US" w:eastAsia="zh-CN"/>
        </w:rPr>
        <w:t>’</w:t>
      </w:r>
      <w:r>
        <w:rPr>
          <w:rFonts w:hint="default" w:ascii="Times New Roman" w:hAnsi="Times New Roman" w:cs="Times New Roman"/>
          <w:color w:val="auto"/>
        </w:rPr>
        <w:t xml:space="preserve"> bargaining power</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&lt;EndNote&gt;&lt;Cite&gt;&lt;Author&gt;Braverman&lt;/Author&gt;&lt;Year&gt;1998&lt;/Year&gt;&lt;RecNum&gt;20&lt;/RecNum&gt;&lt;DisplayText&gt;&lt;style face="superscript"&gt;1&lt;/style&gt;&lt;/DisplayText&gt;&lt;record&gt;&lt;rec-number&gt;20&lt;/rec-number&gt;&lt;foreign-keys&gt;&lt;key app="EN" db-id="d0wx2x2e2txxsheffsnxee2m5esz0zzsxztf" timestamp="1773046761"&gt;20&lt;/key&gt;&lt;/foreign-keys&gt;&lt;ref-type name="Book"&gt;6&lt;/ref-type&gt;&lt;contributors&gt;&lt;authors&gt;&lt;author&gt;Braverman, Harry&lt;/author&gt;&lt;/authors&gt;&lt;/contributors&gt;&lt;titles&gt;&lt;title&gt;Labor and monopoly capital: The degradation of work in the twentieth century&lt;/title&gt;&lt;/titles&gt;&lt;dates&gt;&lt;year&gt;1998&lt;/year&gt;&lt;/dates&gt;&lt;publisher&gt;nyu Press&lt;/publisher&gt;&lt;isbn&gt;0853459401&lt;/isbn&gt;&lt;urls&gt;&lt;/urls&gt;&lt;/record&gt;&lt;/Cite&gt;&lt;/EndNote&gt;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and pushing low-end manufacturing toward low-cost peripheral regions and smaller cities</w:t>
      </w:r>
      <w:r>
        <w:rPr>
          <w:rFonts w:hint="default" w:ascii="Times New Roman" w:hAnsi="Times New Roman" w:cs="Times New Roman"/>
          <w:color w:val="auto"/>
          <w:vertAlign w:val="superscript"/>
        </w:rPr>
        <w:fldChar w:fldCharType="begin"/>
      </w:r>
      <w:r>
        <w:rPr>
          <w:rFonts w:hint="default" w:ascii="Times New Roman" w:hAnsi="Times New Roman" w:cs="Times New Roman"/>
          <w:color w:val="auto"/>
          <w:vertAlign w:val="superscript"/>
          <w:lang w:eastAsia="zh-CN"/>
        </w:rPr>
        <w:instrText xml:space="preserve"> ADDIN EN.CITE &lt;EndNote&gt;&lt;Cite&gt;&lt;Author&gt;Desmet&lt;/Author&gt;&lt;Year&gt;2005&lt;/Year&gt;&lt;RecNum&gt;36&lt;/RecNum&gt;&lt;DisplayText&gt;&lt;style face="superscript"&gt;2,3&lt;/style&gt;&lt;/DisplayText&gt;&lt;record&gt;&lt;rec-number&gt;36&lt;/rec-number&gt;&lt;foreign-keys&gt;&lt;key app="EN" db-id="d0wx2x2e2txxsheffsnxee2m5esz0zzsxztf" timestamp="1773047249"&gt;36&lt;/key&gt;&lt;/foreign-keys&gt;&lt;ref-type name="Journal Article"&gt;17&lt;/ref-type&gt;&lt;contributors&gt;&lt;authors&gt;&lt;author&gt;Desmet, Klaus&lt;/author&gt;&lt;author&gt;Fafchamps, Marcel&lt;/author&gt;&lt;/authors&gt;&lt;/contributors&gt;&lt;titles&gt;&lt;title&gt;Changes in the spatial concentration of employment across US counties: a sectoral analysis 1972–2000&lt;/title&gt;&lt;secondary-title&gt;Journal of economic geography&lt;/secondary-title&gt;&lt;/titles&gt;&lt;periodical&gt;&lt;full-title&gt;Journal of economic geography&lt;/full-title&gt;&lt;/periodical&gt;&lt;pages&gt;261-284&lt;/pages&gt;&lt;volume&gt;5&lt;/volume&gt;&lt;number&gt;3&lt;/number&gt;&lt;dates&gt;&lt;year&gt;2005&lt;/year&gt;&lt;/dates&gt;&lt;isbn&gt;1468-2710&lt;/isbn&gt;&lt;urls&gt;&lt;/urls&gt;&lt;/record&gt;&lt;/Cite&gt;&lt;Cite&gt;&lt;Author&gt;Glaeser&lt;/Author&gt;&lt;Year&gt;2004&lt;/Year&gt;&lt;RecNum&gt;48&lt;/RecNum&gt;&lt;record&gt;&lt;rec-number&gt;48&lt;/rec-number&gt;&lt;foreign-keys&gt;&lt;key app="EN" db-id="d0wx2x2e2txxsheffsnxee2m5esz0zzsxztf" timestamp="1773048368"&gt;48&lt;/key&gt;&lt;/foreign-keys&gt;&lt;ref-type name="Journal Article"&gt;17&lt;/ref-type&gt;&lt;contributors&gt;&lt;authors&gt;&lt;author&gt;Glaeser, Edward L&lt;/author&gt;&lt;author&gt;Kohlhase, Janet E&lt;/author&gt;&lt;/authors&gt;&lt;/contributors&gt;&lt;titles&gt;&lt;title&gt;Cities, regions and the decline of transport costs&lt;/title&gt;&lt;secondary-title&gt;Papers in regional Science&lt;/secondary-title&gt;&lt;/titles&gt;&lt;periodical&gt;&lt;full-title&gt;Papers in regional Science&lt;/full-title&gt;&lt;/periodical&gt;&lt;pages&gt;197-228&lt;/pages&gt;&lt;volume&gt;83&lt;/volume&gt;&lt;number&gt;1&lt;/number&gt;&lt;dates&gt;&lt;year&gt;2004&lt;/year&gt;&lt;/dates&gt;&lt;isbn&gt;1056-8190&lt;/isbn&gt;&lt;urls&gt;&lt;/urls&gt;&lt;/record&gt;&lt;/Cite&gt;&lt;/EndNote&gt;</w:instrText>
      </w:r>
      <w:r>
        <w:rPr>
          <w:rFonts w:hint="default" w:ascii="Times New Roman" w:hAnsi="Times New Roman" w:cs="Times New Roman"/>
          <w:color w:val="auto"/>
          <w:vertAlign w:val="superscript"/>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2,3</w:t>
      </w:r>
      <w:r>
        <w:rPr>
          <w:rFonts w:hint="default" w:ascii="Times New Roman" w:hAnsi="Times New Roman" w:cs="Times New Roman"/>
          <w:color w:val="auto"/>
          <w:vertAlign w:val="superscript"/>
        </w:rPr>
        <w:fldChar w:fldCharType="end"/>
      </w:r>
      <w:r>
        <w:rPr>
          <w:rFonts w:hint="default" w:ascii="Times New Roman" w:hAnsi="Times New Roman" w:cs="Times New Roman"/>
          <w:color w:val="auto"/>
        </w:rPr>
        <w:t>.</w:t>
      </w:r>
    </w:p>
    <w:p w14:paraId="4881825A">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b/>
          <w:bCs/>
          <w:color w:val="auto"/>
        </w:rPr>
        <w:t>The era of computer and internet diffusion (1980s–1990s).</w:t>
      </w:r>
      <w:r>
        <w:rPr>
          <w:rFonts w:hint="default" w:ascii="Times New Roman" w:hAnsi="Times New Roman" w:cs="Times New Roman"/>
          <w:color w:val="auto"/>
        </w:rPr>
        <w:t xml:space="preserve"> This wave triggered skill-biased technological change (SBTC), in which technological progress raised both the demand for, and the wage returns to, high-skilled </w:t>
      </w:r>
      <w:r>
        <w:rPr>
          <w:rFonts w:hint="eastAsia" w:cs="Times New Roman"/>
          <w:color w:val="auto"/>
          <w:lang w:eastAsia="zh-CN"/>
        </w:rPr>
        <w:t>labor</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&lt;EndNote&gt;&lt;Cite&gt;&lt;Author&gt;Katz&lt;/Author&gt;&lt;Year&gt;1992&lt;/Year&gt;&lt;RecNum&gt;60&lt;/RecNum&gt;&lt;DisplayText&gt;&lt;style face="superscript"&gt;4&lt;/style&gt;&lt;/DisplayText&gt;&lt;record&gt;&lt;rec-number&gt;60&lt;/rec-number&gt;&lt;foreign-keys&gt;&lt;key app="EN" db-id="d0wx2x2e2txxsheffsnxee2m5esz0zzsxztf" timestamp="1773048721"&gt;60&lt;/key&gt;&lt;/foreign-keys&gt;&lt;ref-type name="Journal Article"&gt;17&lt;/ref-type&gt;&lt;contributors&gt;&lt;authors&gt;&lt;author&gt;Katz, Lawrence F&lt;/author&gt;&lt;author&gt;Murphy, Kevin M&lt;/author&gt;&lt;/authors&gt;&lt;/contributors&gt;&lt;titles&gt;&lt;title&gt;Changes in relative wages, 1963–1987: supply and demand factors&lt;/title&gt;&lt;secondary-title&gt;The quarterly journal of economics&lt;/secondary-title&gt;&lt;/titles&gt;&lt;periodical&gt;&lt;full-title&gt;The Quarterly Journal of Economics&lt;/full-title&gt;&lt;/periodical&gt;&lt;pages&gt;35-78&lt;/pages&gt;&lt;volume&gt;107&lt;/volume&gt;&lt;number&gt;1&lt;/number&gt;&lt;dates&gt;&lt;year&gt;1992&lt;/year&gt;&lt;/dates&gt;&lt;isbn&gt;1531-4650&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4</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Contrary to the </w:t>
      </w:r>
      <w:r>
        <w:rPr>
          <w:rFonts w:hint="default" w:ascii="Times New Roman" w:hAnsi="Times New Roman" w:cs="Times New Roman"/>
          <w:color w:val="auto"/>
          <w:lang w:val="en-US" w:eastAsia="zh-CN"/>
        </w:rPr>
        <w:t>“</w:t>
      </w:r>
      <w:r>
        <w:rPr>
          <w:rFonts w:hint="default" w:ascii="Times New Roman" w:hAnsi="Times New Roman" w:cs="Times New Roman"/>
          <w:color w:val="auto"/>
        </w:rPr>
        <w:t>death of distance</w:t>
      </w:r>
      <w:r>
        <w:rPr>
          <w:rFonts w:hint="default" w:ascii="Times New Roman" w:hAnsi="Times New Roman" w:cs="Times New Roman"/>
          <w:color w:val="auto"/>
          <w:lang w:val="en-US" w:eastAsia="zh-CN"/>
        </w:rPr>
        <w:t>”</w:t>
      </w:r>
      <w:r>
        <w:rPr>
          <w:rFonts w:hint="default" w:ascii="Times New Roman" w:hAnsi="Times New Roman" w:cs="Times New Roman"/>
          <w:color w:val="auto"/>
        </w:rPr>
        <w:t xml:space="preserve"> thesis—which predicted that lower information costs would weaken agglomeration forces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&lt;EndNote&gt;&lt;Cite&gt;&lt;Author&gt;Cairncross&lt;/Author&gt;&lt;Year&gt;1997&lt;/Year&gt;&lt;RecNum&gt;25&lt;/RecNum&gt;&lt;DisplayText&gt;&lt;style face="superscript"&gt;5&lt;/style&gt;&lt;/DisplayText&gt;&lt;record&gt;&lt;rec-number&gt;25&lt;/rec-number&gt;&lt;foreign-keys&gt;&lt;key app="EN" db-id="d0wx2x2e2txxsheffsnxee2m5esz0zzsxztf" timestamp="1773047033"&gt;25&lt;/key&gt;&lt;/foreign-keys&gt;&lt;ref-type name="Journal Article"&gt;17&lt;/ref-type&gt;&lt;contributors&gt;&lt;authors&gt;&lt;author&gt;Cairncross, Frances&lt;/author&gt;&lt;/authors&gt;&lt;/contributors&gt;&lt;titles&gt;&lt;title&gt;The death of distance: How the communications revolution will change our lives&lt;/title&gt;&lt;secondary-title&gt;(No Title)&lt;/secondary-title&gt;&lt;/titles&gt;&lt;periodical&gt;&lt;full-title&gt;(No Title)&lt;/full-title&gt;&lt;/periodical&gt;&lt;dates&gt;&lt;year&gt;1997&lt;/year&gt;&lt;/dates&gt;&lt;urls&gt;&lt;/urls&gt;&lt;/record&gt;&lt;/Cite&gt;&lt;/EndNote&gt;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5</w:t>
      </w:r>
      <w:r>
        <w:rPr>
          <w:rFonts w:hint="default" w:ascii="Times New Roman" w:hAnsi="Times New Roman" w:cs="Times New Roman"/>
          <w:color w:val="auto"/>
        </w:rPr>
        <w:fldChar w:fldCharType="end"/>
      </w:r>
      <w:r>
        <w:rPr>
          <w:rFonts w:hint="default" w:ascii="Times New Roman" w:hAnsi="Times New Roman" w:cs="Times New Roman"/>
          <w:color w:val="auto"/>
        </w:rPr>
        <w:t>—the era instead empowered high-skilled workers with complex cognitive abilities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&lt;EndNote&gt;&lt;Cite&gt;&lt;Author&gt;Spitz-Oener&lt;/Author&gt;&lt;Year&gt;2006&lt;/Year&gt;&lt;RecNum&gt;77&lt;/RecNum&gt;&lt;DisplayText&gt;&lt;style face="superscript"&gt;6&lt;/style&gt;&lt;/DisplayText&gt;&lt;record&gt;&lt;rec-number&gt;77&lt;/rec-number&gt;&lt;foreign-keys&gt;&lt;key app="EN" db-id="d0wx2x2e2txxsheffsnxee2m5esz0zzsxztf" timestamp="1773049246"&gt;77&lt;/key&gt;&lt;/foreign-keys&gt;&lt;ref-type name="Journal Article"&gt;17&lt;/ref-type&gt;&lt;contributors&gt;&lt;authors&gt;&lt;author&gt;Spitz-Oener, Alexandra&lt;/author&gt;&lt;/authors&gt;&lt;/contributors&gt;&lt;titles&gt;&lt;title&gt;Technical change, job tasks, and rising educational demands: Looking outside the wage structure&lt;/title&gt;&lt;secondary-title&gt;Journal of labor economics&lt;/secondary-title&gt;&lt;/titles&gt;&lt;periodical&gt;&lt;full-title&gt;Journal of Labor Economics&lt;/full-title&gt;&lt;/periodical&gt;&lt;pages&gt;235-270&lt;/pages&gt;&lt;volume&gt;24&lt;/volume&gt;&lt;number&gt;2&lt;/number&gt;&lt;dates&gt;&lt;year&gt;2006&lt;/year&gt;&lt;/dates&gt;&lt;isbn&gt;0734-306X&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6</w:t>
      </w:r>
      <w:r>
        <w:rPr>
          <w:rFonts w:hint="default" w:ascii="Times New Roman" w:hAnsi="Times New Roman" w:cs="Times New Roman"/>
          <w:color w:val="auto"/>
        </w:rPr>
        <w:fldChar w:fldCharType="end"/>
      </w:r>
      <w:r>
        <w:rPr>
          <w:rFonts w:hint="default" w:ascii="Times New Roman" w:hAnsi="Times New Roman" w:cs="Times New Roman"/>
          <w:color w:val="auto"/>
        </w:rPr>
        <w:t>, increased the value of face-to-face knowledge spillovers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&lt;EndNote&gt;&lt;Cite&gt;&lt;Author&gt;Capello&lt;/Author&gt;&lt;Year&gt;2014&lt;/Year&gt;&lt;RecNum&gt;26&lt;/RecNum&gt;&lt;DisplayText&gt;&lt;style face="superscript"&gt;7,8&lt;/style&gt;&lt;/DisplayText&gt;&lt;record&gt;&lt;rec-number&gt;26&lt;/rec-number&gt;&lt;foreign-keys&gt;&lt;key app="EN" db-id="d0wx2x2e2txxsheffsnxee2m5esz0zzsxztf" timestamp="1773047049"&gt;26&lt;/key&gt;&lt;/foreign-keys&gt;&lt;ref-type name="Journal Article"&gt;17&lt;/ref-type&gt;&lt;contributors&gt;&lt;authors&gt;&lt;author&gt;Capello, Roberta&lt;/author&gt;&lt;author&gt;Lenzi, Camilla&lt;/author&gt;&lt;/authors&gt;&lt;/contributors&gt;&lt;titles&gt;&lt;title&gt;Spatial heterogeneity in knowledge, innovation, and economic growth nexus: conceptual reflections and empirical evidence&lt;/title&gt;&lt;secondary-title&gt;Journal of Regional Science&lt;/secondary-title&gt;&lt;/titles&gt;&lt;periodical&gt;&lt;full-title&gt;Journal of Regional Science&lt;/full-title&gt;&lt;/periodical&gt;&lt;pages&gt;186-214&lt;/pages&gt;&lt;volume&gt;54&lt;/volume&gt;&lt;number&gt;2&lt;/number&gt;&lt;dates&gt;&lt;year&gt;2014&lt;/year&gt;&lt;/dates&gt;&lt;isbn&gt;0022-4146&lt;/isbn&gt;&lt;urls&gt;&lt;/urls&gt;&lt;/record&gt;&lt;/Cite&gt;&lt;Cite&gt;&lt;Author&gt;Gaspar&lt;/Author&gt;&lt;Year&gt;1998&lt;/Year&gt;&lt;RecNum&gt;95&lt;/RecNum&gt;&lt;record&gt;&lt;rec-number&gt;95&lt;/rec-number&gt;&lt;foreign-keys&gt;&lt;key app="EN" db-id="d0wx2x2e2txxsheffsnxee2m5esz0zzsxztf" timestamp="1773052395"&gt;95&lt;/key&gt;&lt;/foreign-keys&gt;&lt;ref-type name="Journal Article"&gt;17&lt;/ref-type&gt;&lt;contributors&gt;&lt;authors&gt;&lt;author&gt;Gaspar, Jess&lt;/author&gt;&lt;author&gt;Glaeser, Edward L&lt;/author&gt;&lt;/authors&gt;&lt;/contributors&gt;&lt;titles&gt;&lt;title&gt;Information technology and the future of cities&lt;/title&gt;&lt;secondary-title&gt;Journal of urban economics&lt;/secondary-title&gt;&lt;/titles&gt;&lt;periodical&gt;&lt;full-title&gt;Journal of urban economics&lt;/full-title&gt;&lt;/periodical&gt;&lt;pages&gt;136-156&lt;/pages&gt;&lt;volume&gt;43&lt;/volume&gt;&lt;number&gt;1&lt;/number&gt;&lt;dates&gt;&lt;year&gt;1998&lt;/year&gt;&lt;/dates&gt;&lt;isbn&gt;0094-1190&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7,8</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and produced a triple polarization of </w:t>
      </w:r>
      <w:r>
        <w:rPr>
          <w:rFonts w:hint="default" w:ascii="Times New Roman" w:hAnsi="Times New Roman" w:cs="Times New Roman"/>
          <w:color w:val="auto"/>
          <w:lang w:val="en-US" w:eastAsia="zh-CN"/>
        </w:rPr>
        <w:t>“</w:t>
      </w:r>
      <w:r>
        <w:rPr>
          <w:rFonts w:hint="default" w:ascii="Times New Roman" w:hAnsi="Times New Roman" w:cs="Times New Roman"/>
          <w:color w:val="auto"/>
        </w:rPr>
        <w:t>space–structure–wage</w:t>
      </w:r>
      <w:r>
        <w:rPr>
          <w:rFonts w:hint="default" w:ascii="Times New Roman" w:hAnsi="Times New Roman" w:cs="Times New Roman"/>
          <w:color w:val="auto"/>
          <w:lang w:val="en-US" w:eastAsia="zh-CN"/>
        </w:rPr>
        <w:t>”</w:t>
      </w:r>
      <w:r>
        <w:rPr>
          <w:rFonts w:hint="default" w:ascii="Times New Roman" w:hAnsi="Times New Roman" w:cs="Times New Roman"/>
          <w:color w:val="auto"/>
        </w:rPr>
        <w:t>: educated talent concentrated in large cities, employment shares rose, and wages climbed</w:t>
      </w:r>
      <w:r>
        <w:rPr>
          <w:rFonts w:hint="default" w:ascii="Times New Roman" w:hAnsi="Times New Roman" w:cs="Times New Roman"/>
          <w:color w:val="auto"/>
        </w:rPr>
        <w:fldChar w:fldCharType="begin">
          <w:fldData xml:space="preserve">PEVuZE5vdGU+PENpdGU+PEF1dGhvcj5DYXJkPC9BdXRob3I+PFllYXI+MjAwMjwvWWVhcj48UmVj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</w:fldData>
        </w:fldChar>
      </w:r>
      <w:r>
        <w:rPr>
          <w:rFonts w:hint="default" w:ascii="Times New Roman" w:hAnsi="Times New Roman" w:cs="Times New Roman"/>
          <w:color w:val="auto"/>
          <w:lang w:eastAsia="zh-CN"/>
        </w:rPr>
        <w:instrText xml:space="preserve"> ADDIN EN.CITE </w:instrText>
      </w:r>
      <w:r>
        <w:rPr>
          <w:rFonts w:hint="default" w:ascii="Times New Roman" w:hAnsi="Times New Roman" w:cs="Times New Roman"/>
          <w:color w:val="auto"/>
          <w:lang w:eastAsia="zh-CN"/>
        </w:rPr>
        <w:fldChar w:fldCharType="begin">
          <w:fldData xml:space="preserve">PEVuZE5vdGU+PENpdGU+PEF1dGhvcj5DYXJkPC9BdXRob3I+PFllYXI+MjAwMjwvWWVhcj48UmVj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</w:fldData>
        </w:fldChar>
      </w:r>
      <w:r>
        <w:rPr>
          <w:rFonts w:hint="default" w:ascii="Times New Roman" w:hAnsi="Times New Roman" w:cs="Times New Roman"/>
          <w:color w:val="auto"/>
          <w:lang w:eastAsia="zh-CN"/>
        </w:rPr>
        <w:instrText xml:space="preserve"> ADDIN EN.CITE.DATA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fldChar w:fldCharType="end"/>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9-12</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48D9FE06">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b/>
          <w:bCs/>
          <w:color w:val="auto"/>
        </w:rPr>
        <w:t>The era of industrial robots and software automation (2000s–2010s).</w:t>
      </w:r>
      <w:r>
        <w:rPr>
          <w:rFonts w:hint="default" w:ascii="Times New Roman" w:hAnsi="Times New Roman" w:cs="Times New Roman"/>
          <w:color w:val="auto"/>
        </w:rPr>
        <w:t xml:space="preserve"> Technologies including robotic arms, enterprise resource planning (ERP) systems and ATMs deepened substitution into routine-biased technological change (RBTC). Technology eroded middle-skilled routine tasks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&lt;EndNote&gt;&lt;Cite&gt;&lt;Author&gt;Acemoglu&lt;/Author&gt;&lt;Year&gt;2011&lt;/Year&gt;&lt;RecNum&gt;2&lt;/RecNum&gt;&lt;DisplayText&gt;&lt;style face="superscript"&gt;13,14&lt;/style&gt;&lt;/DisplayText&gt;&lt;record&gt;&lt;rec-number&gt;2&lt;/rec-number&gt;&lt;foreign-keys&gt;&lt;key app="EN" db-id="d0wx2x2e2txxsheffsnxee2m5esz0zzsxztf" timestamp="1773046089"&gt;2&lt;/key&gt;&lt;/foreign-keys&gt;&lt;ref-type name="Book Section"&gt;5&lt;/ref-type&gt;&lt;contributors&gt;&lt;authors&gt;&lt;author&gt;Acemoglu, Daron&lt;/author&gt;&lt;author&gt;Autor, David&lt;/author&gt;&lt;/authors&gt;&lt;/contributors&gt;&lt;titles&gt;&lt;title&gt;Skills, tasks and technologies: Implications for employment and earnings&lt;/title&gt;&lt;secondary-title&gt;Handbook of labor economics&lt;/secondary-title&gt;&lt;/titles&gt;&lt;pages&gt;1043-1171&lt;/pages&gt;&lt;volume&gt;4&lt;/volume&gt;&lt;dates&gt;&lt;year&gt;2011&lt;/year&gt;&lt;/dates&gt;&lt;publisher&gt;Elsevier&lt;/publisher&gt;&lt;isbn&gt;1573-4463&lt;/isbn&gt;&lt;urls&gt;&lt;/urls&gt;&lt;/record&gt;&lt;/Cite&gt;&lt;Cite&gt;&lt;Author&gt;Autor&lt;/Author&gt;&lt;Year&gt;2003&lt;/Year&gt;&lt;RecNum&gt;16&lt;/RecNum&gt;&lt;record&gt;&lt;rec-number&gt;16&lt;/rec-number&gt;&lt;foreign-keys&gt;&lt;key app="EN" db-id="d0wx2x2e2txxsheffsnxee2m5esz0zzsxztf" timestamp="1773046672"&gt;16&lt;/key&gt;&lt;/foreign-keys&gt;&lt;ref-type name="Journal Article"&gt;17&lt;/ref-type&gt;&lt;contributors&gt;&lt;authors&gt;&lt;author&gt;Autor, David H&lt;/author&gt;&lt;author&gt;Levy, Frank&lt;/author&gt;&lt;author&gt;Murnane, Richard J&lt;/author&gt;&lt;/authors&gt;&lt;/contributors&gt;&lt;titles&gt;&lt;title&gt;The skill content of recent technological change: An empirical exploration&lt;/title&gt;&lt;secondary-title&gt;The Quarterly journal of economics&lt;/secondary-title&gt;&lt;/titles&gt;&lt;periodical&gt;&lt;full-title&gt;The Quarterly Journal of Economics&lt;/full-title&gt;&lt;/periodical&gt;&lt;pages&gt;1279-1333&lt;/pages&gt;&lt;volume&gt;118&lt;/volume&gt;&lt;number&gt;4&lt;/number&gt;&lt;dates&gt;&lt;year&gt;2003&lt;/year&gt;&lt;/dates&gt;&lt;isbn&gt;1531-4650&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13,14</w:t>
      </w:r>
      <w:r>
        <w:rPr>
          <w:rFonts w:hint="default" w:ascii="Times New Roman" w:hAnsi="Times New Roman" w:cs="Times New Roman"/>
          <w:color w:val="auto"/>
        </w:rPr>
        <w:fldChar w:fldCharType="end"/>
      </w:r>
      <w:r>
        <w:rPr>
          <w:rFonts w:hint="default" w:ascii="Times New Roman" w:hAnsi="Times New Roman" w:cs="Times New Roman"/>
          <w:color w:val="auto"/>
        </w:rPr>
        <w:t>, producing job polarization—growth in high- and low-wage employment alongside a shrinking middle</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&lt;EndNote&gt;&lt;Cite&gt;&lt;Author&gt;Goos&lt;/Author&gt;&lt;Year&gt;2007&lt;/Year&gt;&lt;RecNum&gt;52&lt;/RecNum&gt;&lt;DisplayText&gt;&lt;style face="superscript"&gt;15,16&lt;/style&gt;&lt;/DisplayText&gt;&lt;record&gt;&lt;rec-number&gt;52&lt;/rec-number&gt;&lt;foreign-keys&gt;&lt;key app="EN" db-id="d0wx2x2e2txxsheffsnxee2m5esz0zzsxztf" timestamp="1773048490"&gt;52&lt;/key&gt;&lt;/foreign-keys&gt;&lt;ref-type name="Journal Article"&gt;17&lt;/ref-type&gt;&lt;contributors&gt;&lt;authors&gt;&lt;author&gt;Goos, Maarten&lt;/author&gt;&lt;author&gt;Manning, Alan&lt;/author&gt;&lt;/authors&gt;&lt;/contributors&gt;&lt;titles&gt;&lt;title&gt;Lousy and lovely jobs: The rising polarization of work in Britain&lt;/title&gt;&lt;secondary-title&gt;The review of economics and statistics&lt;/secondary-title&gt;&lt;/titles&gt;&lt;periodical&gt;&lt;full-title&gt;The review of economics and statistics&lt;/full-title&gt;&lt;/periodical&gt;&lt;pages&gt;118-133&lt;/pages&gt;&lt;volume&gt;89&lt;/volume&gt;&lt;number&gt;1&lt;/number&gt;&lt;dates&gt;&lt;year&gt;2007&lt;/year&gt;&lt;/dates&gt;&lt;isbn&gt;0034-6535&lt;/isbn&gt;&lt;urls&gt;&lt;/urls&gt;&lt;/record&gt;&lt;/Cite&gt;&lt;Cite&gt;&lt;Author&gt;Autor&lt;/Author&gt;&lt;Year&gt;2013&lt;/Year&gt;&lt;RecNum&gt;15&lt;/RecNum&gt;&lt;record&gt;&lt;rec-number&gt;15&lt;/rec-number&gt;&lt;foreign-keys&gt;&lt;key app="EN" db-id="d0wx2x2e2txxsheffsnxee2m5esz0zzsxztf" timestamp="1773046607"&gt;15&lt;/key&gt;&lt;/foreign-keys&gt;&lt;ref-type name="Journal Article"&gt;17&lt;/ref-type&gt;&lt;contributors&gt;&lt;authors&gt;&lt;author&gt;Autor, David H&lt;/author&gt;&lt;author&gt;Dorn, David&lt;/author&gt;&lt;/authors&gt;&lt;/contributors&gt;&lt;titles&gt;&lt;title&gt;The growth of low-skill service jobs and the polarization of the US labor market&lt;/title&gt;&lt;secondary-title&gt;American economic review&lt;/secondary-title&gt;&lt;/titles&gt;&lt;periodical&gt;&lt;full-title&gt;American economic review&lt;/full-title&gt;&lt;/periodical&gt;&lt;pages&gt;1553-1597&lt;/pages&gt;&lt;volume&gt;103&lt;/volume&gt;&lt;number&gt;5&lt;/number&gt;&lt;dates&gt;&lt;year&gt;2013&lt;/year&gt;&lt;/dates&gt;&lt;isbn&gt;0002-8282&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15,16</w:t>
      </w:r>
      <w:r>
        <w:rPr>
          <w:rFonts w:hint="default" w:ascii="Times New Roman" w:hAnsi="Times New Roman" w:cs="Times New Roman"/>
          <w:color w:val="auto"/>
        </w:rPr>
        <w:fldChar w:fldCharType="end"/>
      </w:r>
      <w:r>
        <w:rPr>
          <w:rFonts w:hint="default" w:ascii="Times New Roman" w:hAnsi="Times New Roman" w:cs="Times New Roman"/>
          <w:color w:val="auto"/>
        </w:rPr>
        <w:t>—and consolidating the high-end service functions of urban cores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&lt;EndNote&gt;&lt;Cite&gt;&lt;Author&gt;Autor&lt;/Author&gt;&lt;Year&gt;2003&lt;/Year&gt;&lt;RecNum&gt;16&lt;/RecNum&gt;&lt;DisplayText&gt;&lt;style face="superscript"&gt;11,14&lt;/style&gt;&lt;/DisplayText&gt;&lt;record&gt;&lt;rec-number&gt;16&lt;/rec-number&gt;&lt;foreign-keys&gt;&lt;key app="EN" db-id="d0wx2x2e2txxsheffsnxee2m5esz0zzsxztf" timestamp="1773046672"&gt;16&lt;/key&gt;&lt;/foreign-keys&gt;&lt;ref-type name="Journal Article"&gt;17&lt;/ref-type&gt;&lt;contributors&gt;&lt;authors&gt;&lt;author&gt;Autor, David H&lt;/author&gt;&lt;author&gt;Levy, Frank&lt;/author&gt;&lt;author&gt;Murnane, Richard J&lt;/author&gt;&lt;/authors&gt;&lt;/contributors&gt;&lt;titles&gt;&lt;title&gt;The skill content of recent technological change: An empirical exploration&lt;/title&gt;&lt;secondary-title&gt;The Quarterly journal of economics&lt;/secondary-title&gt;&lt;/titles&gt;&lt;periodical&gt;&lt;full-title&gt;The Quarterly Journal of Economics&lt;/full-title&gt;&lt;/periodical&gt;&lt;pages&gt;1279-1333&lt;/pages&gt;&lt;volume&gt;118&lt;/volume&gt;&lt;number&gt;4&lt;/number&gt;&lt;dates&gt;&lt;year&gt;2003&lt;/year&gt;&lt;/dates&gt;&lt;isbn&gt;1531-4650&lt;/isbn&gt;&lt;urls&gt;&lt;/urls&gt;&lt;/record&gt;&lt;/Cite&gt;&lt;Cite&gt;&lt;Author&gt;Bárány&lt;/Author&gt;&lt;Year&gt;2018&lt;/Year&gt;&lt;RecNum&gt;18&lt;/RecNum&gt;&lt;record&gt;&lt;rec-number&gt;18&lt;/rec-number&gt;&lt;foreign-keys&gt;&lt;key app="EN" db-id="d0wx2x2e2txxsheffsnxee2m5esz0zzsxztf" timestamp="1773046709"&gt;18&lt;/key&gt;&lt;/foreign-keys&gt;&lt;ref-type name="Journal Article"&gt;17&lt;/ref-type&gt;&lt;contributors&gt;&lt;authors&gt;&lt;author&gt;Bárány, Zsófia L&lt;/author&gt;&lt;author&gt;Siegel, Christian&lt;/author&gt;&lt;/authors&gt;&lt;/contributors&gt;&lt;titles&gt;&lt;title&gt;Job polarization and structural change&lt;/title&gt;&lt;secondary-title&gt;American Economic Journal: Macroeconomics&lt;/secondary-title&gt;&lt;/titles&gt;&lt;periodical&gt;&lt;full-title&gt;American Economic Journal: Macroeconomics&lt;/full-title&gt;&lt;/periodical&gt;&lt;pages&gt;57-89&lt;/pages&gt;&lt;volume&gt;10&lt;/volume&gt;&lt;number&gt;1&lt;/number&gt;&lt;dates&gt;&lt;year&gt;2018&lt;/year&gt;&lt;/dates&gt;&lt;isbn&gt;1945-7707&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11,14</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2D575C05">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b/>
          <w:bCs/>
          <w:color w:val="auto"/>
        </w:rPr>
        <w:t>The era of remote work and early discriminative AI (post-2010s).</w:t>
      </w:r>
      <w:r>
        <w:rPr>
          <w:rFonts w:hint="default" w:ascii="Times New Roman" w:hAnsi="Times New Roman" w:cs="Times New Roman"/>
          <w:color w:val="auto"/>
        </w:rPr>
        <w:t xml:space="preserve"> Even this wave failed to break the polarization trend. Remote-collaboration tools that became prominent during the pandemic—Zoom, Slack and similar platforms—largely served as supplementary workplace amenities for high-skilled knowledge workers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&lt;EndNote&gt;&lt;Cite&gt;&lt;Author&gt;Dingel&lt;/Author&gt;&lt;Year&gt;2020&lt;/Year&gt;&lt;RecNum&gt;37&lt;/RecNum&gt;&lt;DisplayText&gt;&lt;style face="superscript"&gt;17,18&lt;/style&gt;&lt;/DisplayText&gt;&lt;record&gt;&lt;rec-number&gt;37&lt;/rec-number&gt;&lt;foreign-keys&gt;&lt;key app="EN" db-id="d0wx2x2e2txxsheffsnxee2m5esz0zzsxztf" timestamp="1773047293"&gt;37&lt;/key&gt;&lt;/foreign-keys&gt;&lt;ref-type name="Journal Article"&gt;17&lt;/ref-type&gt;&lt;contributors&gt;&lt;authors&gt;&lt;author&gt;Dingel, Jonathan I&lt;/author&gt;&lt;author&gt;Neiman, Brent&lt;/author&gt;&lt;/authors&gt;&lt;/contributors&gt;&lt;titles&gt;&lt;title&gt;How many jobs can be done at home?&lt;/title&gt;&lt;secondary-title&gt;Journal of public economics&lt;/secondary-title&gt;&lt;/titles&gt;&lt;periodical&gt;&lt;full-title&gt;Journal of public economics&lt;/full-title&gt;&lt;/periodical&gt;&lt;pages&gt;104235&lt;/pages&gt;&lt;volume&gt;189&lt;/volume&gt;&lt;dates&gt;&lt;year&gt;2020&lt;/year&gt;&lt;/dates&gt;&lt;isbn&gt;0047-2727&lt;/isbn&gt;&lt;urls&gt;&lt;/urls&gt;&lt;/record&gt;&lt;/Cite&gt;&lt;Cite&gt;&lt;Author&gt;Ramani&lt;/Author&gt;&lt;Year&gt;2024&lt;/Year&gt;&lt;RecNum&gt;75&lt;/RecNum&gt;&lt;record&gt;&lt;rec-number&gt;75&lt;/rec-number&gt;&lt;foreign-keys&gt;&lt;key app="EN" db-id="d0wx2x2e2txxsheffsnxee2m5esz0zzsxztf" timestamp="1773049192"&gt;75&lt;/key&gt;&lt;/foreign-keys&gt;&lt;ref-type name="Journal Article"&gt;17&lt;/ref-type&gt;&lt;contributors&gt;&lt;authors&gt;&lt;author&gt;Ramani, Arjun&lt;/author&gt;&lt;author&gt;Alcedo, Joel&lt;/author&gt;&lt;author&gt;Bloom, Nicholas&lt;/author&gt;&lt;/authors&gt;&lt;/contributors&gt;&lt;titles&gt;&lt;title&gt;How working from home reshapes cities&lt;/title&gt;&lt;secondary-title&gt;Proceedings of the National Academy of Sciences&lt;/secondary-title&gt;&lt;/titles&gt;&lt;periodical&gt;&lt;full-title&gt;Proceedings of the National Academy of Sciences&lt;/full-title&gt;&lt;/periodical&gt;&lt;pages&gt;e2408930121&lt;/pages&gt;&lt;volume&gt;121&lt;/volume&gt;&lt;number&gt;45&lt;/number&gt;&lt;dates&gt;&lt;year&gt;2024&lt;/year&gt;&lt;/dates&gt;&lt;isbn&gt;0027-8424&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17,18</w:t>
      </w:r>
      <w:r>
        <w:rPr>
          <w:rFonts w:hint="default" w:ascii="Times New Roman" w:hAnsi="Times New Roman" w:cs="Times New Roman"/>
          <w:color w:val="auto"/>
        </w:rPr>
        <w:fldChar w:fldCharType="end"/>
      </w:r>
      <w:r>
        <w:rPr>
          <w:rFonts w:hint="default" w:ascii="Times New Roman" w:hAnsi="Times New Roman" w:cs="Times New Roman"/>
          <w:color w:val="auto"/>
        </w:rPr>
        <w:t>. Early discriminative AI, focused on classification, prediction and recognition, functioned as an auxiliary tool within expert systems, augmenting the productivity of analysts and programmers rather than replacing their core functions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&lt;EndNote&gt;&lt;Cite&gt;&lt;Author&gt;Agrawal&lt;/Author&gt;&lt;Year&gt;2019&lt;/Year&gt;&lt;RecNum&gt;9&lt;/RecNum&gt;&lt;DisplayText&gt;&lt;style face="superscript"&gt;19,20&lt;/style&gt;&lt;/DisplayText&gt;&lt;record&gt;&lt;rec-number&gt;9&lt;/rec-number&gt;&lt;foreign-keys&gt;&lt;key app="EN" db-id="d0wx2x2e2txxsheffsnxee2m5esz0zzsxztf" timestamp="1773046454"&gt;9&lt;/key&gt;&lt;/foreign-keys&gt;&lt;ref-type name="Journal Article"&gt;17&lt;/ref-type&gt;&lt;contributors&gt;&lt;authors&gt;&lt;author&gt;Agrawal, Ajay&lt;/author&gt;&lt;author&gt;Gans, Joshua S&lt;/author&gt;&lt;author&gt;Goldfarb, Avi&lt;/author&gt;&lt;/authors&gt;&lt;/contributors&gt;&lt;titles&gt;&lt;title&gt;Artificial intelligence: the ambiguous labor market impact of automating prediction&lt;/title&gt;&lt;secondary-title&gt;Journal of Economic Perspectives&lt;/secondary-title&gt;&lt;/titles&gt;&lt;periodical&gt;&lt;full-title&gt;Journal of economic perspectives&lt;/full-title&gt;&lt;/periodical&gt;&lt;pages&gt;31-50&lt;/pages&gt;&lt;volume&gt;33&lt;/volume&gt;&lt;number&gt;2&lt;/number&gt;&lt;dates&gt;&lt;year&gt;2019&lt;/year&gt;&lt;/dates&gt;&lt;isbn&gt;0895-3309&lt;/isbn&gt;&lt;urls&gt;&lt;/urls&gt;&lt;/record&gt;&lt;/Cite&gt;&lt;Cite&gt;&lt;Author&gt;Yang&lt;/Author&gt;&lt;Year&gt;2022&lt;/Year&gt;&lt;RecNum&gt;88&lt;/RecNum&gt;&lt;record&gt;&lt;rec-number&gt;88&lt;/rec-number&gt;&lt;foreign-keys&gt;&lt;key app="EN" db-id="d0wx2x2e2txxsheffsnxee2m5esz0zzsxztf" timestamp="1773049441"&gt;88&lt;/key&gt;&lt;/foreign-keys&gt;&lt;ref-type name="Journal Article"&gt;17&lt;/ref-type&gt;&lt;contributors&gt;&lt;authors&gt;&lt;author&gt;Yang, Chih-Hai&lt;/author&gt;&lt;/authors&gt;&lt;/contributors&gt;&lt;titles&gt;&lt;title&gt;How artificial intelligence technology affects productivity and employment: Firm-level evidence from Taiwan&lt;/title&gt;&lt;secondary-title&gt;Research Policy&lt;/secondary-title&gt;&lt;/titles&gt;&lt;periodical&gt;&lt;full-title&gt;Research Policy&lt;/full-title&gt;&lt;/periodical&gt;&lt;pages&gt;104536&lt;/pages&gt;&lt;volume&gt;51&lt;/volume&gt;&lt;number&gt;6&lt;/number&gt;&lt;dates&gt;&lt;year&gt;2022&lt;/year&gt;&lt;/dates&gt;&lt;isbn&gt;0048-7333&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19,20</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5228E206">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In short, the technological narrative of the past three decades is unambiguous: technology has functioned as a substitute for blue-collar work and a complement to white-collar work, rewarding cognitive skills and reinforcing the position of urban cores as incubators of high-value employment.</w:t>
      </w:r>
    </w:p>
    <w:p w14:paraId="485468C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4EFC3C35">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rPr>
      </w:pPr>
      <w:bookmarkStart w:id="1" w:name="_Toc5836"/>
      <w:r>
        <w:rPr>
          <w:rFonts w:hint="default" w:ascii="Times New Roman" w:hAnsi="Times New Roman" w:cs="Times New Roman"/>
          <w:lang w:val="en-US" w:eastAsia="zh-CN"/>
        </w:rPr>
        <w:t xml:space="preserve">Supplementary Text S2 | Related research on the </w:t>
      </w:r>
      <w:r>
        <w:rPr>
          <w:rFonts w:hint="eastAsia" w:cs="Times New Roman"/>
          <w:lang w:val="en-US" w:eastAsia="zh-CN"/>
        </w:rPr>
        <w:t>labor</w:t>
      </w:r>
      <w:r>
        <w:rPr>
          <w:rFonts w:hint="default" w:ascii="Times New Roman" w:hAnsi="Times New Roman" w:cs="Times New Roman"/>
          <w:lang w:val="en-US" w:eastAsia="zh-CN"/>
        </w:rPr>
        <w:t>-market impact of AI</w:t>
      </w:r>
      <w:bookmarkEnd w:id="1"/>
    </w:p>
    <w:p w14:paraId="11194548">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The literature on AI</w:t>
      </w:r>
      <w:r>
        <w:rPr>
          <w:rFonts w:hint="default" w:ascii="Times New Roman" w:hAnsi="Times New Roman" w:cs="Times New Roman"/>
          <w:color w:val="auto"/>
          <w:lang w:val="en-US" w:eastAsia="zh-CN"/>
        </w:rPr>
        <w:t>’</w:t>
      </w:r>
      <w:r>
        <w:rPr>
          <w:rFonts w:hint="default" w:ascii="Times New Roman" w:hAnsi="Times New Roman" w:cs="Times New Roman"/>
          <w:color w:val="auto"/>
        </w:rPr>
        <w:t xml:space="preserve">s </w:t>
      </w:r>
      <w:r>
        <w:rPr>
          <w:rFonts w:hint="eastAsia" w:cs="Times New Roman"/>
          <w:color w:val="auto"/>
          <w:lang w:eastAsia="zh-CN"/>
        </w:rPr>
        <w:t>labor</w:t>
      </w:r>
      <w:r>
        <w:rPr>
          <w:rFonts w:hint="default" w:ascii="Times New Roman" w:hAnsi="Times New Roman" w:cs="Times New Roman"/>
          <w:color w:val="auto"/>
        </w:rPr>
        <w:t xml:space="preserve">-market effects has expanded rapidly, yet substantial heterogeneity remains in measurement frameworks, methods and findings. Existing studies construct indicators along three principal dimensions: macro </w:t>
      </w:r>
      <w:r>
        <w:rPr>
          <w:rFonts w:hint="eastAsia" w:cs="Times New Roman"/>
          <w:color w:val="auto"/>
          <w:lang w:eastAsia="zh-CN"/>
        </w:rPr>
        <w:t>labor</w:t>
      </w:r>
      <w:r>
        <w:rPr>
          <w:rFonts w:hint="default" w:ascii="Times New Roman" w:hAnsi="Times New Roman" w:cs="Times New Roman"/>
          <w:color w:val="auto"/>
        </w:rPr>
        <w:t>-market structure, micro skill demand and occupational exposure. With respect to measurement methods, early work relied largely on expert evaluation of task content</w:t>
      </w:r>
      <w:r>
        <w:rPr>
          <w:rFonts w:hint="default" w:ascii="Times New Roman" w:hAnsi="Times New Roman" w:cs="Times New Roman"/>
          <w:color w:val="auto"/>
        </w:rPr>
        <w:fldChar w:fldCharType="begin">
          <w:fldData xml:space="preserve">PEVuZE5vdGU+PENpdGU+PEF1dGhvcj5Ccnluam9sZnNzb248L0F1dGhvcj48WWVhcj4yMDE3PC9Z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</w:fldData>
        </w:fldChar>
      </w:r>
      <w:r>
        <w:rPr>
          <w:rFonts w:hint="default" w:ascii="Times New Roman" w:hAnsi="Times New Roman" w:cs="Times New Roman"/>
          <w:color w:val="auto"/>
          <w:lang w:eastAsia="zh-CN"/>
        </w:rPr>
        <w:instrText xml:space="preserve"> ADDIN EN.CITE </w:instrText>
      </w:r>
      <w:r>
        <w:rPr>
          <w:rFonts w:hint="default" w:ascii="Times New Roman" w:hAnsi="Times New Roman" w:cs="Times New Roman"/>
          <w:color w:val="auto"/>
          <w:lang w:eastAsia="zh-CN"/>
        </w:rPr>
        <w:fldChar w:fldCharType="begin">
          <w:fldData xml:space="preserve">PEVuZE5vdGU+PENpdGU+PEF1dGhvcj5Ccnluam9sZnNzb248L0F1dGhvcj48WWVhcj4yMDE3PC9Z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</w:fldData>
        </w:fldChar>
      </w:r>
      <w:r>
        <w:rPr>
          <w:rFonts w:hint="default" w:ascii="Times New Roman" w:hAnsi="Times New Roman" w:cs="Times New Roman"/>
          <w:color w:val="auto"/>
          <w:lang w:eastAsia="zh-CN"/>
        </w:rPr>
        <w:instrText xml:space="preserve"> ADDIN EN.CITE.DATA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fldChar w:fldCharType="end"/>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21-24</w:t>
      </w:r>
      <w:r>
        <w:rPr>
          <w:rFonts w:hint="default" w:ascii="Times New Roman" w:hAnsi="Times New Roman" w:cs="Times New Roman"/>
          <w:color w:val="auto"/>
        </w:rPr>
        <w:fldChar w:fldCharType="end"/>
      </w:r>
      <w:r>
        <w:rPr>
          <w:rFonts w:hint="default" w:ascii="Times New Roman" w:hAnsi="Times New Roman" w:cs="Times New Roman"/>
          <w:color w:val="auto"/>
        </w:rPr>
        <w:t>, scoring whether specific tasks were susceptible to automation. Subsequent contributions introduced quantitative approaches based on text similarity</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&lt;EndNote&gt;&lt;Cite&gt;&lt;Author&gt;Webb&lt;/Author&gt;&lt;Year&gt;2019&lt;/Year&gt;&lt;RecNum&gt;86&lt;/RecNum&gt;&lt;DisplayText&gt;&lt;style face="superscript"&gt;25&lt;/style&gt;&lt;/DisplayText&gt;&lt;record&gt;&lt;rec-number&gt;86&lt;/rec-number&gt;&lt;foreign-keys&gt;&lt;key app="EN" db-id="d0wx2x2e2txxsheffsnxee2m5esz0zzsxztf" timestamp="1773049406"&gt;86&lt;/key&gt;&lt;/foreign-keys&gt;&lt;ref-type name="Journal Article"&gt;17&lt;/ref-type&gt;&lt;contributors&gt;&lt;authors&gt;&lt;author&gt;Webb, Michael&lt;/author&gt;&lt;/authors&gt;&lt;/contributors&gt;&lt;titles&gt;&lt;title&gt;The impact of artificial intelligence on the labor market&lt;/title&gt;&lt;secondary-title&gt;Available at SSRN 3482150&lt;/secondary-title&gt;&lt;/titles&gt;&lt;periodical&gt;&lt;full-title&gt;Available at SSRN 3482150&lt;/full-title&gt;&lt;/periodical&gt;&lt;dates&gt;&lt;year&gt;2019&lt;/year&gt;&lt;/dates&gt;&lt;urls&gt;&lt;/urls&gt;&lt;/record&gt;&lt;/Cite&gt;&lt;/EndNote&gt;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25</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and skill decomposition</w:t>
      </w:r>
      <w:r>
        <w:rPr>
          <w:rFonts w:hint="default" w:ascii="Times New Roman" w:hAnsi="Times New Roman" w:cs="Times New Roman"/>
          <w:color w:val="auto"/>
        </w:rPr>
        <w:fldChar w:fldCharType="begin">
          <w:fldData xml:space="preserve">PEVuZE5vdGU+PENpdGU+PEF1dGhvcj5GZWx0ZW48L0F1dGhvcj48WWVhcj4yMDE4PC9ZZWFyPjxS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</w:fldData>
        </w:fldChar>
      </w:r>
      <w:r>
        <w:rPr>
          <w:rFonts w:hint="default" w:ascii="Times New Roman" w:hAnsi="Times New Roman" w:cs="Times New Roman"/>
          <w:color w:val="auto"/>
          <w:lang w:eastAsia="zh-CN"/>
        </w:rPr>
        <w:instrText xml:space="preserve"> ADDIN EN.CITE </w:instrText>
      </w:r>
      <w:r>
        <w:rPr>
          <w:rFonts w:hint="default" w:ascii="Times New Roman" w:hAnsi="Times New Roman" w:cs="Times New Roman"/>
          <w:color w:val="auto"/>
          <w:lang w:eastAsia="zh-CN"/>
        </w:rPr>
        <w:fldChar w:fldCharType="begin">
          <w:fldData xml:space="preserve">PEVuZE5vdGU+PENpdGU+PEF1dGhvcj5GZWx0ZW48L0F1dGhvcj48WWVhcj4yMDE4PC9ZZWFyPjxS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</w:fldData>
        </w:fldChar>
      </w:r>
      <w:r>
        <w:rPr>
          <w:rFonts w:hint="default" w:ascii="Times New Roman" w:hAnsi="Times New Roman" w:cs="Times New Roman"/>
          <w:color w:val="auto"/>
          <w:lang w:eastAsia="zh-CN"/>
        </w:rPr>
        <w:instrText xml:space="preserve"> ADDIN EN.CITE.DATA </w:instrText>
      </w:r>
      <w:r>
        <w:rPr>
          <w:rFonts w:hint="default" w:ascii="Times New Roman" w:hAnsi="Times New Roman" w:cs="Times New Roman"/>
          <w:color w:val="auto"/>
          <w:lang w:eastAsia="zh-CN"/>
        </w:rPr>
        <w:fldChar w:fldCharType="separate"/>
      </w:r>
      <w:r>
        <w:rPr>
          <w:rFonts w:hint="default" w:ascii="Times New Roman" w:hAnsi="Times New Roman" w:cs="Times New Roman"/>
          <w:color w:val="auto"/>
          <w:lang w:eastAsia="zh-CN"/>
        </w:rPr>
        <w:fldChar w:fldCharType="end"/>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16,26,27</w:t>
      </w:r>
      <w:r>
        <w:rPr>
          <w:rFonts w:hint="default" w:ascii="Times New Roman" w:hAnsi="Times New Roman" w:cs="Times New Roman"/>
          <w:color w:val="auto"/>
        </w:rPr>
        <w:fldChar w:fldCharType="end"/>
      </w:r>
      <w:r>
        <w:rPr>
          <w:rFonts w:hint="default" w:ascii="Times New Roman" w:hAnsi="Times New Roman" w:cs="Times New Roman"/>
          <w:color w:val="auto"/>
        </w:rPr>
        <w:t>, leveraging natural language processing (NLP) to match patent texts, task descriptions and skill requirements. With the breakthrough of GenAI, however, the limitations of these static matching approaches have become increasingly apparent, and current research is shifting toward direct evaluation methods based on large language models (LLMs)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&lt;EndNote&gt;&lt;Cite&gt;&lt;Author&gt;Gmyrek&lt;/Author&gt;&lt;Year&gt;2023&lt;/Year&gt;&lt;RecNum&gt;49&lt;/RecNum&gt;&lt;DisplayText&gt;&lt;style face="superscript"&gt;28,29&lt;/style&gt;&lt;/DisplayText&gt;&lt;record&gt;&lt;rec-number&gt;49&lt;/rec-number&gt;&lt;foreign-keys&gt;&lt;key app="EN" db-id="d0wx2x2e2txxsheffsnxee2m5esz0zzsxztf" timestamp="1773048388"&gt;49&lt;/key&gt;&lt;/foreign-keys&gt;&lt;ref-type name="Journal Article"&gt;17&lt;/ref-type&gt;&lt;contributors&gt;&lt;authors&gt;&lt;author&gt;Gmyrek, Pawel&lt;/author&gt;&lt;author&gt;Berg, Janine&lt;/author&gt;&lt;author&gt;Bescond, David&lt;/author&gt;&lt;/authors&gt;&lt;/contributors&gt;&lt;titles&gt;&lt;title&gt;Generative AI and jobs: A global analysis of potential effects on job quantity and quality&lt;/title&gt;&lt;/titles&gt;&lt;dates&gt;&lt;year&gt;2023&lt;/year&gt;&lt;/dates&gt;&lt;urls&gt;&lt;/urls&gt;&lt;/record&gt;&lt;/Cite&gt;&lt;Cite&gt;&lt;Author&gt;Eloundou&lt;/Author&gt;&lt;Year&gt;2024&lt;/Year&gt;&lt;RecNum&gt;40&lt;/RecNum&gt;&lt;record&gt;&lt;rec-number&gt;40&lt;/rec-number&gt;&lt;foreign-keys&gt;&lt;key app="EN" db-id="d0wx2x2e2txxsheffsnxee2m5esz0zzsxztf" timestamp="1773047494"&gt;40&lt;/key&gt;&lt;/foreign-keys&gt;&lt;ref-type name="Journal Article"&gt;17&lt;/ref-type&gt;&lt;contributors&gt;&lt;authors&gt;&lt;author&gt;Eloundou, Tyna&lt;/author&gt;&lt;author&gt;Manning, Sam&lt;/author&gt;&lt;author&gt;Mishkin, Pamela&lt;/author&gt;&lt;author&gt;Rock, Daniel&lt;/author&gt;&lt;/authors&gt;&lt;/contributors&gt;&lt;titles&gt;&lt;title&gt;GPTs are GPTs: Labor market impact potential of LLMs&lt;/title&gt;&lt;secondary-title&gt;Science&lt;/secondary-title&gt;&lt;/titles&gt;&lt;periodical&gt;&lt;full-title&gt;Science&lt;/full-title&gt;&lt;/periodical&gt;&lt;pages&gt;1306-1308&lt;/pages&gt;&lt;volume&gt;384&lt;/volume&gt;&lt;number&gt;6702&lt;/number&gt;&lt;dates&gt;&lt;year&gt;2024&lt;/year&gt;&lt;/dates&gt;&lt;isbn&gt;0036-8075&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28,29</w:t>
      </w:r>
      <w:r>
        <w:rPr>
          <w:rFonts w:hint="default" w:ascii="Times New Roman" w:hAnsi="Times New Roman" w:cs="Times New Roman"/>
          <w:color w:val="auto"/>
        </w:rPr>
        <w:fldChar w:fldCharType="end"/>
      </w:r>
      <w:r>
        <w:rPr>
          <w:rFonts w:hint="default" w:ascii="Times New Roman" w:hAnsi="Times New Roman" w:cs="Times New Roman"/>
          <w:color w:val="auto"/>
        </w:rPr>
        <w:t>. Following Eloundou et al.</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&lt;EndNote&gt;&lt;Cite&gt;&lt;Author&gt;Eloundou&lt;/Author&gt;&lt;Year&gt;2024&lt;/Year&gt;&lt;RecNum&gt;40&lt;/RecNum&gt;&lt;DisplayText&gt;&lt;style face="superscript"&gt;29&lt;/style&gt;&lt;/DisplayText&gt;&lt;record&gt;&lt;rec-number&gt;40&lt;/rec-number&gt;&lt;foreign-keys&gt;&lt;key app="EN" db-id="d0wx2x2e2txxsheffsnxee2m5esz0zzsxztf" timestamp="1773047494"&gt;40&lt;/key&gt;&lt;/foreign-keys&gt;&lt;ref-type name="Journal Article"&gt;17&lt;/ref-type&gt;&lt;contributors&gt;&lt;authors&gt;&lt;author&gt;Eloundou, Tyna&lt;/author&gt;&lt;author&gt;Manning, Sam&lt;/author&gt;&lt;author&gt;Mishkin, Pamela&lt;/author&gt;&lt;author&gt;Rock, Daniel&lt;/author&gt;&lt;/authors&gt;&lt;/contributors&gt;&lt;titles&gt;&lt;title&gt;GPTs are GPTs: Labor market impact potential of LLMs&lt;/title&gt;&lt;secondary-title&gt;Science&lt;/secondary-title&gt;&lt;/titles&gt;&lt;periodical&gt;&lt;full-title&gt;Science&lt;/full-title&gt;&lt;/periodical&gt;&lt;pages&gt;1306-1308&lt;/pages&gt;&lt;volume&gt;384&lt;/volume&gt;&lt;number&gt;6702&lt;/number&gt;&lt;dates&gt;&lt;year&gt;2024&lt;/year&gt;&lt;/dates&gt;&lt;isbn&gt;0036-8075&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29</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the present study adopts an exposure indicator that moves beyond pure substitution assumptions to jointly consider technology's effects on </w:t>
      </w:r>
      <w:r>
        <w:rPr>
          <w:rFonts w:hint="eastAsia" w:cs="Times New Roman"/>
          <w:color w:val="auto"/>
          <w:lang w:eastAsia="zh-CN"/>
        </w:rPr>
        <w:t>labor</w:t>
      </w:r>
      <w:r>
        <w:rPr>
          <w:rFonts w:hint="default" w:ascii="Times New Roman" w:hAnsi="Times New Roman" w:cs="Times New Roman"/>
          <w:color w:val="auto"/>
        </w:rPr>
        <w:t xml:space="preserve"> costs and output. Specifically, we evaluate whether GenAI can reduce the time required to complete a given work task by at least 50% while preserving quality.</w:t>
      </w:r>
    </w:p>
    <w:p w14:paraId="73BEE19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Empirical results derived from these methods exhibit clear stage-specific patterns (Supplementary Table S1). Phase I (2017–2022) concentrated on the substitution of blue-collar physical </w:t>
      </w:r>
      <w:r>
        <w:rPr>
          <w:rFonts w:hint="eastAsia" w:cs="Times New Roman"/>
          <w:color w:val="auto"/>
          <w:lang w:eastAsia="zh-CN"/>
        </w:rPr>
        <w:t>labor</w:t>
      </w:r>
      <w:r>
        <w:rPr>
          <w:rFonts w:hint="default" w:ascii="Times New Roman" w:hAnsi="Times New Roman" w:cs="Times New Roman"/>
          <w:color w:val="auto"/>
        </w:rPr>
        <w:t xml:space="preserve"> by industrial robots, predicting comparatively long and gradual transition timelines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&lt;EndNote&gt;&lt;Cite&gt;&lt;Author&gt;Manyika&lt;/Author&gt;&lt;Year&gt;2017&lt;/Year&gt;&lt;RecNum&gt;68&lt;/RecNum&gt;&lt;DisplayText&gt;&lt;style face="superscript"&gt;30,31&lt;/style&gt;&lt;/DisplayText&gt;&lt;record&gt;&lt;rec-number&gt;68&lt;/rec-number&gt;&lt;foreign-keys&gt;&lt;key app="EN" db-id="d0wx2x2e2txxsheffsnxee2m5esz0zzsxztf" timestamp="1773049050"&gt;68&lt;/key&gt;&lt;/foreign-keys&gt;&lt;ref-type name="Journal Article"&gt;17&lt;/ref-type&gt;&lt;contributors&gt;&lt;authors&gt;&lt;author&gt;Manyika, James&lt;/author&gt;&lt;author&gt;Chui, Michael&lt;/author&gt;&lt;author&gt;Miremadi, Mehdi&lt;/author&gt;&lt;author&gt;Bughin, Jacques&lt;/author&gt;&lt;author&gt;George, Katy&lt;/author&gt;&lt;author&gt;Willmott, Paul&lt;/author&gt;&lt;author&gt;Dewhurst, Martin&lt;/author&gt;&lt;/authors&gt;&lt;/contributors&gt;&lt;titles&gt;&lt;title&gt;A future that works: AI, automation, employment, and productivity&lt;/title&gt;&lt;secondary-title&gt;McKinsey Global Institute Research, Tech. Rep&lt;/secondary-title&gt;&lt;/titles&gt;&lt;periodical&gt;&lt;full-title&gt;McKinsey Global Institute Research, Tech. Rep&lt;/full-title&gt;&lt;/periodical&gt;&lt;pages&gt;1-135&lt;/pages&gt;&lt;volume&gt;60&lt;/volume&gt;&lt;number&gt;9&lt;/number&gt;&lt;dates&gt;&lt;year&gt;2017&lt;/year&gt;&lt;/dates&gt;&lt;urls&gt;&lt;/urls&gt;&lt;/record&gt;&lt;/Cite&gt;&lt;Cite&gt;&lt;Author&gt;Georgieff&lt;/Author&gt;&lt;Year&gt;2021&lt;/Year&gt;&lt;RecNum&gt;46&lt;/RecNum&gt;&lt;record&gt;&lt;rec-number&gt;46&lt;/rec-number&gt;&lt;foreign-keys&gt;&lt;key app="EN" db-id="d0wx2x2e2txxsheffsnxee2m5esz0zzsxztf" timestamp="1773048337"&gt;46&lt;/key&gt;&lt;/foreign-keys&gt;&lt;ref-type name="Journal Article"&gt;17&lt;/ref-type&gt;&lt;contributors&gt;&lt;authors&gt;&lt;author&gt;Georgieff, Alexandre&lt;/author&gt;&lt;author&gt;Hyee, Raphaela&lt;/author&gt;&lt;/authors&gt;&lt;/contributors&gt;&lt;titles&gt;&lt;title&gt;Artificial intelligence and employment: New cross-country evidence&lt;/title&gt;&lt;secondary-title&gt;OECD Social, Employment, and Migration Working Papers&lt;/secondary-title&gt;&lt;/titles&gt;&lt;periodical&gt;&lt;full-title&gt;OECD Social, Employment, and Migration Working Papers&lt;/full-title&gt;&lt;/periodical&gt;&lt;pages&gt;0_1-60&lt;/pages&gt;&lt;number&gt;265&lt;/number&gt;&lt;dates&gt;&lt;year&gt;2021&lt;/year&gt;&lt;/dates&gt;&lt;isbn&gt;1815-199X&lt;/isbn&gt;&lt;urls&gt;&lt;/urls&gt;&lt;/record&gt;&lt;/Cite&gt;&lt;/EndNote&gt;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30,31</w:t>
      </w:r>
      <w:r>
        <w:rPr>
          <w:rFonts w:hint="default" w:ascii="Times New Roman" w:hAnsi="Times New Roman" w:cs="Times New Roman"/>
          <w:color w:val="auto"/>
        </w:rPr>
        <w:fldChar w:fldCharType="end"/>
      </w:r>
      <w:r>
        <w:rPr>
          <w:rFonts w:hint="default" w:ascii="Times New Roman" w:hAnsi="Times New Roman" w:cs="Times New Roman"/>
          <w:color w:val="auto"/>
        </w:rPr>
        <w:t>. Phase II (2022–2024)—initiated by the launch of ChatGPT and related GenAI models—pivoted to white-collar cognitive work, with markedly more aggressive forecasts. Goldman Sachs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&lt;EndNote&gt;&lt;Cite&gt;&lt;Author&gt;Hatzius&lt;/Author&gt;&lt;Year&gt;2023&lt;/Year&gt;&lt;RecNum&gt;55&lt;/RecNum&gt;&lt;DisplayText&gt;&lt;style face="superscript"&gt;32&lt;/style&gt;&lt;/DisplayText&gt;&lt;record&gt;&lt;rec-number&gt;55&lt;/rec-number&gt;&lt;foreign-keys&gt;&lt;key app="EN" db-id="d0wx2x2e2txxsheffsnxee2m5esz0zzsxztf" timestamp="1773048553"&gt;55&lt;/key&gt;&lt;/foreign-keys&gt;&lt;ref-type name="Journal Article"&gt;17&lt;/ref-type&gt;&lt;contributors&gt;&lt;authors&gt;&lt;author&gt;Hatzius, Jan&lt;/author&gt;&lt;/authors&gt;&lt;/contributors&gt;&lt;titles&gt;&lt;title&gt;The potentially large effects of artificial intelligence on economic growth (Briggs/Kodnani)&lt;/title&gt;&lt;secondary-title&gt;Goldman Sachs&lt;/secondary-title&gt;&lt;/titles&gt;&lt;periodical&gt;&lt;full-title&gt;Goldman Sachs&lt;/full-title&gt;&lt;/periodical&gt;&lt;pages&gt;268-296&lt;/pages&gt;&lt;volume&gt;1&lt;/volume&gt;&lt;number&gt;5&lt;/number&gt;&lt;dates&gt;&lt;year&gt;2023&lt;/year&gt;&lt;/dates&gt;&lt;urls&gt;&lt;/urls&gt;&lt;/record&gt;&lt;/Cite&gt;&lt;/EndNote&gt;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32</w:t>
      </w:r>
      <w:r>
        <w:rPr>
          <w:rFonts w:hint="default" w:ascii="Times New Roman" w:hAnsi="Times New Roman" w:cs="Times New Roman"/>
          <w:color w:val="auto"/>
        </w:rPr>
        <w:fldChar w:fldCharType="end"/>
      </w:r>
      <w:r>
        <w:rPr>
          <w:rFonts w:hint="default" w:ascii="Times New Roman" w:hAnsi="Times New Roman" w:cs="Times New Roman"/>
          <w:color w:val="auto"/>
        </w:rPr>
        <w:t>, for instance, projected that 300 million jobs globally faced automation risk and emphasized the vulnerability of highly educated workers. Phase III (2024–2026) has begun to recalibrate, shifting the analytical lens from technical feasibility to economic feasibility. MIT</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&lt;EndNote&gt;&lt;Cite&gt;&lt;Author&gt;Svanberg&lt;/Author&gt;&lt;Year&gt;2024&lt;/Year&gt;&lt;RecNum&gt;80&lt;/RecNum&gt;&lt;DisplayText&gt;&lt;style face="superscript"&gt;33&lt;/style&gt;&lt;/DisplayText&gt;&lt;record&gt;&lt;rec-number&gt;80&lt;/rec-number&gt;&lt;foreign-keys&gt;&lt;key app="EN" db-id="d0wx2x2e2txxsheffsnxee2m5esz0zzsxztf" timestamp="1773049304"&gt;80&lt;/key&gt;&lt;/foreign-keys&gt;&lt;ref-type name="Journal Article"&gt;17&lt;/ref-type&gt;&lt;contributors&gt;&lt;authors&gt;&lt;author&gt;Svanberg, Maja&lt;/author&gt;&lt;author&gt;Li, Wensu&lt;/author&gt;&lt;author&gt;Fleming, Martin&lt;/author&gt;&lt;author&gt;Goehring, Brian&lt;/author&gt;&lt;author&gt;Thompson, Neil&lt;/author&gt;&lt;/authors&gt;&lt;/contributors&gt;&lt;titles&gt;&lt;title&gt;Beyond AI exposure: which tasks are cost-effective to automate with computer vision?&lt;/title&gt;&lt;secondary-title&gt;Available at SSRN 4700751&lt;/secondary-title&gt;&lt;/titles&gt;&lt;periodical&gt;&lt;full-title&gt;Available at SSRN 4700751&lt;/full-title&gt;&lt;/periodical&gt;&lt;dates&gt;&lt;year&gt;2024&lt;/year&gt;&lt;/dates&gt;&lt;urls&gt;&lt;/urls&gt;&lt;/record&gt;&lt;/Cite&gt;&lt;/EndNote&gt;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33</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found that, owing to compute and deployment costs, only 23% of vision tasks are currently economically viable to automate; Microsoft and LinkedIn</w:t>
      </w:r>
      <w:r>
        <w:rPr>
          <w:rFonts w:hint="default" w:ascii="Times New Roman" w:hAnsi="Times New Roman" w:cs="Times New Roman"/>
          <w:color w:val="auto"/>
          <w:vertAlign w:val="superscript"/>
        </w:rPr>
        <w:fldChar w:fldCharType="begin"/>
      </w:r>
      <w:r>
        <w:rPr>
          <w:rFonts w:hint="default" w:ascii="Times New Roman" w:hAnsi="Times New Roman" w:cs="Times New Roman"/>
          <w:color w:val="auto"/>
          <w:vertAlign w:val="superscript"/>
          <w:lang w:eastAsia="zh-CN"/>
        </w:rPr>
        <w:instrText xml:space="preserve"> ADDIN EN.CITE &lt;EndNote&gt;&lt;Cite&gt;&lt;Author&gt;Microsoft&lt;/Author&gt;&lt;Year&gt;2024&lt;/Year&gt;&lt;RecNum&gt;91&lt;/RecNum&gt;&lt;DisplayText&gt;&lt;style face="superscript"&gt;34&lt;/style&gt;&lt;/DisplayText&gt;&lt;record&gt;&lt;rec-number&gt;91&lt;/rec-number&gt;&lt;foreign-keys&gt;&lt;key app="EN" db-id="d0wx2x2e2txxsheffsnxee2m5esz0zzsxztf" timestamp="1773050671"&gt;91&lt;/key&gt;&lt;/foreign-keys&gt;&lt;ref-type name="Report"&gt;27&lt;/ref-type&gt;&lt;contributors&gt;&lt;authors&gt;&lt;author&gt;Microsoft, LinkedIn&lt;/author&gt;&lt;/authors&gt;&lt;/contributors&gt;&lt;titles&gt;&lt;title&gt;2024 Annual Work Trend Index&lt;/title&gt;&lt;/titles&gt;&lt;dates&gt;&lt;year&gt;2024&lt;/year&gt;&lt;pub-dates&gt;&lt;date&gt;2024.05&lt;/date&gt;&lt;/pub-dates&gt;&lt;/dates&gt;&lt;urls&gt;&lt;related-urls&gt;&lt;url&gt;https://news.microsoft.com/annual-wti-2024/&lt;/url&gt;&lt;/related-urls&gt;&lt;/urls&gt;&lt;/record&gt;&lt;/Cite&gt;&lt;/EndNote&gt;</w:instrText>
      </w:r>
      <w:r>
        <w:rPr>
          <w:rFonts w:hint="default" w:ascii="Times New Roman" w:hAnsi="Times New Roman" w:cs="Times New Roman"/>
          <w:color w:val="auto"/>
          <w:vertAlign w:val="superscript"/>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34</w:t>
      </w:r>
      <w:r>
        <w:rPr>
          <w:rFonts w:hint="default" w:ascii="Times New Roman" w:hAnsi="Times New Roman" w:cs="Times New Roman"/>
          <w:color w:val="auto"/>
          <w:vertAlign w:val="superscript"/>
        </w:rPr>
        <w:fldChar w:fldCharType="end"/>
      </w:r>
      <w:r>
        <w:rPr>
          <w:rFonts w:hint="default" w:ascii="Times New Roman" w:hAnsi="Times New Roman" w:cs="Times New Roman"/>
          <w:color w:val="auto"/>
        </w:rPr>
        <w:t xml:space="preserve"> document a corporate preference for skill reshaping over direct layoffs; and international organizations have warned that AI</w:t>
      </w:r>
      <w:r>
        <w:rPr>
          <w:rFonts w:hint="default" w:ascii="Times New Roman" w:hAnsi="Times New Roman" w:cs="Times New Roman"/>
          <w:color w:val="auto"/>
          <w:lang w:val="en-US" w:eastAsia="zh-CN"/>
        </w:rPr>
        <w:t>’</w:t>
      </w:r>
      <w:r>
        <w:rPr>
          <w:rFonts w:hint="default" w:ascii="Times New Roman" w:hAnsi="Times New Roman" w:cs="Times New Roman"/>
          <w:color w:val="auto"/>
        </w:rPr>
        <w:t>s macro-productivity gains may be delayed until the 2030s and could exacerbate divergence between countries and generations</w:t>
      </w: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ADDIN EN.CITE &lt;EndNote&gt;&lt;Cite&gt;&lt;Author&gt;Yusuf&lt;/Author&gt;&lt;Year&gt;2025&lt;/Year&gt;&lt;RecNum&gt;89&lt;/RecNum&gt;&lt;DisplayText&gt;&lt;style face="superscript"&gt;35,36&lt;/style&gt;&lt;/DisplayText&gt;&lt;record&gt;&lt;rec-number&gt;89&lt;/rec-number&gt;&lt;foreign-keys&gt;&lt;key app="EN" db-id="d0wx2x2e2txxsheffsnxee2m5esz0zzsxztf" timestamp="1773049475"&gt;89&lt;/key&gt;&lt;/foreign-keys&gt;&lt;ref-type name="Journal Article"&gt;17&lt;/ref-type&gt;&lt;contributors&gt;&lt;authors&gt;&lt;author&gt;Shahid Yusuf&lt;/author&gt;&lt;/authors&gt;&lt;/contributors&gt;&lt;titles&gt;&lt;title&gt;The Macroeconomic Consequences of AI&lt;/title&gt;&lt;/titles&gt;&lt;dates&gt;&lt;year&gt;2025&lt;/year&gt;&lt;pub-dates&gt;&lt;date&gt;2025.12&lt;/date&gt;&lt;/pub-dates&gt;&lt;/dates&gt;&lt;urls&gt;&lt;related-urls&gt;&lt;url&gt;https://www.undp.org/sites/g/files/zskgke326/files/2025-12/the-macroeconomic-consequences-of-ai.pdf&lt;/url&gt;&lt;/related-urls&gt;&lt;/urls&gt;&lt;/record&gt;&lt;/Cite&gt;&lt;Cite&gt;&lt;Author&gt;Jaumotte&lt;/Author&gt;&lt;Year&gt;2026&lt;/Year&gt;&lt;RecNum&gt;58&lt;/RecNum&gt;&lt;record&gt;&lt;rec-number&gt;58&lt;/rec-number&gt;&lt;foreign-keys&gt;&lt;key app="EN" db-id="d0wx2x2e2txxsheffsnxee2m5esz0zzsxztf" timestamp="1773048630"&gt;58&lt;/key&gt;&lt;/foreign-keys&gt;&lt;ref-type name="Report"&gt;27&lt;/ref-type&gt;&lt;contributors&gt;&lt;authors&gt;&lt;author&gt;Jaumotte, Ms Florence&lt;/author&gt;&lt;author&gt;Kim, Jaden&lt;/author&gt;&lt;author&gt;Koll, David&lt;/author&gt;&lt;author&gt;Li, Elmer&lt;/author&gt;&lt;author&gt;Li, Longji&lt;/author&gt;&lt;author&gt;Melina, Mr Giovanni&lt;/author&gt;&lt;author&gt;Song, Alina&lt;/author&gt;&lt;author&gt;Tavares, Ms Marina Mendes&lt;/author&gt;&lt;/authors&gt;&lt;/contributors&gt;&lt;titles&gt;&lt;title&gt;Bridging Skill Gaps for the Future: New Jobs Creation in the AI Age&lt;/title&gt;&lt;/titles&gt;&lt;dates&gt;&lt;year&gt;2026&lt;/year&gt;&lt;/dates&gt;&lt;publisher&gt;International Monetary Fund&lt;/publisher&gt;&lt;urls&gt;&lt;/urls&gt;&lt;/record&gt;&lt;/Cite&gt;&lt;/EndNote&gt;</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35,36</w:t>
      </w:r>
      <w:r>
        <w:rPr>
          <w:rFonts w:hint="default" w:ascii="Times New Roman" w:hAnsi="Times New Roman" w:cs="Times New Roman"/>
          <w:color w:val="auto"/>
        </w:rPr>
        <w:fldChar w:fldCharType="end"/>
      </w:r>
      <w:r>
        <w:rPr>
          <w:rFonts w:hint="default" w:ascii="Times New Roman" w:hAnsi="Times New Roman" w:cs="Times New Roman"/>
          <w:color w:val="auto"/>
        </w:rPr>
        <w:t>. In sum, while the existing literature has clarified exposure at the technical level, systematic evidence remains scarce on the economic costs of technology adoption, the dynamic adjustment of skill supply and demand, and the macro-level structural divergence induced by AI.</w:t>
      </w:r>
    </w:p>
    <w:p w14:paraId="526E1FF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p>
    <w:p w14:paraId="53205CC1">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2" w:name="_Toc8621"/>
      <w:r>
        <w:rPr>
          <w:rFonts w:hint="default" w:ascii="Times New Roman" w:hAnsi="Times New Roman" w:cs="Times New Roman"/>
        </w:rPr>
        <w:t xml:space="preserve">Supplementary Table S1 | Evolution of research on AI and the </w:t>
      </w:r>
      <w:r>
        <w:rPr>
          <w:rFonts w:hint="eastAsia" w:cs="Times New Roman"/>
          <w:lang w:eastAsia="zh-CN"/>
        </w:rPr>
        <w:t>labor</w:t>
      </w:r>
      <w:r>
        <w:rPr>
          <w:rFonts w:hint="default" w:ascii="Times New Roman" w:hAnsi="Times New Roman" w:cs="Times New Roman"/>
        </w:rPr>
        <w:t xml:space="preserve"> market (2017–2026)</w:t>
      </w:r>
      <w:bookmarkEnd w:id="2"/>
    </w:p>
    <w:tbl>
      <w:tblPr>
        <w:tblStyle w:val="16"/>
        <w:tblW w:w="0" w:type="auto"/>
        <w:tblCellSpacing w:w="15" w:type="dxa"/>
        <w:tblInd w:w="0" w:type="dxa"/>
        <w:tblLayout w:type="autofit"/>
        <w:tblCellMar>
          <w:top w:w="15" w:type="dxa"/>
          <w:left w:w="15" w:type="dxa"/>
          <w:bottom w:w="15" w:type="dxa"/>
          <w:right w:w="15" w:type="dxa"/>
        </w:tblCellMar>
      </w:tblPr>
      <w:tblGrid>
        <w:gridCol w:w="1306"/>
        <w:gridCol w:w="743"/>
        <w:gridCol w:w="1365"/>
        <w:gridCol w:w="2250"/>
        <w:gridCol w:w="3786"/>
      </w:tblGrid>
      <w:tr w14:paraId="38B12B5C">
        <w:tblPrEx>
          <w:tblCellMar>
            <w:top w:w="15" w:type="dxa"/>
            <w:left w:w="15" w:type="dxa"/>
            <w:bottom w:w="15" w:type="dxa"/>
            <w:right w:w="15" w:type="dxa"/>
          </w:tblCellMar>
        </w:tblPrEx>
        <w:trPr>
          <w:tblHeader/>
          <w:tblCellSpacing w:w="15" w:type="dxa"/>
        </w:trPr>
        <w:tc>
          <w:tcPr>
            <w:tcW w:w="0" w:type="auto"/>
            <w:tcBorders>
              <w:top w:val="single" w:color="000000" w:sz="12" w:space="0"/>
              <w:bottom w:val="single" w:color="000000" w:sz="4" w:space="0"/>
              <w:tl2br w:val="nil"/>
            </w:tcBorders>
            <w:shd w:val="clear" w:color="auto" w:fill="FFFFFF"/>
            <w:vAlign w:val="center"/>
          </w:tcPr>
          <w:p w14:paraId="63F6DB0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Cs/>
                <w:color w:val="auto"/>
                <w:kern w:val="0"/>
                <w:sz w:val="21"/>
                <w:szCs w:val="21"/>
                <w:lang w:bidi="ar"/>
              </w:rPr>
            </w:pPr>
            <w:r>
              <w:rPr>
                <w:rStyle w:val="19"/>
                <w:rFonts w:hint="default" w:ascii="Times New Roman" w:hAnsi="Times New Roman" w:cs="Times New Roman"/>
                <w:bCs/>
                <w:color w:val="auto"/>
                <w:kern w:val="0"/>
                <w:sz w:val="21"/>
                <w:szCs w:val="21"/>
                <w:lang w:bidi="ar"/>
              </w:rPr>
              <w:t>Phase</w:t>
            </w:r>
          </w:p>
        </w:tc>
        <w:tc>
          <w:tcPr>
            <w:tcW w:w="0" w:type="auto"/>
            <w:tcBorders>
              <w:top w:val="single" w:color="000000" w:sz="12" w:space="0"/>
              <w:bottom w:val="single" w:color="000000" w:sz="4" w:space="0"/>
            </w:tcBorders>
            <w:shd w:val="clear" w:color="auto" w:fill="FFFFFF"/>
            <w:vAlign w:val="center"/>
          </w:tcPr>
          <w:p w14:paraId="0C146C6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Cs/>
                <w:color w:val="auto"/>
                <w:kern w:val="0"/>
                <w:sz w:val="21"/>
                <w:szCs w:val="21"/>
                <w:lang w:bidi="ar"/>
              </w:rPr>
            </w:pPr>
            <w:r>
              <w:rPr>
                <w:rStyle w:val="19"/>
                <w:rFonts w:hint="default" w:ascii="Times New Roman" w:hAnsi="Times New Roman" w:cs="Times New Roman"/>
                <w:bCs/>
                <w:color w:val="auto"/>
                <w:kern w:val="0"/>
                <w:sz w:val="21"/>
                <w:szCs w:val="21"/>
                <w:lang w:bidi="ar"/>
              </w:rPr>
              <w:t>Date</w:t>
            </w:r>
          </w:p>
        </w:tc>
        <w:tc>
          <w:tcPr>
            <w:tcW w:w="0" w:type="auto"/>
            <w:tcBorders>
              <w:top w:val="single" w:color="000000" w:sz="12" w:space="0"/>
              <w:bottom w:val="single" w:color="000000" w:sz="4" w:space="0"/>
            </w:tcBorders>
            <w:shd w:val="clear" w:color="auto" w:fill="FFFFFF"/>
            <w:vAlign w:val="center"/>
          </w:tcPr>
          <w:p w14:paraId="66D7799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Cs/>
                <w:color w:val="auto"/>
                <w:kern w:val="0"/>
                <w:sz w:val="21"/>
                <w:szCs w:val="21"/>
                <w:lang w:bidi="ar"/>
              </w:rPr>
            </w:pPr>
            <w:r>
              <w:rPr>
                <w:rStyle w:val="19"/>
                <w:rFonts w:hint="default" w:ascii="Times New Roman" w:hAnsi="Times New Roman" w:cs="Times New Roman"/>
                <w:bCs/>
                <w:color w:val="auto"/>
                <w:kern w:val="0"/>
                <w:sz w:val="21"/>
                <w:szCs w:val="21"/>
                <w:lang w:bidi="ar"/>
              </w:rPr>
              <w:t>Organization</w:t>
            </w:r>
          </w:p>
        </w:tc>
        <w:tc>
          <w:tcPr>
            <w:tcW w:w="0" w:type="auto"/>
            <w:tcBorders>
              <w:top w:val="single" w:color="000000" w:sz="12" w:space="0"/>
              <w:bottom w:val="single" w:color="000000" w:sz="4" w:space="0"/>
            </w:tcBorders>
            <w:shd w:val="clear" w:color="auto" w:fill="FFFFFF"/>
            <w:vAlign w:val="center"/>
          </w:tcPr>
          <w:p w14:paraId="60593CA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Cs/>
                <w:color w:val="auto"/>
                <w:kern w:val="0"/>
                <w:sz w:val="21"/>
                <w:szCs w:val="21"/>
                <w:lang w:bidi="ar"/>
              </w:rPr>
            </w:pPr>
            <w:r>
              <w:rPr>
                <w:rStyle w:val="19"/>
                <w:rFonts w:hint="default" w:ascii="Times New Roman" w:hAnsi="Times New Roman" w:cs="Times New Roman"/>
                <w:bCs/>
                <w:color w:val="auto"/>
                <w:kern w:val="0"/>
                <w:sz w:val="21"/>
                <w:szCs w:val="21"/>
                <w:lang w:bidi="ar"/>
              </w:rPr>
              <w:t>Report / Source Title</w:t>
            </w:r>
          </w:p>
        </w:tc>
        <w:tc>
          <w:tcPr>
            <w:tcW w:w="0" w:type="auto"/>
            <w:tcBorders>
              <w:top w:val="single" w:color="000000" w:sz="12" w:space="0"/>
              <w:bottom w:val="single" w:color="000000" w:sz="4" w:space="0"/>
            </w:tcBorders>
            <w:shd w:val="clear" w:color="auto" w:fill="FFFFFF"/>
            <w:vAlign w:val="center"/>
          </w:tcPr>
          <w:p w14:paraId="2AB3584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Cs/>
                <w:color w:val="auto"/>
                <w:kern w:val="0"/>
                <w:sz w:val="21"/>
                <w:szCs w:val="21"/>
                <w:lang w:bidi="ar"/>
              </w:rPr>
            </w:pPr>
            <w:r>
              <w:rPr>
                <w:rStyle w:val="19"/>
                <w:rFonts w:hint="default" w:ascii="Times New Roman" w:hAnsi="Times New Roman" w:cs="Times New Roman"/>
                <w:bCs/>
                <w:color w:val="auto"/>
                <w:kern w:val="0"/>
                <w:sz w:val="21"/>
                <w:szCs w:val="21"/>
                <w:lang w:bidi="ar"/>
              </w:rPr>
              <w:t>Core Conclusion &amp; Prediction</w:t>
            </w:r>
          </w:p>
        </w:tc>
      </w:tr>
      <w:tr w14:paraId="6EE3E15B">
        <w:tblPrEx>
          <w:tblCellMar>
            <w:top w:w="15" w:type="dxa"/>
            <w:left w:w="15" w:type="dxa"/>
            <w:bottom w:w="15" w:type="dxa"/>
            <w:right w:w="15" w:type="dxa"/>
          </w:tblCellMar>
        </w:tblPrEx>
        <w:trPr>
          <w:tblCellSpacing w:w="15" w:type="dxa"/>
        </w:trPr>
        <w:tc>
          <w:tcPr>
            <w:tcW w:w="0" w:type="auto"/>
            <w:tcBorders>
              <w:top w:val="single" w:color="000000" w:sz="4" w:space="0"/>
            </w:tcBorders>
            <w:shd w:val="clear" w:color="auto" w:fill="FFFFFF"/>
            <w:vAlign w:val="center"/>
          </w:tcPr>
          <w:p w14:paraId="432E498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Phase I:</w:t>
            </w:r>
          </w:p>
          <w:p w14:paraId="511BD49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Early Focus</w:t>
            </w:r>
          </w:p>
          <w:p w14:paraId="0C41474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(Physical &amp; Routine)</w:t>
            </w:r>
          </w:p>
        </w:tc>
        <w:tc>
          <w:tcPr>
            <w:tcW w:w="0" w:type="auto"/>
            <w:tcBorders>
              <w:top w:val="single" w:color="000000" w:sz="4" w:space="0"/>
            </w:tcBorders>
            <w:shd w:val="clear" w:color="auto" w:fill="FFFFFF"/>
            <w:vAlign w:val="center"/>
          </w:tcPr>
          <w:p w14:paraId="7F4A111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2017.01</w:t>
            </w:r>
          </w:p>
        </w:tc>
        <w:tc>
          <w:tcPr>
            <w:tcW w:w="0" w:type="auto"/>
            <w:tcBorders>
              <w:top w:val="single" w:color="000000" w:sz="4" w:space="0"/>
            </w:tcBorders>
            <w:shd w:val="clear" w:color="auto" w:fill="FFFFFF"/>
            <w:vAlign w:val="center"/>
          </w:tcPr>
          <w:p w14:paraId="47ACCC1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McKinsey Global Inst.</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&lt;EndNote&gt;&lt;Cite&gt;&lt;Author&gt;Manyika&lt;/Author&gt;&lt;Year&gt;2017&lt;/Year&gt;&lt;RecNum&gt;68&lt;/RecNum&gt;&lt;DisplayText&gt;&lt;style face="superscript"&gt;30&lt;/style&gt;&lt;/DisplayText&gt;&lt;record&gt;&lt;rec-number&gt;68&lt;/rec-number&gt;&lt;foreign-keys&gt;&lt;key app="EN" db-id="d0wx2x2e2txxsheffsnxee2m5esz0zzsxztf" timestamp="1773049050"&gt;68&lt;/key&gt;&lt;/foreign-keys&gt;&lt;ref-type name="Journal Article"&gt;17&lt;/ref-type&gt;&lt;contributors&gt;&lt;authors&gt;&lt;author&gt;Manyika, James&lt;/author&gt;&lt;author&gt;Chui, Michael&lt;/author&gt;&lt;author&gt;Miremadi, Mehdi&lt;/author&gt;&lt;author&gt;Bughin, Jacques&lt;/author&gt;&lt;author&gt;George, Katy&lt;/author&gt;&lt;author&gt;Willmott, Paul&lt;/author&gt;&lt;author&gt;Dewhurst, Martin&lt;/author&gt;&lt;/authors&gt;&lt;/contributors&gt;&lt;titles&gt;&lt;title&gt;A future that works: AI, automation, employment, and productivity&lt;/title&gt;&lt;secondary-title&gt;McKinsey Global Institute Research, Tech. Rep&lt;/secondary-title&gt;&lt;/titles&gt;&lt;periodical&gt;&lt;full-title&gt;McKinsey Global Institute Research, Tech. Rep&lt;/full-title&gt;&lt;/periodical&gt;&lt;pages&gt;1-135&lt;/pages&gt;&lt;volume&gt;60&lt;/volume&gt;&lt;number&gt;9&lt;/number&gt;&lt;dates&gt;&lt;year&gt;2017&lt;/year&gt;&lt;/dates&gt;&lt;urls&gt;&lt;/urls&gt;&lt;/record&gt;&lt;/Cite&gt;&lt;/EndNote&gt;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30</w:t>
            </w:r>
            <w:r>
              <w:rPr>
                <w:rStyle w:val="19"/>
                <w:rFonts w:hint="default" w:ascii="Times New Roman" w:hAnsi="Times New Roman" w:cs="Times New Roman"/>
                <w:b w:val="0"/>
                <w:color w:val="auto"/>
                <w:kern w:val="0"/>
                <w:sz w:val="21"/>
                <w:szCs w:val="21"/>
                <w:lang w:bidi="ar"/>
              </w:rPr>
              <w:fldChar w:fldCharType="end"/>
            </w:r>
          </w:p>
        </w:tc>
        <w:tc>
          <w:tcPr>
            <w:tcW w:w="0" w:type="auto"/>
            <w:tcBorders>
              <w:top w:val="single" w:color="000000" w:sz="4" w:space="0"/>
            </w:tcBorders>
            <w:shd w:val="clear" w:color="auto" w:fill="FFFFFF"/>
            <w:vAlign w:val="center"/>
          </w:tcPr>
          <w:p w14:paraId="44A46B0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A Future that Works: Automation, Employment, and Productivity</w:t>
            </w:r>
          </w:p>
        </w:tc>
        <w:tc>
          <w:tcPr>
            <w:tcW w:w="0" w:type="auto"/>
            <w:tcBorders>
              <w:top w:val="single" w:color="000000" w:sz="4" w:space="0"/>
            </w:tcBorders>
            <w:shd w:val="clear" w:color="auto" w:fill="FFFFFF"/>
            <w:vAlign w:val="center"/>
          </w:tcPr>
          <w:p w14:paraId="0A58CCF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Physical Automation: Half of today’ work activities could be automated by 2055, primarily affecting routine physical tasks.</w:t>
            </w:r>
          </w:p>
        </w:tc>
      </w:tr>
      <w:tr w14:paraId="078E0337">
        <w:tblPrEx>
          <w:tblCellMar>
            <w:top w:w="15" w:type="dxa"/>
            <w:left w:w="15" w:type="dxa"/>
            <w:bottom w:w="15" w:type="dxa"/>
            <w:right w:w="15" w:type="dxa"/>
          </w:tblCellMar>
        </w:tblPrEx>
        <w:trPr>
          <w:tblCellSpacing w:w="15" w:type="dxa"/>
        </w:trPr>
        <w:tc>
          <w:tcPr>
            <w:tcW w:w="0" w:type="auto"/>
            <w:shd w:val="clear" w:color="auto" w:fill="FFFFFF"/>
            <w:vAlign w:val="center"/>
          </w:tcPr>
          <w:p w14:paraId="027E1C7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7676D30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2021.12</w:t>
            </w:r>
          </w:p>
        </w:tc>
        <w:tc>
          <w:tcPr>
            <w:tcW w:w="0" w:type="auto"/>
            <w:shd w:val="clear" w:color="auto" w:fill="FFFFFF"/>
            <w:vAlign w:val="center"/>
          </w:tcPr>
          <w:p w14:paraId="26A2887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OECD</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&lt;EndNote&gt;&lt;Cite&gt;&lt;Author&gt;Georgieff&lt;/Author&gt;&lt;Year&gt;2021&lt;/Year&gt;&lt;RecNum&gt;46&lt;/RecNum&gt;&lt;DisplayText&gt;&lt;style face="superscript"&gt;31&lt;/style&gt;&lt;/DisplayText&gt;&lt;record&gt;&lt;rec-number&gt;46&lt;/rec-number&gt;&lt;foreign-keys&gt;&lt;key app="EN" db-id="d0wx2x2e2txxsheffsnxee2m5esz0zzsxztf" timestamp="1773048337"&gt;46&lt;/key&gt;&lt;/foreign-keys&gt;&lt;ref-type name="Journal Article"&gt;17&lt;/ref-type&gt;&lt;contributors&gt;&lt;authors&gt;&lt;author&gt;Georgieff, Alexandre&lt;/author&gt;&lt;author&gt;Hyee, Raphaela&lt;/author&gt;&lt;/authors&gt;&lt;/contributors&gt;&lt;titles&gt;&lt;title&gt;Artificial intelligence and employment: New cross-country evidence&lt;/title&gt;&lt;secondary-title&gt;OECD Social, Employment, and Migration Working Papers&lt;/secondary-title&gt;&lt;/titles&gt;&lt;periodical&gt;&lt;full-title&gt;OECD Social, Employment, and Migration Working Papers&lt;/full-title&gt;&lt;/periodical&gt;&lt;pages&gt;0_1-60&lt;/pages&gt;&lt;number&gt;265&lt;/number&gt;&lt;dates&gt;&lt;year&gt;2021&lt;/year&gt;&lt;/dates&gt;&lt;isbn&gt;1815-199X&lt;/isbn&gt;&lt;urls&gt;&lt;/urls&gt;&lt;/record&gt;&lt;/Cite&gt;&lt;/EndNote&gt;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31</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16544C0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Artificial Intelligence and Employment: New Cross-Country Evidence</w:t>
            </w:r>
          </w:p>
        </w:tc>
        <w:tc>
          <w:tcPr>
            <w:tcW w:w="0" w:type="auto"/>
            <w:shd w:val="clear" w:color="auto" w:fill="FFFFFF"/>
            <w:vAlign w:val="center"/>
          </w:tcPr>
          <w:p w14:paraId="10144EE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Ambiguous Impact: No clear negative relationship between AI exposure and employment growth yet; high computer-use jobs actually saw growth.</w:t>
            </w:r>
          </w:p>
        </w:tc>
      </w:tr>
      <w:tr w14:paraId="05E28BAD">
        <w:tblPrEx>
          <w:tblCellMar>
            <w:top w:w="15" w:type="dxa"/>
            <w:left w:w="15" w:type="dxa"/>
            <w:bottom w:w="15" w:type="dxa"/>
            <w:right w:w="15" w:type="dxa"/>
          </w:tblCellMar>
        </w:tblPrEx>
        <w:trPr>
          <w:tblCellSpacing w:w="15" w:type="dxa"/>
        </w:trPr>
        <w:tc>
          <w:tcPr>
            <w:tcW w:w="0" w:type="auto"/>
            <w:shd w:val="clear" w:color="auto" w:fill="FFFFFF"/>
            <w:vAlign w:val="center"/>
          </w:tcPr>
          <w:p w14:paraId="445158A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Phase II:</w:t>
            </w:r>
          </w:p>
          <w:p w14:paraId="45A354A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The GenAI Boom</w:t>
            </w:r>
          </w:p>
          <w:p w14:paraId="047C959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(Cognitive &amp; Aggressive)</w:t>
            </w:r>
          </w:p>
        </w:tc>
        <w:tc>
          <w:tcPr>
            <w:tcW w:w="0" w:type="auto"/>
            <w:shd w:val="clear" w:color="auto" w:fill="FFFFFF"/>
            <w:vAlign w:val="center"/>
          </w:tcPr>
          <w:p w14:paraId="7FB05A1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2023.03</w:t>
            </w:r>
          </w:p>
        </w:tc>
        <w:tc>
          <w:tcPr>
            <w:tcW w:w="0" w:type="auto"/>
            <w:shd w:val="clear" w:color="auto" w:fill="FFFFFF"/>
            <w:vAlign w:val="center"/>
          </w:tcPr>
          <w:p w14:paraId="1033BF2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Goldman Sachs</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&lt;EndNote&gt;&lt;Cite&gt;&lt;Author&gt;Hatzius&lt;/Author&gt;&lt;Year&gt;2023&lt;/Year&gt;&lt;RecNum&gt;55&lt;/RecNum&gt;&lt;DisplayText&gt;&lt;style face="superscript"&gt;32&lt;/style&gt;&lt;/DisplayText&gt;&lt;record&gt;&lt;rec-number&gt;55&lt;/rec-number&gt;&lt;foreign-keys&gt;&lt;key app="EN" db-id="d0wx2x2e2txxsheffsnxee2m5esz0zzsxztf" timestamp="1773048553"&gt;55&lt;/key&gt;&lt;/foreign-keys&gt;&lt;ref-type name="Journal Article"&gt;17&lt;/ref-type&gt;&lt;contributors&gt;&lt;authors&gt;&lt;author&gt;Hatzius, Jan&lt;/author&gt;&lt;/authors&gt;&lt;/contributors&gt;&lt;titles&gt;&lt;title&gt;The potentially large effects of artificial intelligence on economic growth (Briggs/Kodnani)&lt;/title&gt;&lt;secondary-title&gt;Goldman Sachs&lt;/secondary-title&gt;&lt;/titles&gt;&lt;periodical&gt;&lt;full-title&gt;Goldman Sachs&lt;/full-title&gt;&lt;/periodical&gt;&lt;pages&gt;268-296&lt;/pages&gt;&lt;volume&gt;1&lt;/volume&gt;&lt;number&gt;5&lt;/number&gt;&lt;dates&gt;&lt;year&gt;2023&lt;/year&gt;&lt;/dates&gt;&lt;urls&gt;&lt;/urls&gt;&lt;/record&gt;&lt;/Cite&gt;&lt;/EndNote&gt;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32</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0C322C0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The Potentially Large Effects of AI on Economic Growth</w:t>
            </w:r>
          </w:p>
        </w:tc>
        <w:tc>
          <w:tcPr>
            <w:tcW w:w="0" w:type="auto"/>
            <w:shd w:val="clear" w:color="auto" w:fill="FFFFFF"/>
            <w:vAlign w:val="center"/>
          </w:tcPr>
          <w:p w14:paraId="1D75965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White-Collar Shock: Globally, 300 million full-time jobs could be automated; approx. 2/3 of U.S. jobs are exposed to some degree of automation.</w:t>
            </w:r>
          </w:p>
        </w:tc>
      </w:tr>
      <w:tr w14:paraId="4FD74E62">
        <w:tblPrEx>
          <w:tblCellMar>
            <w:top w:w="15" w:type="dxa"/>
            <w:left w:w="15" w:type="dxa"/>
            <w:bottom w:w="15" w:type="dxa"/>
            <w:right w:w="15" w:type="dxa"/>
          </w:tblCellMar>
        </w:tblPrEx>
        <w:trPr>
          <w:tblCellSpacing w:w="15" w:type="dxa"/>
        </w:trPr>
        <w:tc>
          <w:tcPr>
            <w:tcW w:w="0" w:type="auto"/>
            <w:shd w:val="clear" w:color="auto" w:fill="FFFFFF"/>
            <w:vAlign w:val="center"/>
          </w:tcPr>
          <w:p w14:paraId="1C2261E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77CABCE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2023.07</w:t>
            </w:r>
          </w:p>
        </w:tc>
        <w:tc>
          <w:tcPr>
            <w:tcW w:w="0" w:type="auto"/>
            <w:shd w:val="clear" w:color="auto" w:fill="FFFFFF"/>
            <w:vAlign w:val="center"/>
          </w:tcPr>
          <w:p w14:paraId="36EEE59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Pew Research</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&lt;EndNote&gt;&lt;Cite&gt;&lt;Author&gt;Kochhar&lt;/Author&gt;&lt;Year&gt;2023&lt;/Year&gt;&lt;RecNum&gt;61&lt;/RecNum&gt;&lt;DisplayText&gt;&lt;style face="superscript"&gt;37&lt;/style&gt;&lt;/DisplayText&gt;&lt;record&gt;&lt;rec-number&gt;61&lt;/rec-number&gt;&lt;foreign-keys&gt;&lt;key app="EN" db-id="d0wx2x2e2txxsheffsnxee2m5esz0zzsxztf" timestamp="1773048738"&gt;61&lt;/key&gt;&lt;/foreign-keys&gt;&lt;ref-type name="Book"&gt;6&lt;/ref-type&gt;&lt;contributors&gt;&lt;authors&gt;&lt;author&gt;Kochhar, Rakesh&lt;/author&gt;&lt;/authors&gt;&lt;/contributors&gt;&lt;titles&gt;&lt;title&gt;Which US workers are more exposed to AI on their jobs?&lt;/title&gt;&lt;/titles&gt;&lt;dates&gt;&lt;year&gt;2023&lt;/year&gt;&lt;/dates&gt;&lt;publisher&gt;Pew Research Center Washington, DC&lt;/publisher&gt;&lt;urls&gt;&lt;/urls&gt;&lt;/record&gt;&lt;/Cite&gt;&lt;/EndNote&gt;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37</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0D4C0BA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Which U.S. Workers Are More Exposed to AI on Their Jobs?</w:t>
            </w:r>
          </w:p>
        </w:tc>
        <w:tc>
          <w:tcPr>
            <w:tcW w:w="0" w:type="auto"/>
            <w:shd w:val="clear" w:color="auto" w:fill="FFFFFF"/>
            <w:vAlign w:val="center"/>
          </w:tcPr>
          <w:p w14:paraId="64452A0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High-Ed Vulnerability: 19% of U.S. workers are in high-exposure jobs, disproportionately affecting high-income, college-educated roles.</w:t>
            </w:r>
          </w:p>
        </w:tc>
      </w:tr>
      <w:tr w14:paraId="468FB4AD">
        <w:tblPrEx>
          <w:tblCellMar>
            <w:top w:w="15" w:type="dxa"/>
            <w:left w:w="15" w:type="dxa"/>
            <w:bottom w:w="15" w:type="dxa"/>
            <w:right w:w="15" w:type="dxa"/>
          </w:tblCellMar>
        </w:tblPrEx>
        <w:trPr>
          <w:tblCellSpacing w:w="15" w:type="dxa"/>
        </w:trPr>
        <w:tc>
          <w:tcPr>
            <w:tcW w:w="0" w:type="auto"/>
            <w:shd w:val="clear" w:color="auto" w:fill="FFFFFF"/>
            <w:vAlign w:val="center"/>
          </w:tcPr>
          <w:p w14:paraId="0818C62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394CDC4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2023.07</w:t>
            </w:r>
          </w:p>
        </w:tc>
        <w:tc>
          <w:tcPr>
            <w:tcW w:w="0" w:type="auto"/>
            <w:shd w:val="clear" w:color="auto" w:fill="FFFFFF"/>
            <w:vAlign w:val="center"/>
          </w:tcPr>
          <w:p w14:paraId="727E0B7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McKinsey</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&lt;EndNote&gt;&lt;Cite&gt;&lt;Author&gt;Ellingrud&lt;/Author&gt;&lt;Year&gt;2023&lt;/Year&gt;&lt;RecNum&gt;39&lt;/RecNum&gt;&lt;DisplayText&gt;&lt;style face="superscript"&gt;38&lt;/style&gt;&lt;/DisplayText&gt;&lt;record&gt;&lt;rec-number&gt;39&lt;/rec-number&gt;&lt;foreign-keys&gt;&lt;key app="EN" db-id="d0wx2x2e2txxsheffsnxee2m5esz0zzsxztf" timestamp="1773047472"&gt;39&lt;/key&gt;&lt;/foreign-keys&gt;&lt;ref-type name="Journal Article"&gt;17&lt;/ref-type&gt;&lt;contributors&gt;&lt;authors&gt;&lt;author&gt;Ellingrud, Kweilin&lt;/author&gt;&lt;author&gt;Sanghvi, Saurabh&lt;/author&gt;&lt;author&gt;Madgavkar, Anu&lt;/author&gt;&lt;author&gt;Dandona, Gurneet Singh&lt;/author&gt;&lt;author&gt;Chui, Michael&lt;/author&gt;&lt;author&gt;White, Olivia&lt;/author&gt;&lt;author&gt;Hasebe, Paige&lt;/author&gt;&lt;/authors&gt;&lt;/contributors&gt;&lt;titles&gt;&lt;title&gt;Generative AI and the future of work in America&lt;/title&gt;&lt;/titles&gt;&lt;dates&gt;&lt;year&gt;2023&lt;/year&gt;&lt;/dates&gt;&lt;urls&gt;&lt;/urls&gt;&lt;/record&gt;&lt;/Cite&gt;&lt;/EndNote&gt;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38</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4A728CF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Generative AI and the Future of Work in America</w:t>
            </w:r>
          </w:p>
        </w:tc>
        <w:tc>
          <w:tcPr>
            <w:tcW w:w="0" w:type="auto"/>
            <w:shd w:val="clear" w:color="auto" w:fill="FFFFFF"/>
            <w:vAlign w:val="center"/>
          </w:tcPr>
          <w:p w14:paraId="1E26A7B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Acceleration: By 2030, activities accounting for 30% of hours worked in the U.S. could be automated, accelerated by GenAI capabilities.</w:t>
            </w:r>
          </w:p>
        </w:tc>
      </w:tr>
      <w:tr w14:paraId="3361D690">
        <w:tblPrEx>
          <w:tblCellMar>
            <w:top w:w="15" w:type="dxa"/>
            <w:left w:w="15" w:type="dxa"/>
            <w:bottom w:w="15" w:type="dxa"/>
            <w:right w:w="15" w:type="dxa"/>
          </w:tblCellMar>
        </w:tblPrEx>
        <w:trPr>
          <w:tblCellSpacing w:w="15" w:type="dxa"/>
        </w:trPr>
        <w:tc>
          <w:tcPr>
            <w:tcW w:w="0" w:type="auto"/>
            <w:shd w:val="clear" w:color="auto" w:fill="FFFFFF"/>
            <w:vAlign w:val="center"/>
          </w:tcPr>
          <w:p w14:paraId="5340DEC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3CCB2C0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2024.01</w:t>
            </w:r>
          </w:p>
        </w:tc>
        <w:tc>
          <w:tcPr>
            <w:tcW w:w="0" w:type="auto"/>
            <w:shd w:val="clear" w:color="auto" w:fill="FFFFFF"/>
            <w:vAlign w:val="center"/>
          </w:tcPr>
          <w:p w14:paraId="4A7B0A6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IMF</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&lt;EndNote&gt;&lt;Cite&gt;&lt;Author&gt;Cazzaniga&lt;/Author&gt;&lt;Year&gt;2024&lt;/Year&gt;&lt;RecNum&gt;30&lt;/RecNum&gt;&lt;DisplayText&gt;&lt;style face="superscript"&gt;39&lt;/style&gt;&lt;/DisplayText&gt;&lt;record&gt;&lt;rec-number&gt;30&lt;/rec-number&gt;&lt;foreign-keys&gt;&lt;key app="EN" db-id="d0wx2x2e2txxsheffsnxee2m5esz0zzsxztf" timestamp="1773047135"&gt;30&lt;/key&gt;&lt;/foreign-keys&gt;&lt;ref-type name="Book"&gt;6&lt;/ref-type&gt;&lt;contributors&gt;&lt;authors&gt;&lt;author&gt;Cazzaniga, Mauro&lt;/author&gt;&lt;author&gt;Jaumotte, Ms Florence&lt;/author&gt;&lt;author&gt;Li, Longji&lt;/author&gt;&lt;author&gt;Melina, Mr Giovanni&lt;/author&gt;&lt;author&gt;Panton, Augustus J&lt;/author&gt;&lt;author&gt;Pizzinelli, Carlo&lt;/author&gt;&lt;author&gt;Rockall, Emma J&lt;/author&gt;&lt;author&gt;Tavares, Ms Marina Mendes&lt;/author&gt;&lt;/authors&gt;&lt;/contributors&gt;&lt;titles&gt;&lt;title&gt;Gen-AI: Artificial intelligence and the future of work&lt;/title&gt;&lt;/titles&gt;&lt;dates&gt;&lt;year&gt;2024&lt;/year&gt;&lt;/dates&gt;&lt;publisher&gt;International Monetary Fund&lt;/publisher&gt;&lt;isbn&gt;9798400262548&lt;/isbn&gt;&lt;urls&gt;&lt;/urls&gt;&lt;/record&gt;&lt;/Cite&gt;&lt;/EndNote&gt;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39</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65F043F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Gen-AI: Artificial Intelligence and the Future of Work</w:t>
            </w:r>
          </w:p>
        </w:tc>
        <w:tc>
          <w:tcPr>
            <w:tcW w:w="0" w:type="auto"/>
            <w:shd w:val="clear" w:color="auto" w:fill="FFFFFF"/>
            <w:vAlign w:val="center"/>
          </w:tcPr>
          <w:p w14:paraId="2B3A50C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Advanced Economy Risk: 40% of global employment is exposed; this rises to 60% in advanced economies, compared with 40% in emerging markets.</w:t>
            </w:r>
          </w:p>
        </w:tc>
      </w:tr>
      <w:tr w14:paraId="56B61AAD">
        <w:tblPrEx>
          <w:tblCellMar>
            <w:top w:w="15" w:type="dxa"/>
            <w:left w:w="15" w:type="dxa"/>
            <w:bottom w:w="15" w:type="dxa"/>
            <w:right w:w="15" w:type="dxa"/>
          </w:tblCellMar>
        </w:tblPrEx>
        <w:trPr>
          <w:tblCellSpacing w:w="15" w:type="dxa"/>
        </w:trPr>
        <w:tc>
          <w:tcPr>
            <w:tcW w:w="0" w:type="auto"/>
            <w:shd w:val="clear" w:color="auto" w:fill="FFFFFF"/>
            <w:vAlign w:val="center"/>
          </w:tcPr>
          <w:p w14:paraId="79591F1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Phase III:</w:t>
            </w:r>
          </w:p>
          <w:p w14:paraId="63A9A44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Economic Rationality</w:t>
            </w:r>
          </w:p>
          <w:p w14:paraId="1B737B5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&amp; Structural Divergence</w:t>
            </w:r>
          </w:p>
          <w:p w14:paraId="3C2816A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(2024–2026)</w:t>
            </w:r>
          </w:p>
        </w:tc>
        <w:tc>
          <w:tcPr>
            <w:tcW w:w="0" w:type="auto"/>
            <w:shd w:val="clear" w:color="auto" w:fill="FFFFFF"/>
            <w:vAlign w:val="center"/>
          </w:tcPr>
          <w:p w14:paraId="7666BCC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2024.01</w:t>
            </w:r>
          </w:p>
        </w:tc>
        <w:tc>
          <w:tcPr>
            <w:tcW w:w="0" w:type="auto"/>
            <w:shd w:val="clear" w:color="auto" w:fill="FFFFFF"/>
            <w:vAlign w:val="center"/>
          </w:tcPr>
          <w:p w14:paraId="7404846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MIT CSAIL &amp; IBM</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&lt;EndNote&gt;&lt;Cite&gt;&lt;Author&gt;Svanberg&lt;/Author&gt;&lt;Year&gt;2024&lt;/Year&gt;&lt;RecNum&gt;80&lt;/RecNum&gt;&lt;DisplayText&gt;&lt;style face="superscript"&gt;33&lt;/style&gt;&lt;/DisplayText&gt;&lt;record&gt;&lt;rec-number&gt;80&lt;/rec-number&gt;&lt;foreign-keys&gt;&lt;key app="EN" db-id="d0wx2x2e2txxsheffsnxee2m5esz0zzsxztf" timestamp="1773049304"&gt;80&lt;/key&gt;&lt;/foreign-keys&gt;&lt;ref-type name="Journal Article"&gt;17&lt;/ref-type&gt;&lt;contributors&gt;&lt;authors&gt;&lt;author&gt;Svanberg, Maja&lt;/author&gt;&lt;author&gt;Li, Wensu&lt;/author&gt;&lt;author&gt;Fleming, Martin&lt;/author&gt;&lt;author&gt;Goehring, Brian&lt;/author&gt;&lt;author&gt;Thompson, Neil&lt;/author&gt;&lt;/authors&gt;&lt;/contributors&gt;&lt;titles&gt;&lt;title&gt;Beyond AI exposure: which tasks are cost-effective to automate with computer vision?&lt;/title&gt;&lt;secondary-title&gt;Available at SSRN 4700751&lt;/secondary-title&gt;&lt;/titles&gt;&lt;periodical&gt;&lt;full-title&gt;Available at SSRN 4700751&lt;/full-title&gt;&lt;/periodical&gt;&lt;dates&gt;&lt;year&gt;2024&lt;/year&gt;&lt;/dates&gt;&lt;urls&gt;&lt;/urls&gt;&lt;/record&gt;&lt;/Cite&gt;&lt;/EndNote&gt;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33</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53F6736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Beyond AI Exposure: Which Tasks are Cost-Effective to Automate with Computer Vision?</w:t>
            </w:r>
          </w:p>
        </w:tc>
        <w:tc>
          <w:tcPr>
            <w:tcW w:w="0" w:type="auto"/>
            <w:shd w:val="clear" w:color="auto" w:fill="FFFFFF"/>
            <w:vAlign w:val="center"/>
          </w:tcPr>
          <w:p w14:paraId="3BA60ED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Cost Constraints: Technical feasibility does not equal economic viability. Only 23% of vision tasks are economically attractive to automate due to high costs.</w:t>
            </w:r>
          </w:p>
        </w:tc>
      </w:tr>
      <w:tr w14:paraId="5F26E38A">
        <w:tblPrEx>
          <w:tblCellMar>
            <w:top w:w="15" w:type="dxa"/>
            <w:left w:w="15" w:type="dxa"/>
            <w:bottom w:w="15" w:type="dxa"/>
            <w:right w:w="15" w:type="dxa"/>
          </w:tblCellMar>
        </w:tblPrEx>
        <w:trPr>
          <w:tblCellSpacing w:w="15" w:type="dxa"/>
        </w:trPr>
        <w:tc>
          <w:tcPr>
            <w:tcW w:w="0" w:type="auto"/>
            <w:shd w:val="clear" w:color="auto" w:fill="FFFFFF"/>
            <w:vAlign w:val="center"/>
          </w:tcPr>
          <w:p w14:paraId="0E38861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210DFAB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2024.05</w:t>
            </w:r>
          </w:p>
        </w:tc>
        <w:tc>
          <w:tcPr>
            <w:tcW w:w="0" w:type="auto"/>
            <w:shd w:val="clear" w:color="auto" w:fill="FFFFFF"/>
            <w:vAlign w:val="center"/>
          </w:tcPr>
          <w:p w14:paraId="1C8C58F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Microsoft &amp; LinkedIn</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&lt;EndNote&gt;&lt;Cite&gt;&lt;Author&gt;Microsoft&lt;/Author&gt;&lt;Year&gt;2024&lt;/Year&gt;&lt;RecNum&gt;91&lt;/RecNum&gt;&lt;DisplayText&gt;&lt;style face="superscript"&gt;34&lt;/style&gt;&lt;/DisplayText&gt;&lt;record&gt;&lt;rec-number&gt;91&lt;/rec-number&gt;&lt;foreign-keys&gt;&lt;key app="EN" db-id="d0wx2x2e2txxsheffsnxee2m5esz0zzsxztf" timestamp="1773050671"&gt;91&lt;/key&gt;&lt;/foreign-keys&gt;&lt;ref-type name="Report"&gt;27&lt;/ref-type&gt;&lt;contributors&gt;&lt;authors&gt;&lt;author&gt;Microsoft, LinkedIn&lt;/author&gt;&lt;/authors&gt;&lt;/contributors&gt;&lt;titles&gt;&lt;title&gt;2024 Annual Work Trend Index&lt;/title&gt;&lt;/titles&gt;&lt;dates&gt;&lt;year&gt;2024&lt;/year&gt;&lt;pub-dates&gt;&lt;date&gt;2024.05&lt;/date&gt;&lt;/pub-dates&gt;&lt;/dates&gt;&lt;urls&gt;&lt;related-urls&gt;&lt;url&gt;https://news.microsoft.com/annual-wti-2024/&lt;/url&gt;&lt;/related-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34</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206EA32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2024 Annual</w:t>
            </w:r>
            <w:r>
              <w:rPr>
                <w:rStyle w:val="19"/>
                <w:rFonts w:hint="default" w:ascii="Times New Roman" w:hAnsi="Times New Roman" w:cs="Times New Roman"/>
                <w:i/>
                <w:iCs/>
                <w:color w:val="auto"/>
                <w:sz w:val="21"/>
                <w:szCs w:val="21"/>
                <w:lang w:bidi="ar"/>
              </w:rPr>
              <w:t xml:space="preserve"> </w:t>
            </w:r>
            <w:r>
              <w:rPr>
                <w:rStyle w:val="19"/>
                <w:rFonts w:hint="default" w:ascii="Times New Roman" w:hAnsi="Times New Roman" w:cs="Times New Roman"/>
                <w:b w:val="0"/>
                <w:i/>
                <w:iCs/>
                <w:color w:val="auto"/>
                <w:kern w:val="0"/>
                <w:sz w:val="21"/>
                <w:szCs w:val="21"/>
                <w:lang w:bidi="ar"/>
              </w:rPr>
              <w:t>Work Trend Index</w:t>
            </w:r>
          </w:p>
        </w:tc>
        <w:tc>
          <w:tcPr>
            <w:tcW w:w="0" w:type="auto"/>
            <w:shd w:val="clear" w:color="auto" w:fill="FFFFFF"/>
            <w:vAlign w:val="center"/>
          </w:tcPr>
          <w:p w14:paraId="7EE59DA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Skills Gap: The crisis is not a lack of jobs, but a lack of skills. 66% of leaders would not hire a candidate without AI aptitude.</w:t>
            </w:r>
          </w:p>
        </w:tc>
      </w:tr>
      <w:tr w14:paraId="7BA75E4E">
        <w:tblPrEx>
          <w:tblCellMar>
            <w:top w:w="15" w:type="dxa"/>
            <w:left w:w="15" w:type="dxa"/>
            <w:bottom w:w="15" w:type="dxa"/>
            <w:right w:w="15" w:type="dxa"/>
          </w:tblCellMar>
        </w:tblPrEx>
        <w:trPr>
          <w:trHeight w:val="295" w:hRule="atLeast"/>
          <w:tblCellSpacing w:w="15" w:type="dxa"/>
        </w:trPr>
        <w:tc>
          <w:tcPr>
            <w:tcW w:w="0" w:type="auto"/>
            <w:shd w:val="clear" w:color="auto" w:fill="FFFFFF"/>
            <w:vAlign w:val="center"/>
          </w:tcPr>
          <w:p w14:paraId="34AE08D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16FD0D7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2025.02</w:t>
            </w:r>
          </w:p>
        </w:tc>
        <w:tc>
          <w:tcPr>
            <w:tcW w:w="0" w:type="auto"/>
            <w:shd w:val="clear" w:color="auto" w:fill="FFFFFF"/>
            <w:vAlign w:val="center"/>
          </w:tcPr>
          <w:p w14:paraId="309497B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World Bank</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&lt;EndNote&gt;&lt;Cite&gt;&lt;Author&gt;Demombynes&lt;/Author&gt;&lt;Year&gt;2025&lt;/Year&gt;&lt;RecNum&gt;35&lt;/RecNum&gt;&lt;DisplayText&gt;&lt;style face="superscript"&gt;40&lt;/style&gt;&lt;/DisplayText&gt;&lt;record&gt;&lt;rec-number&gt;35&lt;/rec-number&gt;&lt;foreign-keys&gt;&lt;key app="EN" db-id="d0wx2x2e2txxsheffsnxee2m5esz0zzsxztf" timestamp="1773047229"&gt;35&lt;/key&gt;&lt;/foreign-keys&gt;&lt;ref-type name="Book"&gt;6&lt;/ref-type&gt;&lt;contributors&gt;&lt;authors&gt;&lt;author&gt;Demombynes, Gabriel&lt;/author&gt;&lt;author&gt;Langbein, Jörg&lt;/author&gt;&lt;author&gt;Weber, Michael&lt;/author&gt;&lt;/authors&gt;&lt;/contributors&gt;&lt;titles&gt;&lt;title&gt;The exposure of workers to Artificial Intelligence in low-and middle-income countries&lt;/title&gt;&lt;/titles&gt;&lt;dates&gt;&lt;year&gt;2025&lt;/year&gt;&lt;/dates&gt;&lt;publisher&gt;World Bank&lt;/publisher&gt;&lt;urls&gt;&lt;/urls&gt;&lt;/record&gt;&lt;/Cite&gt;&lt;/EndNote&gt;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40</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6248EE4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The Exposure of Workers to AI in Low- and Middle-Income Countries</w:t>
            </w:r>
          </w:p>
        </w:tc>
        <w:tc>
          <w:tcPr>
            <w:tcW w:w="0" w:type="auto"/>
            <w:shd w:val="clear" w:color="auto" w:fill="FFFFFF"/>
            <w:vAlign w:val="center"/>
          </w:tcPr>
          <w:p w14:paraId="142BFB2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Digital Divide: Only 12% of workers in low-income countries are exposed; developing nations risk missing the “AI dividend” due to infrastructure gaps.</w:t>
            </w:r>
          </w:p>
        </w:tc>
      </w:tr>
      <w:tr w14:paraId="6379A7BF">
        <w:tblPrEx>
          <w:tblCellMar>
            <w:top w:w="15" w:type="dxa"/>
            <w:left w:w="15" w:type="dxa"/>
            <w:bottom w:w="15" w:type="dxa"/>
            <w:right w:w="15" w:type="dxa"/>
          </w:tblCellMar>
        </w:tblPrEx>
        <w:trPr>
          <w:tblCellSpacing w:w="15" w:type="dxa"/>
        </w:trPr>
        <w:tc>
          <w:tcPr>
            <w:tcW w:w="0" w:type="auto"/>
            <w:shd w:val="clear" w:color="auto" w:fill="FFFFFF"/>
            <w:vAlign w:val="center"/>
          </w:tcPr>
          <w:p w14:paraId="05D503E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25CE083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2025.10</w:t>
            </w:r>
          </w:p>
        </w:tc>
        <w:tc>
          <w:tcPr>
            <w:tcW w:w="0" w:type="auto"/>
            <w:shd w:val="clear" w:color="auto" w:fill="FFFFFF"/>
            <w:vAlign w:val="center"/>
          </w:tcPr>
          <w:p w14:paraId="31110E9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Gartner</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&lt;EndNote&gt;&lt;Cite&gt;&lt;Author&gt;Top&lt;/Author&gt;&lt;RecNum&gt;84&lt;/RecNum&gt;&lt;DisplayText&gt;&lt;style face="superscript"&gt;41&lt;/style&gt;&lt;/DisplayText&gt;&lt;record&gt;&lt;rec-number&gt;84&lt;/rec-number&gt;&lt;foreign-keys&gt;&lt;key app="EN" db-id="d0wx2x2e2txxsheffsnxee2m5esz0zzsxztf" timestamp="1773049368"&gt;84&lt;/key&gt;&lt;/foreign-keys&gt;&lt;ref-type name="Journal Article"&gt;17&lt;/ref-type&gt;&lt;contributors&gt;&lt;authors&gt;&lt;author&gt;Top, Gartner&lt;/author&gt;&lt;/authors&gt;&lt;/contributors&gt;&lt;titles&gt;&lt;title&gt;Strategic Technology Trends for 2020&lt;/title&gt;&lt;secondary-title&gt;URL: https://www. gartner. com/smarterwithgartner/gartner-top-10-strategic-technology-trends-for-2020&lt;/secondary-title&gt;&lt;/titles&gt;&lt;periodical&gt;&lt;full-title&gt;URL: https://www. gartner. com/smarterwithgartner/gartner-top-10-strategic-technology-trends-for-2020&lt;/full-title&gt;&lt;/periodical&gt;&lt;volume&gt;10&lt;/volume&gt;&lt;dates&gt;&lt;/dates&gt;&lt;urls&gt;&lt;/urls&gt;&lt;/record&gt;&lt;/Cite&gt;&lt;/EndNote&gt;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41</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3EE79CE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Top Strategic Technology Trends for 2026</w:t>
            </w:r>
          </w:p>
        </w:tc>
        <w:tc>
          <w:tcPr>
            <w:tcW w:w="0" w:type="auto"/>
            <w:shd w:val="clear" w:color="auto" w:fill="FFFFFF"/>
            <w:vAlign w:val="center"/>
          </w:tcPr>
          <w:p w14:paraId="0DD546D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Managerial Shift: By 2028, 33% of enterprise software interactions will be autonomous agents; risk shifts from creators to middle-management.</w:t>
            </w:r>
          </w:p>
        </w:tc>
      </w:tr>
      <w:tr w14:paraId="1904DC95">
        <w:tblPrEx>
          <w:tblCellMar>
            <w:top w:w="15" w:type="dxa"/>
            <w:left w:w="15" w:type="dxa"/>
            <w:bottom w:w="15" w:type="dxa"/>
            <w:right w:w="15" w:type="dxa"/>
          </w:tblCellMar>
        </w:tblPrEx>
        <w:trPr>
          <w:tblCellSpacing w:w="15" w:type="dxa"/>
        </w:trPr>
        <w:tc>
          <w:tcPr>
            <w:tcW w:w="0" w:type="auto"/>
            <w:shd w:val="clear" w:color="auto" w:fill="FFFFFF"/>
            <w:vAlign w:val="center"/>
          </w:tcPr>
          <w:p w14:paraId="05CCA09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6144A0A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2025.12</w:t>
            </w:r>
          </w:p>
        </w:tc>
        <w:tc>
          <w:tcPr>
            <w:tcW w:w="0" w:type="auto"/>
            <w:shd w:val="clear" w:color="auto" w:fill="FFFFFF"/>
            <w:vAlign w:val="center"/>
          </w:tcPr>
          <w:p w14:paraId="2C8D1D0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UNDP</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&lt;EndNote&gt;&lt;Cite&gt;&lt;Author&gt;Yusuf&lt;/Author&gt;&lt;Year&gt;2025&lt;/Year&gt;&lt;RecNum&gt;89&lt;/RecNum&gt;&lt;DisplayText&gt;&lt;style face="superscript"&gt;35&lt;/style&gt;&lt;/DisplayText&gt;&lt;record&gt;&lt;rec-number&gt;89&lt;/rec-number&gt;&lt;foreign-keys&gt;&lt;key app="EN" db-id="d0wx2x2e2txxsheffsnxee2m5esz0zzsxztf" timestamp="1773049475"&gt;89&lt;/key&gt;&lt;/foreign-keys&gt;&lt;ref-type name="Journal Article"&gt;17&lt;/ref-type&gt;&lt;contributors&gt;&lt;authors&gt;&lt;author&gt;Shahid Yusuf&lt;/author&gt;&lt;/authors&gt;&lt;/contributors&gt;&lt;titles&gt;&lt;title&gt;The Macroeconomic Consequences of AI&lt;/title&gt;&lt;/titles&gt;&lt;dates&gt;&lt;year&gt;2025&lt;/year&gt;&lt;pub-dates&gt;&lt;date&gt;2025.12&lt;/date&gt;&lt;/pub-dates&gt;&lt;/dates&gt;&lt;urls&gt;&lt;related-urls&gt;&lt;url&gt;https://www.undp.org/sites/g/files/zskgke326/files/2025-12/the-macroeconomic-consequences-of-ai.pdf&lt;/url&gt;&lt;/related-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35</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203FB98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The Macroeconomic Consequences of AI: The Next Great Divergence</w:t>
            </w:r>
          </w:p>
        </w:tc>
        <w:tc>
          <w:tcPr>
            <w:tcW w:w="0" w:type="auto"/>
            <w:shd w:val="clear" w:color="auto" w:fill="FFFFFF"/>
            <w:vAlign w:val="center"/>
          </w:tcPr>
          <w:p w14:paraId="31D228E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Delayed Gains: Significant productivity gains are not expected until the 2030s; AI is likely to widen inequality between nations in the short term.</w:t>
            </w:r>
          </w:p>
        </w:tc>
      </w:tr>
      <w:tr w14:paraId="474FE245">
        <w:tblPrEx>
          <w:tblCellMar>
            <w:top w:w="15" w:type="dxa"/>
            <w:left w:w="15" w:type="dxa"/>
            <w:bottom w:w="15" w:type="dxa"/>
            <w:right w:w="15" w:type="dxa"/>
          </w:tblCellMar>
        </w:tblPrEx>
        <w:trPr>
          <w:tblCellSpacing w:w="15" w:type="dxa"/>
        </w:trPr>
        <w:tc>
          <w:tcPr>
            <w:tcW w:w="0" w:type="auto"/>
            <w:shd w:val="clear" w:color="auto" w:fill="FFFFFF"/>
            <w:vAlign w:val="center"/>
          </w:tcPr>
          <w:p w14:paraId="1926056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7971FBC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2025.12</w:t>
            </w:r>
          </w:p>
        </w:tc>
        <w:tc>
          <w:tcPr>
            <w:tcW w:w="0" w:type="auto"/>
            <w:shd w:val="clear" w:color="auto" w:fill="FFFFFF"/>
            <w:vAlign w:val="center"/>
          </w:tcPr>
          <w:p w14:paraId="64164E2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OpenAI</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&lt;EndNote&gt;&lt;Cite&gt;&lt;Author&gt;OpenAI&lt;/Author&gt;&lt;Year&gt;2025&lt;/Year&gt;&lt;RecNum&gt;93&lt;/RecNum&gt;&lt;DisplayText&gt;&lt;style face="superscript"&gt;42&lt;/style&gt;&lt;/DisplayText&gt;&lt;record&gt;&lt;rec-number&gt;93&lt;/rec-number&gt;&lt;foreign-keys&gt;&lt;key app="EN" db-id="d0wx2x2e2txxsheffsnxee2m5esz0zzsxztf" timestamp="1773050704"&gt;93&lt;/key&gt;&lt;/foreign-keys&gt;&lt;ref-type name="Report"&gt;27&lt;/ref-type&gt;&lt;contributors&gt;&lt;authors&gt;&lt;author&gt;OpenAI&lt;/author&gt;&lt;/authors&gt;&lt;/contributors&gt;&lt;titles&gt;&lt;title&gt;The state of enterprise AI&lt;/title&gt;&lt;/titles&gt;&lt;dates&gt;&lt;year&gt;2025&lt;/year&gt;&lt;pub-dates&gt;&lt;date&gt;2025-12-8&lt;/date&gt;&lt;/pub-dates&gt;&lt;/dates&gt;&lt;urls&gt;&lt;related-urls&gt;&lt;url&gt;https://openai.com/zh-Hans-CN/index/the-state-of-enterprise-ai-2025-report/&lt;/url&gt;&lt;/related-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42</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6AFFCB5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The state of enterprise AI</w:t>
            </w:r>
          </w:p>
        </w:tc>
        <w:tc>
          <w:tcPr>
            <w:tcW w:w="0" w:type="auto"/>
            <w:shd w:val="clear" w:color="auto" w:fill="FFFFFF"/>
            <w:vAlign w:val="center"/>
          </w:tcPr>
          <w:p w14:paraId="7BD8EDE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Enterprise Divide &amp; Role Expansion: Deepening AI use widens the gap between leading and lagging firms. It empowers non-technical workers to perform complex tasks (e.g., coding), saving 40-60 minutes daily.</w:t>
            </w:r>
          </w:p>
        </w:tc>
      </w:tr>
      <w:tr w14:paraId="691572FC">
        <w:tblPrEx>
          <w:tblCellMar>
            <w:top w:w="15" w:type="dxa"/>
            <w:left w:w="15" w:type="dxa"/>
            <w:bottom w:w="15" w:type="dxa"/>
            <w:right w:w="15" w:type="dxa"/>
          </w:tblCellMar>
        </w:tblPrEx>
        <w:trPr>
          <w:tblCellSpacing w:w="15" w:type="dxa"/>
        </w:trPr>
        <w:tc>
          <w:tcPr>
            <w:tcW w:w="0" w:type="auto"/>
            <w:shd w:val="clear" w:color="auto" w:fill="FFFFFF"/>
            <w:vAlign w:val="center"/>
          </w:tcPr>
          <w:p w14:paraId="569203C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6C1FD66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2026.01</w:t>
            </w:r>
          </w:p>
        </w:tc>
        <w:tc>
          <w:tcPr>
            <w:tcW w:w="0" w:type="auto"/>
            <w:shd w:val="clear" w:color="auto" w:fill="FFFFFF"/>
            <w:vAlign w:val="center"/>
          </w:tcPr>
          <w:p w14:paraId="024DA9A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IMF</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&lt;EndNote&gt;&lt;Cite&gt;&lt;Author&gt;Jaumotte&lt;/Author&gt;&lt;Year&gt;2026&lt;/Year&gt;&lt;RecNum&gt;58&lt;/RecNum&gt;&lt;DisplayText&gt;&lt;style face="superscript"&gt;36&lt;/style&gt;&lt;/DisplayText&gt;&lt;record&gt;&lt;rec-number&gt;58&lt;/rec-number&gt;&lt;foreign-keys&gt;&lt;key app="EN" db-id="d0wx2x2e2txxsheffsnxee2m5esz0zzsxztf" timestamp="1773048630"&gt;58&lt;/key&gt;&lt;/foreign-keys&gt;&lt;ref-type name="Report"&gt;27&lt;/ref-type&gt;&lt;contributors&gt;&lt;authors&gt;&lt;author&gt;Jaumotte, Ms Florence&lt;/author&gt;&lt;author&gt;Kim, Jaden&lt;/author&gt;&lt;author&gt;Koll, David&lt;/author&gt;&lt;author&gt;Li, Elmer&lt;/author&gt;&lt;author&gt;Li, Longji&lt;/author&gt;&lt;author&gt;Melina, Mr Giovanni&lt;/author&gt;&lt;author&gt;Song, Alina&lt;/author&gt;&lt;author&gt;Tavares, Ms Marina Mendes&lt;/author&gt;&lt;/authors&gt;&lt;/contributors&gt;&lt;titles&gt;&lt;title&gt;Bridging Skill Gaps for the Future: New Jobs Creation in the AI Age&lt;/title&gt;&lt;/titles&gt;&lt;dates&gt;&lt;year&gt;2026&lt;/year&gt;&lt;/dates&gt;&lt;publisher&gt;International Monetary Fund&lt;/publisher&gt;&lt;urls&gt;&lt;/urls&gt;&lt;/record&gt;&lt;/Cite&gt;&lt;/EndNote&gt;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36</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73683BE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Bridging Skill Gaps for the Future: New Jobs Creation in the AI Age</w:t>
            </w:r>
          </w:p>
        </w:tc>
        <w:tc>
          <w:tcPr>
            <w:tcW w:w="0" w:type="auto"/>
            <w:shd w:val="clear" w:color="auto" w:fill="FFFFFF"/>
            <w:vAlign w:val="center"/>
          </w:tcPr>
          <w:p w14:paraId="638DB27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The “Broken Rung”: While AI skills command a wage premium, high exposure reduces hiring for entry-level roles by 3.6%, creating barriers for youth.</w:t>
            </w:r>
          </w:p>
        </w:tc>
      </w:tr>
      <w:tr w14:paraId="255EA54B">
        <w:tblPrEx>
          <w:tblCellMar>
            <w:top w:w="15" w:type="dxa"/>
            <w:left w:w="15" w:type="dxa"/>
            <w:bottom w:w="15" w:type="dxa"/>
            <w:right w:w="15" w:type="dxa"/>
          </w:tblCellMar>
        </w:tblPrEx>
        <w:trPr>
          <w:tblCellSpacing w:w="15" w:type="dxa"/>
        </w:trPr>
        <w:tc>
          <w:tcPr>
            <w:tcW w:w="0" w:type="auto"/>
            <w:shd w:val="clear" w:color="auto" w:fill="FFFFFF"/>
            <w:vAlign w:val="center"/>
          </w:tcPr>
          <w:p w14:paraId="3D0600C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p>
        </w:tc>
        <w:tc>
          <w:tcPr>
            <w:tcW w:w="0" w:type="auto"/>
            <w:shd w:val="clear" w:color="auto" w:fill="FFFFFF"/>
            <w:vAlign w:val="center"/>
          </w:tcPr>
          <w:p w14:paraId="3DA9C3F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2026.02</w:t>
            </w:r>
          </w:p>
        </w:tc>
        <w:tc>
          <w:tcPr>
            <w:tcW w:w="0" w:type="auto"/>
            <w:shd w:val="clear" w:color="auto" w:fill="FFFFFF"/>
            <w:vAlign w:val="center"/>
          </w:tcPr>
          <w:p w14:paraId="02A45FE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Upwork &amp; Freelancer</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&lt;EndNote&gt;&lt;Cite&gt;&lt;Author&gt;Teng Liu&lt;/Author&gt;&lt;Year&gt;2026&lt;/Year&gt;&lt;RecNum&gt;94&lt;/RecNum&gt;&lt;DisplayText&gt;&lt;style face="superscript"&gt;43&lt;/style&gt;&lt;/DisplayText&gt;&lt;record&gt;&lt;rec-number&gt;94&lt;/rec-number&gt;&lt;foreign-keys&gt;&lt;key app="EN" db-id="d0wx2x2e2txxsheffsnxee2m5esz0zzsxztf" timestamp="1773050867"&gt;94&lt;/key&gt;&lt;/foreign-keys&gt;&lt;ref-type name="Report"&gt;27&lt;/ref-type&gt;&lt;contributors&gt;&lt;authors&gt;&lt;author&gt;Teng Liu, Takeshi Matsuda, and Gabby Burlacu &lt;/author&gt;&lt;/authors&gt;&lt;/contributors&gt;&lt;titles&gt;&lt;title&gt;In-Demand Skills 2026: A Market View of Skills Demand in an AI Economy&lt;/title&gt;&lt;/titles&gt;&lt;dates&gt;&lt;year&gt;2026&lt;/year&gt;&lt;pub-dates&gt;&lt;date&gt;Feb 4, 2026&lt;/date&gt;&lt;/pub-dates&gt;&lt;/dates&gt;&lt;urls&gt;&lt;related-urls&gt;&lt;url&gt;https://www.upwork.com/research/in-demand-skills-2026&lt;/url&gt;&lt;/related-urls&gt;&lt;/urls&gt;&lt;/record&gt;&lt;/Cite&gt;&lt;/EndNote&gt;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43</w:t>
            </w:r>
            <w:r>
              <w:rPr>
                <w:rStyle w:val="19"/>
                <w:rFonts w:hint="default" w:ascii="Times New Roman" w:hAnsi="Times New Roman" w:cs="Times New Roman"/>
                <w:b w:val="0"/>
                <w:color w:val="auto"/>
                <w:kern w:val="0"/>
                <w:sz w:val="21"/>
                <w:szCs w:val="21"/>
                <w:lang w:bidi="ar"/>
              </w:rPr>
              <w:fldChar w:fldCharType="end"/>
            </w:r>
          </w:p>
        </w:tc>
        <w:tc>
          <w:tcPr>
            <w:tcW w:w="0" w:type="auto"/>
            <w:shd w:val="clear" w:color="auto" w:fill="FFFFFF"/>
            <w:vAlign w:val="center"/>
          </w:tcPr>
          <w:p w14:paraId="4CA57D6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default" w:ascii="Times New Roman" w:hAnsi="Times New Roman" w:cs="Times New Roman"/>
                <w:b w:val="0"/>
                <w:i/>
                <w:iCs/>
                <w:color w:val="auto"/>
                <w:kern w:val="0"/>
                <w:sz w:val="21"/>
                <w:szCs w:val="21"/>
                <w:lang w:bidi="ar"/>
              </w:rPr>
              <w:t>In-Demand Skills 2026: A Market View of Skills Demand in an AI Economy</w:t>
            </w:r>
          </w:p>
        </w:tc>
        <w:tc>
          <w:tcPr>
            <w:tcW w:w="0" w:type="auto"/>
            <w:shd w:val="clear" w:color="auto" w:fill="FFFFFF"/>
            <w:vAlign w:val="center"/>
          </w:tcPr>
          <w:p w14:paraId="5077CD9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 xml:space="preserve">Taskification: 45% of businesses are replacing junior roles with AI-augmented freelancers, signaling a structural shift to a “task-based” </w:t>
            </w:r>
            <w:r>
              <w:rPr>
                <w:rStyle w:val="19"/>
                <w:rFonts w:hint="eastAsia" w:cs="Times New Roman"/>
                <w:b w:val="0"/>
                <w:color w:val="auto"/>
                <w:kern w:val="0"/>
                <w:sz w:val="21"/>
                <w:szCs w:val="21"/>
                <w:lang w:eastAsia="zh-CN" w:bidi="ar"/>
              </w:rPr>
              <w:t>labor</w:t>
            </w:r>
            <w:r>
              <w:rPr>
                <w:rStyle w:val="19"/>
                <w:rFonts w:hint="default" w:ascii="Times New Roman" w:hAnsi="Times New Roman" w:cs="Times New Roman"/>
                <w:b w:val="0"/>
                <w:color w:val="auto"/>
                <w:kern w:val="0"/>
                <w:sz w:val="21"/>
                <w:szCs w:val="21"/>
                <w:lang w:bidi="ar"/>
              </w:rPr>
              <w:t xml:space="preserve"> market.</w:t>
            </w:r>
          </w:p>
        </w:tc>
      </w:tr>
      <w:tr w14:paraId="6B269D8C">
        <w:tblPrEx>
          <w:tblCellMar>
            <w:top w:w="15" w:type="dxa"/>
            <w:left w:w="15" w:type="dxa"/>
            <w:bottom w:w="15" w:type="dxa"/>
            <w:right w:w="15" w:type="dxa"/>
          </w:tblCellMar>
        </w:tblPrEx>
        <w:trPr>
          <w:tblCellSpacing w:w="15" w:type="dxa"/>
        </w:trPr>
        <w:tc>
          <w:tcPr>
            <w:tcW w:w="0" w:type="auto"/>
            <w:tcBorders>
              <w:bottom w:val="single" w:color="000000" w:sz="12" w:space="0"/>
            </w:tcBorders>
            <w:shd w:val="clear" w:color="auto" w:fill="FFFFFF"/>
            <w:vAlign w:val="center"/>
          </w:tcPr>
          <w:p w14:paraId="0092D43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bookmarkStart w:id="3" w:name="_Hlk223971370"/>
          </w:p>
        </w:tc>
        <w:tc>
          <w:tcPr>
            <w:tcW w:w="0" w:type="auto"/>
            <w:tcBorders>
              <w:bottom w:val="single" w:color="000000" w:sz="12" w:space="0"/>
            </w:tcBorders>
            <w:shd w:val="clear" w:color="auto" w:fill="FFFFFF"/>
            <w:vAlign w:val="center"/>
          </w:tcPr>
          <w:p w14:paraId="6A8C592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2026.03</w:t>
            </w:r>
          </w:p>
        </w:tc>
        <w:tc>
          <w:tcPr>
            <w:tcW w:w="0" w:type="auto"/>
            <w:tcBorders>
              <w:bottom w:val="single" w:color="000000" w:sz="12" w:space="0"/>
            </w:tcBorders>
            <w:shd w:val="clear" w:color="auto" w:fill="FFFFFF"/>
            <w:vAlign w:val="center"/>
          </w:tcPr>
          <w:p w14:paraId="5A27E90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Anthropic</w:t>
            </w:r>
            <w:r>
              <w:rPr>
                <w:rStyle w:val="19"/>
                <w:rFonts w:hint="default" w:ascii="Times New Roman" w:hAnsi="Times New Roman" w:cs="Times New Roman"/>
                <w:b w:val="0"/>
                <w:color w:val="auto"/>
                <w:kern w:val="0"/>
                <w:sz w:val="21"/>
                <w:szCs w:val="21"/>
                <w:lang w:bidi="ar"/>
              </w:rPr>
              <w:fldChar w:fldCharType="begin"/>
            </w:r>
            <w:r>
              <w:rPr>
                <w:rStyle w:val="19"/>
                <w:rFonts w:hint="default" w:ascii="Times New Roman" w:hAnsi="Times New Roman" w:cs="Times New Roman"/>
                <w:b w:val="0"/>
                <w:color w:val="auto"/>
                <w:kern w:val="0"/>
                <w:sz w:val="21"/>
                <w:szCs w:val="21"/>
                <w:lang w:eastAsia="zh-CN" w:bidi="ar"/>
              </w:rPr>
              <w:instrText xml:space="preserve"> ADDIN EN.CITE &lt;EndNote&gt;&lt;Cite&gt;&lt;Author&gt;McCrory&lt;/Author&gt;&lt;Year&gt;2026&lt;/Year&gt;&lt;RecNum&gt;92&lt;/RecNum&gt;&lt;DisplayText&gt;&lt;style face="superscript"&gt;44&lt;/style&gt;&lt;/DisplayText&gt;&lt;record&gt;&lt;rec-number&gt;92&lt;/rec-number&gt;&lt;foreign-keys&gt;&lt;key app="EN" db-id="d0wx2x2e2txxsheffsnxee2m5esz0zzsxztf" timestamp="1773050693"&gt;92&lt;/key&gt;&lt;/foreign-keys&gt;&lt;ref-type name="Report"&gt;27&lt;/ref-type&gt;&lt;contributors&gt;&lt;authors&gt;&lt;author&gt;Maxim Massenkoff and Peter McCrory&lt;/author&gt;&lt;/authors&gt;&lt;/contributors&gt;&lt;titles&gt;&lt;title&gt;Labor market impacts of AI: A new measure and early evidence&lt;/title&gt;&lt;/titles&gt;&lt;dates&gt;&lt;year&gt;2026&lt;/year&gt;&lt;pub-dates&gt;&lt;date&gt;2026-03-05&lt;/date&gt;&lt;/pub-dates&gt;&lt;/dates&gt;&lt;urls&gt;&lt;related-urls&gt;&lt;url&gt;https://www.anthropic.com/research/labor-market-impacts&lt;/url&gt;&lt;/related-urls&gt;&lt;/urls&gt;&lt;/record&gt;&lt;/Cite&gt;&lt;/EndNote&gt;</w:instrText>
            </w:r>
            <w:r>
              <w:rPr>
                <w:rStyle w:val="19"/>
                <w:rFonts w:hint="default" w:ascii="Times New Roman" w:hAnsi="Times New Roman" w:cs="Times New Roman"/>
                <w:b w:val="0"/>
                <w:color w:val="auto"/>
                <w:kern w:val="0"/>
                <w:sz w:val="21"/>
                <w:szCs w:val="21"/>
                <w:lang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44</w:t>
            </w:r>
            <w:r>
              <w:rPr>
                <w:rStyle w:val="19"/>
                <w:rFonts w:hint="default" w:ascii="Times New Roman" w:hAnsi="Times New Roman" w:cs="Times New Roman"/>
                <w:b w:val="0"/>
                <w:color w:val="auto"/>
                <w:kern w:val="0"/>
                <w:sz w:val="21"/>
                <w:szCs w:val="21"/>
                <w:lang w:bidi="ar"/>
              </w:rPr>
              <w:fldChar w:fldCharType="end"/>
            </w:r>
          </w:p>
        </w:tc>
        <w:tc>
          <w:tcPr>
            <w:tcW w:w="0" w:type="auto"/>
            <w:tcBorders>
              <w:bottom w:val="single" w:color="000000" w:sz="12" w:space="0"/>
            </w:tcBorders>
            <w:shd w:val="clear" w:color="auto" w:fill="FFFFFF"/>
            <w:vAlign w:val="center"/>
          </w:tcPr>
          <w:p w14:paraId="4D36A0B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i/>
                <w:iCs/>
                <w:color w:val="auto"/>
                <w:kern w:val="0"/>
                <w:sz w:val="21"/>
                <w:szCs w:val="21"/>
                <w:lang w:bidi="ar"/>
              </w:rPr>
            </w:pPr>
            <w:r>
              <w:rPr>
                <w:rStyle w:val="19"/>
                <w:rFonts w:hint="eastAsia" w:cs="Times New Roman"/>
                <w:b w:val="0"/>
                <w:i/>
                <w:iCs/>
                <w:color w:val="auto"/>
                <w:kern w:val="0"/>
                <w:sz w:val="21"/>
                <w:szCs w:val="21"/>
                <w:lang w:eastAsia="zh-CN" w:bidi="ar"/>
              </w:rPr>
              <w:t>labor</w:t>
            </w:r>
            <w:r>
              <w:rPr>
                <w:rStyle w:val="19"/>
                <w:rFonts w:hint="default" w:ascii="Times New Roman" w:hAnsi="Times New Roman" w:cs="Times New Roman"/>
                <w:b w:val="0"/>
                <w:i/>
                <w:iCs/>
                <w:color w:val="auto"/>
                <w:kern w:val="0"/>
                <w:sz w:val="21"/>
                <w:szCs w:val="21"/>
                <w:lang w:bidi="ar"/>
              </w:rPr>
              <w:t xml:space="preserve"> market impacts of AI: A new measure and early evidence</w:t>
            </w:r>
          </w:p>
        </w:tc>
        <w:tc>
          <w:tcPr>
            <w:tcW w:w="0" w:type="auto"/>
            <w:tcBorders>
              <w:bottom w:val="single" w:color="000000" w:sz="12" w:space="0"/>
            </w:tcBorders>
            <w:shd w:val="clear" w:color="auto" w:fill="FFFFFF"/>
            <w:vAlign w:val="center"/>
          </w:tcPr>
          <w:p w14:paraId="2F57EC2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bidi="ar"/>
              </w:rPr>
              <w:t>Observed Exposure &amp; Youth Hiring: Actual AI adoption lags theoretical potential. While overall employment is stable, hiring for young workers (22-25) in highly exposed roles fell by 14%.</w:t>
            </w:r>
          </w:p>
        </w:tc>
      </w:tr>
      <w:bookmarkEnd w:id="3"/>
    </w:tbl>
    <w:p w14:paraId="37A51177">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br w:type="page"/>
      </w:r>
    </w:p>
    <w:p w14:paraId="14D38467">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4" w:name="_Toc13603"/>
      <w:r>
        <w:rPr>
          <w:rFonts w:hint="default" w:ascii="Times New Roman" w:hAnsi="Times New Roman" w:cs="Times New Roman"/>
          <w:lang w:val="en-US" w:eastAsia="zh-CN"/>
        </w:rPr>
        <w:t>Supplementary Text S3 | Marginal effects of GenAI on wages across education levels and job-market heat</w:t>
      </w:r>
      <w:bookmarkEnd w:id="4"/>
    </w:p>
    <w:p w14:paraId="7A30BBF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To visualize how the marginal effect of GenAI exposure on wages varies with educational attainment and </w:t>
      </w:r>
      <w:r>
        <w:rPr>
          <w:rFonts w:hint="eastAsia" w:cs="Times New Roman"/>
          <w:color w:val="auto"/>
          <w:lang w:val="en-US" w:eastAsia="zh-CN"/>
        </w:rPr>
        <w:t>labor</w:t>
      </w:r>
      <w:r>
        <w:rPr>
          <w:rFonts w:hint="default" w:ascii="Times New Roman" w:hAnsi="Times New Roman" w:cs="Times New Roman"/>
          <w:color w:val="auto"/>
          <w:lang w:val="en-US" w:eastAsia="zh-CN"/>
        </w:rPr>
        <w:t xml:space="preserve">-market competition, we computed and plotted the marginal-effect curves implied by Models (2) and (3) of Table 2 in the main text (Supplementary Fig. S1). For the de-skilling channel, the marginal effect is defined as </w:t>
      </w:r>
      <m:oMath>
        <m:r>
          <m:rPr/>
          <w:rPr>
            <w:rFonts w:hint="default" w:ascii="Cambria Math" w:hAnsi="Cambria Math" w:eastAsia="宋体" w:cs="Times New Roman"/>
            <w:sz w:val="24"/>
          </w:rPr>
          <m:t>∂</m:t>
        </m:r>
        <m:func>
          <m:funcPr>
            <m:ctrlPr>
              <w:rPr>
                <w:rFonts w:hint="default" w:ascii="Cambria Math" w:hAnsi="Cambria Math" w:eastAsia="宋体" w:cs="Times New Roman"/>
                <w:sz w:val="24"/>
              </w:rPr>
            </m:ctrlPr>
          </m:funcPr>
          <m:fName>
            <m:r>
              <m:rPr>
                <m:sty m:val="p"/>
              </m:rPr>
              <w:rPr>
                <w:rFonts w:hint="default" w:ascii="Cambria Math" w:hAnsi="Cambria Math" w:eastAsia="宋体" w:cs="Times New Roman"/>
                <w:sz w:val="24"/>
              </w:rPr>
              <m:t>ln</m:t>
            </m:r>
            <m:ctrlPr>
              <w:rPr>
                <w:rFonts w:hint="default" w:ascii="Cambria Math" w:hAnsi="Cambria Math" w:eastAsia="宋体" w:cs="Times New Roman"/>
                <w:sz w:val="24"/>
              </w:rPr>
            </m:ctrlPr>
          </m:fName>
          <m:e>
            <m:r>
              <m:rPr/>
              <w:rPr>
                <w:rFonts w:hint="default" w:ascii="Cambria Math" w:hAnsi="Cambria Math" w:eastAsia="宋体" w:cs="Times New Roman"/>
                <w:sz w:val="24"/>
              </w:rPr>
              <m:t>(</m:t>
            </m:r>
            <m:ctrlPr>
              <w:rPr>
                <w:rFonts w:hint="default" w:ascii="Cambria Math" w:hAnsi="Cambria Math" w:eastAsia="宋体" w:cs="Times New Roman"/>
                <w:sz w:val="24"/>
              </w:rPr>
            </m:ctrlPr>
          </m:e>
        </m:func>
        <m:r>
          <m:rPr>
            <m:sty m:val="p"/>
          </m:rPr>
          <w:rPr>
            <w:rFonts w:hint="default" w:ascii="Cambria Math" w:hAnsi="Cambria Math" w:eastAsia="宋体" w:cs="Times New Roman"/>
            <w:sz w:val="24"/>
          </w:rPr>
          <m:t>Wage</m:t>
        </m:r>
        <m:r>
          <m:rPr/>
          <w:rPr>
            <w:rFonts w:hint="default" w:ascii="Cambria Math" w:hAnsi="Cambria Math" w:eastAsia="宋体" w:cs="Times New Roman"/>
            <w:sz w:val="24"/>
          </w:rPr>
          <m:t>)/∂</m:t>
        </m:r>
        <m:r>
          <m:rPr>
            <m:sty m:val="p"/>
          </m:rPr>
          <w:rPr>
            <w:rFonts w:hint="default" w:ascii="Cambria Math" w:hAnsi="Cambria Math" w:eastAsia="宋体" w:cs="Times New Roman"/>
            <w:sz w:val="24"/>
          </w:rPr>
          <m:t>GenAI</m:t>
        </m:r>
        <m:r>
          <m:rPr/>
          <w:rPr>
            <w:rFonts w:hint="default" w:ascii="Cambria Math" w:hAnsi="Cambria Math" w:eastAsia="宋体" w:cs="Times New Roman"/>
            <w:sz w:val="24"/>
          </w:rPr>
          <m:t>=</m:t>
        </m:r>
        <m:sSub>
          <m:sSubPr>
            <m:ctrlPr>
              <w:rPr>
                <w:rFonts w:hint="default" w:ascii="Cambria Math" w:hAnsi="Cambria Math" w:eastAsia="宋体" w:cs="Times New Roman"/>
                <w:sz w:val="24"/>
              </w:rPr>
            </m:ctrlPr>
          </m:sSubPr>
          <m:e>
            <m:r>
              <m:rPr/>
              <w:rPr>
                <w:rFonts w:hint="default" w:ascii="Cambria Math" w:hAnsi="Cambria Math" w:eastAsia="宋体" w:cs="Times New Roman"/>
                <w:sz w:val="24"/>
              </w:rPr>
              <m:t>α</m:t>
            </m:r>
            <m:ctrlPr>
              <w:rPr>
                <w:rFonts w:hint="default" w:ascii="Cambria Math" w:hAnsi="Cambria Math" w:eastAsia="宋体" w:cs="Times New Roman"/>
                <w:sz w:val="24"/>
              </w:rPr>
            </m:ctrlPr>
          </m:e>
          <m:sub>
            <m:r>
              <m:rPr/>
              <w:rPr>
                <w:rFonts w:hint="default" w:ascii="Cambria Math" w:hAnsi="Cambria Math" w:eastAsia="宋体" w:cs="Times New Roman"/>
                <w:sz w:val="24"/>
              </w:rPr>
              <m:t>1</m:t>
            </m:r>
            <m:ctrlPr>
              <w:rPr>
                <w:rFonts w:hint="default" w:ascii="Cambria Math" w:hAnsi="Cambria Math" w:eastAsia="宋体" w:cs="Times New Roman"/>
                <w:sz w:val="24"/>
              </w:rPr>
            </m:ctrlPr>
          </m:sub>
        </m:sSub>
        <m:r>
          <m:rPr/>
          <w:rPr>
            <w:rFonts w:hint="default" w:ascii="Cambria Math" w:hAnsi="Cambria Math" w:eastAsia="宋体" w:cs="Times New Roman"/>
            <w:sz w:val="24"/>
          </w:rPr>
          <m:t>+</m:t>
        </m:r>
        <m:sSub>
          <m:sSubPr>
            <m:ctrlPr>
              <w:rPr>
                <w:rFonts w:hint="default" w:ascii="Cambria Math" w:hAnsi="Cambria Math" w:eastAsia="宋体" w:cs="Times New Roman"/>
                <w:sz w:val="24"/>
              </w:rPr>
            </m:ctrlPr>
          </m:sSubPr>
          <m:e>
            <m:r>
              <m:rPr/>
              <w:rPr>
                <w:rFonts w:hint="default" w:ascii="Cambria Math" w:hAnsi="Cambria Math" w:eastAsia="宋体" w:cs="Times New Roman"/>
                <w:sz w:val="24"/>
              </w:rPr>
              <m:t>α</m:t>
            </m:r>
            <m:ctrlPr>
              <w:rPr>
                <w:rFonts w:hint="default" w:ascii="Cambria Math" w:hAnsi="Cambria Math" w:eastAsia="宋体" w:cs="Times New Roman"/>
                <w:sz w:val="24"/>
              </w:rPr>
            </m:ctrlPr>
          </m:e>
          <m:sub>
            <m:r>
              <m:rPr/>
              <w:rPr>
                <w:rFonts w:hint="default" w:ascii="Cambria Math" w:hAnsi="Cambria Math" w:eastAsia="宋体" w:cs="Times New Roman"/>
                <w:sz w:val="24"/>
              </w:rPr>
              <m:t>3</m:t>
            </m:r>
            <m:ctrlPr>
              <w:rPr>
                <w:rFonts w:hint="default" w:ascii="Cambria Math" w:hAnsi="Cambria Math" w:eastAsia="宋体" w:cs="Times New Roman"/>
                <w:sz w:val="24"/>
              </w:rPr>
            </m:ctrlPr>
          </m:sub>
        </m:sSub>
        <m:r>
          <m:rPr>
            <m:sty m:val="p"/>
          </m:rPr>
          <w:rPr>
            <w:rFonts w:hint="default" w:ascii="Cambria Math" w:hAnsi="Cambria Math" w:eastAsia="宋体" w:cs="Times New Roman"/>
            <w:sz w:val="24"/>
          </w:rPr>
          <m:t>×Educ</m:t>
        </m:r>
      </m:oMath>
      <w:r>
        <w:rPr>
          <w:rFonts w:hint="default" w:ascii="Times New Roman" w:hAnsi="Times New Roman" w:cs="Times New Roman"/>
          <w:color w:val="auto"/>
          <w:lang w:val="en-US" w:eastAsia="zh-CN"/>
        </w:rPr>
        <w:t xml:space="preserve">; for the crowding channel, </w:t>
      </w:r>
      <m:oMath>
        <m:r>
          <m:rPr/>
          <w:rPr>
            <w:rFonts w:hint="default" w:ascii="Cambria Math" w:hAnsi="Cambria Math" w:eastAsia="宋体" w:cs="Times New Roman"/>
            <w:sz w:val="24"/>
          </w:rPr>
          <m:t>∂</m:t>
        </m:r>
        <m:func>
          <m:funcPr>
            <m:ctrlPr>
              <w:rPr>
                <w:rFonts w:hint="default" w:ascii="Cambria Math" w:hAnsi="Cambria Math" w:eastAsia="宋体" w:cs="Times New Roman"/>
                <w:sz w:val="24"/>
              </w:rPr>
            </m:ctrlPr>
          </m:funcPr>
          <m:fName>
            <m:r>
              <m:rPr>
                <m:sty m:val="p"/>
              </m:rPr>
              <w:rPr>
                <w:rFonts w:hint="default" w:ascii="Cambria Math" w:hAnsi="Cambria Math" w:eastAsia="宋体" w:cs="Times New Roman"/>
                <w:sz w:val="24"/>
              </w:rPr>
              <m:t>ln</m:t>
            </m:r>
            <m:ctrlPr>
              <w:rPr>
                <w:rFonts w:hint="default" w:ascii="Cambria Math" w:hAnsi="Cambria Math" w:eastAsia="宋体" w:cs="Times New Roman"/>
                <w:sz w:val="24"/>
              </w:rPr>
            </m:ctrlPr>
          </m:fName>
          <m:e>
            <m:r>
              <m:rPr/>
              <w:rPr>
                <w:rFonts w:hint="default" w:ascii="Cambria Math" w:hAnsi="Cambria Math" w:eastAsia="宋体" w:cs="Times New Roman"/>
                <w:sz w:val="24"/>
              </w:rPr>
              <m:t>(</m:t>
            </m:r>
            <m:ctrlPr>
              <w:rPr>
                <w:rFonts w:hint="default" w:ascii="Cambria Math" w:hAnsi="Cambria Math" w:eastAsia="宋体" w:cs="Times New Roman"/>
                <w:sz w:val="24"/>
              </w:rPr>
            </m:ctrlPr>
          </m:e>
        </m:func>
        <m:r>
          <m:rPr>
            <m:sty m:val="p"/>
          </m:rPr>
          <w:rPr>
            <w:rFonts w:hint="default" w:ascii="Cambria Math" w:hAnsi="Cambria Math" w:eastAsia="宋体" w:cs="Times New Roman"/>
            <w:sz w:val="24"/>
          </w:rPr>
          <m:t>Wage</m:t>
        </m:r>
        <m:r>
          <m:rPr/>
          <w:rPr>
            <w:rFonts w:hint="default" w:ascii="Cambria Math" w:hAnsi="Cambria Math" w:eastAsia="宋体" w:cs="Times New Roman"/>
            <w:sz w:val="24"/>
          </w:rPr>
          <m:t>)/∂</m:t>
        </m:r>
        <m:r>
          <m:rPr>
            <m:sty m:val="p"/>
          </m:rPr>
          <w:rPr>
            <w:rFonts w:hint="default" w:ascii="Cambria Math" w:hAnsi="Cambria Math" w:eastAsia="宋体" w:cs="Times New Roman"/>
            <w:sz w:val="24"/>
          </w:rPr>
          <m:t>GenAI</m:t>
        </m:r>
        <m:r>
          <m:rPr/>
          <w:rPr>
            <w:rFonts w:hint="default" w:ascii="Cambria Math" w:hAnsi="Cambria Math" w:eastAsia="宋体" w:cs="Times New Roman"/>
            <w:sz w:val="24"/>
          </w:rPr>
          <m:t>=</m:t>
        </m:r>
        <m:sSub>
          <m:sSubPr>
            <m:ctrlPr>
              <w:rPr>
                <w:rFonts w:hint="default" w:ascii="Cambria Math" w:hAnsi="Cambria Math" w:eastAsia="宋体" w:cs="Times New Roman"/>
                <w:sz w:val="24"/>
              </w:rPr>
            </m:ctrlPr>
          </m:sSubPr>
          <m:e>
            <m:r>
              <m:rPr/>
              <w:rPr>
                <w:rFonts w:hint="default" w:ascii="Cambria Math" w:hAnsi="Cambria Math" w:eastAsia="宋体" w:cs="Times New Roman"/>
                <w:sz w:val="24"/>
              </w:rPr>
              <m:t>α</m:t>
            </m:r>
            <m:ctrlPr>
              <w:rPr>
                <w:rFonts w:hint="default" w:ascii="Cambria Math" w:hAnsi="Cambria Math" w:eastAsia="宋体" w:cs="Times New Roman"/>
                <w:sz w:val="24"/>
              </w:rPr>
            </m:ctrlPr>
          </m:e>
          <m:sub>
            <m:r>
              <m:rPr/>
              <w:rPr>
                <w:rFonts w:hint="default" w:ascii="Cambria Math" w:hAnsi="Cambria Math" w:eastAsia="宋体" w:cs="Times New Roman"/>
                <w:sz w:val="24"/>
              </w:rPr>
              <m:t>1</m:t>
            </m:r>
            <m:ctrlPr>
              <w:rPr>
                <w:rFonts w:hint="default" w:ascii="Cambria Math" w:hAnsi="Cambria Math" w:eastAsia="宋体" w:cs="Times New Roman"/>
                <w:sz w:val="24"/>
              </w:rPr>
            </m:ctrlPr>
          </m:sub>
        </m:sSub>
        <m:r>
          <m:rPr/>
          <w:rPr>
            <w:rFonts w:hint="default" w:ascii="Cambria Math" w:hAnsi="Cambria Math" w:eastAsia="宋体" w:cs="Times New Roman"/>
            <w:sz w:val="24"/>
          </w:rPr>
          <m:t>+</m:t>
        </m:r>
        <m:sSub>
          <m:sSubPr>
            <m:ctrlPr>
              <w:rPr>
                <w:rFonts w:hint="default" w:ascii="Cambria Math" w:hAnsi="Cambria Math" w:eastAsia="宋体" w:cs="Times New Roman"/>
                <w:sz w:val="24"/>
              </w:rPr>
            </m:ctrlPr>
          </m:sSubPr>
          <m:e>
            <m:r>
              <m:rPr/>
              <w:rPr>
                <w:rFonts w:hint="default" w:ascii="Cambria Math" w:hAnsi="Cambria Math" w:eastAsia="宋体" w:cs="Times New Roman"/>
                <w:sz w:val="24"/>
              </w:rPr>
              <m:t>α</m:t>
            </m:r>
            <m:ctrlPr>
              <w:rPr>
                <w:rFonts w:hint="default" w:ascii="Cambria Math" w:hAnsi="Cambria Math" w:eastAsia="宋体" w:cs="Times New Roman"/>
                <w:sz w:val="24"/>
              </w:rPr>
            </m:ctrlPr>
          </m:e>
          <m:sub>
            <m:r>
              <m:rPr/>
              <w:rPr>
                <w:rFonts w:hint="default" w:ascii="Cambria Math" w:hAnsi="Cambria Math" w:eastAsia="宋体" w:cs="Times New Roman"/>
                <w:sz w:val="24"/>
              </w:rPr>
              <m:t>3</m:t>
            </m:r>
            <m:ctrlPr>
              <w:rPr>
                <w:rFonts w:hint="default" w:ascii="Cambria Math" w:hAnsi="Cambria Math" w:eastAsia="宋体" w:cs="Times New Roman"/>
                <w:sz w:val="24"/>
              </w:rPr>
            </m:ctrlPr>
          </m:sub>
        </m:sSub>
        <m:r>
          <m:rPr>
            <m:sty m:val="p"/>
          </m:rPr>
          <w:rPr>
            <w:rFonts w:hint="default" w:ascii="Cambria Math" w:hAnsi="Cambria Math" w:eastAsia="宋体" w:cs="Times New Roman"/>
            <w:sz w:val="24"/>
          </w:rPr>
          <m:t>×Crowd</m:t>
        </m:r>
      </m:oMath>
      <w:r>
        <w:rPr>
          <w:rFonts w:hint="default" w:ascii="Times New Roman" w:hAnsi="Times New Roman" w:cs="Times New Roman"/>
          <w:color w:val="auto"/>
          <w:lang w:val="en-US" w:eastAsia="zh-CN"/>
        </w:rPr>
        <w:t>. The figure reports point estimates with 95% confidence intervals across the empirical range of each moderator.</w:t>
      </w:r>
    </w:p>
    <w:p w14:paraId="09FC6ED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p>
    <w:p w14:paraId="58BD1B1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943600" cy="2172335"/>
            <wp:effectExtent l="0" t="0" r="0" b="0"/>
            <wp:docPr id="616505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05958"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2172335"/>
                    </a:xfrm>
                    <a:prstGeom prst="rect">
                      <a:avLst/>
                    </a:prstGeom>
                    <a:noFill/>
                    <a:ln>
                      <a:noFill/>
                    </a:ln>
                  </pic:spPr>
                </pic:pic>
              </a:graphicData>
            </a:graphic>
          </wp:inline>
        </w:drawing>
      </w:r>
    </w:p>
    <w:p w14:paraId="54E7DA8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5" w:name="_Toc21351"/>
      <w:r>
        <w:rPr>
          <w:rFonts w:hint="default" w:ascii="Times New Roman" w:hAnsi="Times New Roman" w:cs="Times New Roman"/>
        </w:rPr>
        <w:t>Supplementary Fig. S1 | Heterogeneous marginal effects of GenAI exposure on wages.</w:t>
      </w:r>
      <w:bookmarkEnd w:id="5"/>
      <w:r>
        <w:rPr>
          <w:rFonts w:hint="default" w:ascii="Times New Roman" w:hAnsi="Times New Roman" w:cs="Times New Roman"/>
        </w:rPr>
        <w:t xml:space="preserve"> </w:t>
      </w:r>
    </w:p>
    <w:p w14:paraId="05A5DD5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a</w:t>
      </w:r>
      <w:r>
        <w:rPr>
          <w:rFonts w:hint="default" w:ascii="Times New Roman" w:hAnsi="Times New Roman" w:cs="Times New Roman"/>
          <w:color w:val="auto"/>
          <w:sz w:val="21"/>
          <w:szCs w:val="21"/>
        </w:rPr>
        <w:t xml:space="preserve">, Moderating effect of education on the GenAI wage premium. The blue solid line shows the estimated marginal effect of standardized GenAI exposure on log wages across the distribution of standardized education. The light-blue band gives the 95% confidence interval; the grey histogram at the bottom shows the empirical distribution of education. The negative slope indicates a de-skilling (or levelling) effect: as education rises, the wage premium associated with GenAI exposure shrinks. </w:t>
      </w:r>
      <w:r>
        <w:rPr>
          <w:rFonts w:hint="default" w:ascii="Times New Roman" w:hAnsi="Times New Roman" w:cs="Times New Roman"/>
          <w:b/>
          <w:bCs/>
          <w:color w:val="auto"/>
          <w:sz w:val="21"/>
          <w:szCs w:val="21"/>
        </w:rPr>
        <w:t>b</w:t>
      </w:r>
      <w:r>
        <w:rPr>
          <w:rFonts w:hint="default" w:ascii="Times New Roman" w:hAnsi="Times New Roman" w:cs="Times New Roman"/>
          <w:color w:val="auto"/>
          <w:sz w:val="21"/>
          <w:szCs w:val="21"/>
        </w:rPr>
        <w:t xml:space="preserve">, Moderating effect of </w:t>
      </w:r>
      <w:r>
        <w:rPr>
          <w:rFonts w:hint="eastAsia" w:cs="Times New Roman"/>
          <w:color w:val="auto"/>
          <w:sz w:val="21"/>
          <w:szCs w:val="21"/>
          <w:lang w:eastAsia="zh-CN"/>
        </w:rPr>
        <w:t>labor</w:t>
      </w:r>
      <w:r>
        <w:rPr>
          <w:rFonts w:hint="default" w:ascii="Times New Roman" w:hAnsi="Times New Roman" w:cs="Times New Roman"/>
          <w:color w:val="auto"/>
          <w:sz w:val="21"/>
          <w:szCs w:val="21"/>
        </w:rPr>
        <w:t>-market competition on GenAI returns. The marginal effect of GenAI exposure is plotted against the standardized job-market-heat index. The downward trajectory indicates that in highly competitive markets, the economic returns to GenAI are substantially attenuated.</w:t>
      </w:r>
    </w:p>
    <w:p w14:paraId="0C9841B3">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br w:type="page"/>
      </w:r>
    </w:p>
    <w:p w14:paraId="07AC5F02">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6" w:name="_Toc20438"/>
      <w:r>
        <w:rPr>
          <w:rFonts w:hint="default" w:ascii="Times New Roman" w:hAnsi="Times New Roman" w:cs="Times New Roman"/>
          <w:lang w:val="en-US" w:eastAsia="zh-CN"/>
        </w:rPr>
        <w:t>Supplementary Text S4 | Prompts and rubrics for GenAI exposure assessment</w:t>
      </w:r>
      <w:bookmarkEnd w:id="6"/>
    </w:p>
    <w:p w14:paraId="426C4A0F">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 xml:space="preserve">This section documents the prompt-engineering framework, the E0–E3 taxonomy and the multi-model ensemble strategy used to quantify the GenAI exposure index for the 1,605 detailed occupations defined in the </w:t>
      </w:r>
      <w:r>
        <w:rPr>
          <w:rStyle w:val="21"/>
          <w:rFonts w:hint="default" w:ascii="Times New Roman" w:hAnsi="Times New Roman" w:cs="Times New Roman"/>
          <w:color w:val="auto"/>
        </w:rPr>
        <w:t>2022 Occupational Classification of the People</w:t>
      </w:r>
      <w:r>
        <w:rPr>
          <w:rStyle w:val="21"/>
          <w:rFonts w:hint="default" w:ascii="Times New Roman" w:hAnsi="Times New Roman" w:cs="Times New Roman"/>
          <w:color w:val="auto"/>
          <w:lang w:val="en-US" w:eastAsia="zh-CN"/>
        </w:rPr>
        <w:t>’</w:t>
      </w:r>
      <w:r>
        <w:rPr>
          <w:rStyle w:val="21"/>
          <w:rFonts w:hint="default" w:ascii="Times New Roman" w:hAnsi="Times New Roman" w:cs="Times New Roman"/>
          <w:color w:val="auto"/>
        </w:rPr>
        <w:t>s Republic of China</w:t>
      </w:r>
      <w:r>
        <w:rPr>
          <w:rFonts w:hint="default" w:ascii="Times New Roman" w:hAnsi="Times New Roman" w:cs="Times New Roman"/>
          <w:color w:val="auto"/>
          <w:lang w:val="en-US" w:eastAsia="zh-CN"/>
        </w:rPr>
        <w:t>.</w:t>
      </w:r>
    </w:p>
    <w:p w14:paraId="05618A40">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p>
    <w:p w14:paraId="1603CD83">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7" w:name="_Toc28997"/>
      <w:r>
        <w:rPr>
          <w:rFonts w:hint="default" w:ascii="Times New Roman" w:hAnsi="Times New Roman" w:cs="Times New Roman"/>
        </w:rPr>
        <w:t>1. Multi-model ensemble strategy</w:t>
      </w:r>
      <w:bookmarkEnd w:id="7"/>
    </w:p>
    <w:p w14:paraId="6A7EB6A9">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To mitigate the biases, hallucination risks and alignment idiosyncrasies inherent in any single LLM, we constructed an ensemble matrix comprising five state-of-the-art (SOTA) models: </w:t>
      </w:r>
      <w:r>
        <w:rPr>
          <w:rFonts w:hint="default" w:ascii="Times New Roman" w:hAnsi="Times New Roman" w:cs="Times New Roman"/>
          <w:b/>
          <w:bCs/>
          <w:color w:val="auto"/>
        </w:rPr>
        <w:t>ChatGPT-4o, Gemini-2.5-pro, Claude-3.5-Sonnet, GLM-4 and Deepseek-R1</w:t>
      </w:r>
      <w:r>
        <w:rPr>
          <w:rFonts w:hint="default" w:ascii="Times New Roman" w:hAnsi="Times New Roman" w:cs="Times New Roman"/>
          <w:color w:val="auto"/>
        </w:rPr>
        <w:t>.</w:t>
      </w:r>
    </w:p>
    <w:p w14:paraId="2F362EB4">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t>For each of the 1,605 occupations, we conducted five independent evaluation rounds across the five models, yielding 25 independent inferences per occupation. The final exposure score for each occupation is the mean of these 25 inferences, which is then standardized (Z-score) to construct the GenAI exposure index used in the baseline regressions.</w:t>
      </w:r>
    </w:p>
    <w:p w14:paraId="3DE96433">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p>
    <w:p w14:paraId="58AF1B6E">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bookmarkStart w:id="8" w:name="_Toc13176"/>
      <w:r>
        <w:rPr>
          <w:rFonts w:hint="default" w:ascii="Times New Roman" w:hAnsi="Times New Roman" w:cs="Times New Roman"/>
        </w:rPr>
        <w:t>2. Taxonomy of GenAI exposure (E0–E3)</w:t>
      </w:r>
      <w:bookmarkEnd w:id="8"/>
    </w:p>
    <w:p w14:paraId="7640216A">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We adapted the task-level exposure rubrics of Eloundou et al. (2024)</w:t>
      </w:r>
      <w:r>
        <w:rPr>
          <w:rFonts w:hint="default" w:ascii="Times New Roman" w:hAnsi="Times New Roman" w:cs="Times New Roman"/>
          <w:color w:val="auto"/>
          <w:lang w:eastAsia="zh-CN"/>
        </w:rPr>
        <w:fldChar w:fldCharType="begin"/>
      </w:r>
      <w:r>
        <w:rPr>
          <w:rFonts w:hint="default" w:ascii="Times New Roman" w:hAnsi="Times New Roman" w:cs="Times New Roman"/>
          <w:color w:val="auto"/>
          <w:lang w:eastAsia="zh-CN"/>
        </w:rPr>
        <w:instrText xml:space="preserve"> ADDIN EN.CITE &lt;EndNote&gt;&lt;Cite&gt;&lt;Author&gt;Eloundou&lt;/Author&gt;&lt;Year&gt;2024&lt;/Year&gt;&lt;RecNum&gt;40&lt;/RecNum&gt;&lt;DisplayText&gt;&lt;style face="superscript"&gt;29&lt;/style&gt;&lt;/DisplayText&gt;&lt;record&gt;&lt;rec-number&gt;40&lt;/rec-number&gt;&lt;foreign-keys&gt;&lt;key app="EN" db-id="d0wx2x2e2txxsheffsnxee2m5esz0zzsxztf" timestamp="1773047494"&gt;40&lt;/key&gt;&lt;/foreign-keys&gt;&lt;ref-type name="Journal Article"&gt;17&lt;/ref-type&gt;&lt;contributors&gt;&lt;authors&gt;&lt;author&gt;Eloundou, Tyna&lt;/author&gt;&lt;author&gt;Manning, Sam&lt;/author&gt;&lt;author&gt;Mishkin, Pamela&lt;/author&gt;&lt;author&gt;Rock, Daniel&lt;/author&gt;&lt;/authors&gt;&lt;/contributors&gt;&lt;titles&gt;&lt;title&gt;GPTs are GPTs: Labor market impact potential of LLMs&lt;/title&gt;&lt;secondary-title&gt;Science&lt;/secondary-title&gt;&lt;/titles&gt;&lt;periodical&gt;&lt;full-title&gt;Science&lt;/full-title&gt;&lt;/periodical&gt;&lt;pages&gt;1306-1308&lt;/pages&gt;&lt;volume&gt;384&lt;/volume&gt;&lt;number&gt;6702&lt;/number&gt;&lt;dates&gt;&lt;year&gt;2024&lt;/year&gt;&lt;/dates&gt;&lt;isbn&gt;0036-8075&lt;/isbn&gt;&lt;urls&gt;&lt;/urls&gt;&lt;/record&gt;&lt;/Cite&gt;&lt;/EndNote&gt;</w:instrText>
      </w:r>
      <w:r>
        <w:rPr>
          <w:rFonts w:hint="default" w:ascii="Times New Roman" w:hAnsi="Times New Roman" w:cs="Times New Roman"/>
          <w:color w:val="auto"/>
          <w:lang w:eastAsia="zh-CN"/>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29</w:t>
      </w:r>
      <w:r>
        <w:rPr>
          <w:rFonts w:hint="default" w:ascii="Times New Roman" w:hAnsi="Times New Roman" w:cs="Times New Roman"/>
          <w:color w:val="auto"/>
          <w:lang w:eastAsia="zh-CN"/>
        </w:rPr>
        <w:fldChar w:fldCharType="end"/>
      </w:r>
      <w:r>
        <w:rPr>
          <w:rFonts w:hint="default" w:ascii="Times New Roman" w:hAnsi="Times New Roman" w:cs="Times New Roman"/>
          <w:color w:val="auto"/>
          <w:lang w:val="en-US" w:eastAsia="zh-CN"/>
        </w:rPr>
        <w:t xml:space="preserve"> and Chen et al. (2025)</w:t>
      </w:r>
      <w:r>
        <w:rPr>
          <w:rFonts w:hint="default" w:ascii="Times New Roman" w:hAnsi="Times New Roman" w:cs="Times New Roman"/>
          <w:color w:val="auto"/>
          <w:lang w:eastAsia="zh-CN"/>
        </w:rPr>
        <w:fldChar w:fldCharType="begin"/>
      </w:r>
      <w:r>
        <w:rPr>
          <w:rFonts w:hint="default" w:ascii="Times New Roman" w:hAnsi="Times New Roman" w:cs="Times New Roman"/>
          <w:color w:val="auto"/>
          <w:lang w:eastAsia="zh-CN"/>
        </w:rPr>
        <w:instrText xml:space="preserve"> ADDIN EN.CITE &lt;EndNote&gt;&lt;Cite&gt;&lt;Author&gt;Chen&lt;/Author&gt;&lt;Year&gt;2025&lt;/Year&gt;&lt;RecNum&gt;31&lt;/RecNum&gt;&lt;DisplayText&gt;&lt;style face="superscript"&gt;45&lt;/style&gt;&lt;/DisplayText&gt;&lt;record&gt;&lt;rec-number&gt;31&lt;/rec-number&gt;&lt;foreign-keys&gt;&lt;key app="EN" db-id="d0wx2x2e2txxsheffsnxee2m5esz0zzsxztf" timestamp="1773047150"&gt;31&lt;/key&gt;&lt;/foreign-keys&gt;&lt;ref-type name="Journal Article"&gt;17&lt;/ref-type&gt;&lt;contributors&gt;&lt;authors&gt;&lt;author&gt;Chen, Qin&lt;/author&gt;&lt;author&gt;Ge, Jinfeng&lt;/author&gt;&lt;author&gt;Xie, Huaqing&lt;/author&gt;&lt;author&gt;Xu, Xingcheng&lt;/author&gt;&lt;author&gt;Yang, Yanqing&lt;/author&gt;&lt;/authors&gt;&lt;/contributors&gt;&lt;titles&gt;&lt;title&gt;Large language models at work in China’s labor market&lt;/title&gt;&lt;secondary-title&gt;China Economic Review&lt;/secondary-title&gt;&lt;/titles&gt;&lt;periodical&gt;&lt;full-title&gt;China Economic Review&lt;/full-title&gt;&lt;/periodical&gt;&lt;pages&gt;102413&lt;/pages&gt;&lt;volume&gt;92&lt;/volume&gt;&lt;dates&gt;&lt;year&gt;2025&lt;/year&gt;&lt;/dates&gt;&lt;isbn&gt;1043-951X&lt;/isbn&gt;&lt;urls&gt;&lt;/urls&gt;&lt;/record&gt;&lt;/Cite&gt;&lt;/EndNote&gt;</w:instrText>
      </w:r>
      <w:r>
        <w:rPr>
          <w:rFonts w:hint="default" w:ascii="Times New Roman" w:hAnsi="Times New Roman" w:cs="Times New Roman"/>
          <w:color w:val="auto"/>
          <w:lang w:eastAsia="zh-CN"/>
        </w:rPr>
        <w:fldChar w:fldCharType="separate"/>
      </w:r>
      <w:r>
        <w:rPr>
          <w:rFonts w:hint="default" w:ascii="Times New Roman" w:hAnsi="Times New Roman" w:eastAsia="宋体" w:cs="Times New Roman"/>
          <w:color w:val="auto"/>
          <w:kern w:val="2"/>
          <w:sz w:val="24"/>
          <w:szCs w:val="24"/>
          <w:vertAlign w:val="superscript"/>
          <w:lang w:val="en-US" w:eastAsia="zh-CN" w:bidi="ar-SA"/>
          <w14:ligatures w14:val="standardContextual"/>
        </w:rPr>
        <w:t>45</w:t>
      </w:r>
      <w:r>
        <w:rPr>
          <w:rFonts w:hint="default" w:ascii="Times New Roman" w:hAnsi="Times New Roman" w:cs="Times New Roman"/>
          <w:color w:val="auto"/>
          <w:lang w:eastAsia="zh-CN"/>
        </w:rPr>
        <w:fldChar w:fldCharType="end"/>
      </w:r>
      <w:r>
        <w:rPr>
          <w:rFonts w:hint="default" w:ascii="Times New Roman" w:hAnsi="Times New Roman" w:cs="Times New Roman"/>
          <w:color w:val="auto"/>
          <w:lang w:val="en-US" w:eastAsia="zh-CN"/>
        </w:rPr>
        <w:t xml:space="preserve"> to accommodate the multimodal capabilities of contemporary GenAI systems. Models were instructed to classify each occupation according to whether GenAI could reduce the time required to complete its core tasks by at least 50% without quality loss.</w:t>
      </w:r>
    </w:p>
    <w:p w14:paraId="58C55E8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Fonts w:hint="default" w:ascii="Times New Roman" w:hAnsi="Times New Roman" w:eastAsia="Symbol" w:cs="Times New Roman"/>
          <w:sz w:val="24"/>
        </w:rPr>
        <w:t>·</w:t>
      </w:r>
      <w:r>
        <w:rPr>
          <w:rFonts w:hint="default" w:ascii="Times New Roman" w:hAnsi="Times New Roman" w:eastAsia="宋体" w:cs="Times New Roman"/>
          <w:sz w:val="24"/>
        </w:rPr>
        <w:t xml:space="preserve">  </w:t>
      </w:r>
      <w:r>
        <w:rPr>
          <w:rStyle w:val="19"/>
          <w:rFonts w:hint="default" w:ascii="Times New Roman" w:hAnsi="Times New Roman" w:cs="Times New Roman"/>
          <w:color w:val="000000"/>
        </w:rPr>
        <w:t>E0 (No exposure).</w:t>
      </w:r>
      <w:r>
        <w:rPr>
          <w:rFonts w:hint="default" w:ascii="Times New Roman" w:hAnsi="Times New Roman" w:cs="Times New Roman"/>
          <w:color w:val="000000"/>
        </w:rPr>
        <w:t xml:space="preserve"> Direct access to GenAI or to GenAI-powered applications cannot reduce core-task completion time by half. This category applies to occupations requiring high physical dexterity, precise physical measurement or deep emotional human connection (for example, manual </w:t>
      </w:r>
      <w:r>
        <w:rPr>
          <w:rFonts w:hint="eastAsia" w:cs="Times New Roman"/>
          <w:color w:val="000000"/>
          <w:lang w:eastAsia="zh-CN"/>
        </w:rPr>
        <w:t>labor</w:t>
      </w:r>
      <w:r>
        <w:rPr>
          <w:rFonts w:hint="default" w:ascii="Times New Roman" w:hAnsi="Times New Roman" w:cs="Times New Roman"/>
          <w:color w:val="000000"/>
        </w:rPr>
        <w:t xml:space="preserve"> and specialized healthcare).</w:t>
      </w:r>
    </w:p>
    <w:p w14:paraId="39DCF3B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Fonts w:hint="default" w:ascii="Times New Roman" w:hAnsi="Times New Roman" w:eastAsia="Symbol" w:cs="Times New Roman"/>
          <w:sz w:val="24"/>
        </w:rPr>
        <w:t>·</w:t>
      </w:r>
      <w:r>
        <w:rPr>
          <w:rFonts w:hint="default" w:ascii="Times New Roman" w:hAnsi="Times New Roman" w:eastAsia="宋体" w:cs="Times New Roman"/>
          <w:sz w:val="24"/>
        </w:rPr>
        <w:t xml:space="preserve">  </w:t>
      </w:r>
      <w:r>
        <w:rPr>
          <w:rStyle w:val="19"/>
          <w:rFonts w:hint="default" w:ascii="Times New Roman" w:hAnsi="Times New Roman" w:cs="Times New Roman"/>
          <w:color w:val="000000"/>
        </w:rPr>
        <w:t>E1 (Direct exposure).</w:t>
      </w:r>
      <w:r>
        <w:rPr>
          <w:rFonts w:hint="default" w:ascii="Times New Roman" w:hAnsi="Times New Roman" w:cs="Times New Roman"/>
          <w:color w:val="000000"/>
        </w:rPr>
        <w:t xml:space="preserve"> Direct access to standard GenAI interfaces (for example, conversational text or code generation) alone can reduce completion time by at least 50%. This applies to occupations heavily reliant on writing, translation, basic coding and routine data summarization.</w:t>
      </w:r>
    </w:p>
    <w:p w14:paraId="328876A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Fonts w:hint="default" w:ascii="Times New Roman" w:hAnsi="Times New Roman" w:eastAsia="Symbol" w:cs="Times New Roman"/>
          <w:sz w:val="24"/>
        </w:rPr>
        <w:t>·</w:t>
      </w:r>
      <w:r>
        <w:rPr>
          <w:rFonts w:hint="default" w:ascii="Times New Roman" w:hAnsi="Times New Roman" w:eastAsia="宋体" w:cs="Times New Roman"/>
          <w:sz w:val="24"/>
        </w:rPr>
        <w:t xml:space="preserve">  </w:t>
      </w:r>
      <w:r>
        <w:rPr>
          <w:rStyle w:val="19"/>
          <w:rFonts w:hint="default" w:ascii="Times New Roman" w:hAnsi="Times New Roman" w:cs="Times New Roman"/>
          <w:color w:val="000000"/>
        </w:rPr>
        <w:t>E2 (Application-augmented exposure).</w:t>
      </w:r>
      <w:r>
        <w:rPr>
          <w:rFonts w:hint="default" w:ascii="Times New Roman" w:hAnsi="Times New Roman" w:cs="Times New Roman"/>
          <w:color w:val="000000"/>
        </w:rPr>
        <w:t xml:space="preserve"> Standard GenAI interfaces alone are insufficient, but the 50% time reduction is readily achievable through specialized software built on top of GenAI APIs (for example, customized agents, retrieval-augmented generation systems over internal databases or domain-fine-tuned models).</w:t>
      </w:r>
    </w:p>
    <w:p w14:paraId="45CA40D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Fonts w:hint="default" w:ascii="Times New Roman" w:hAnsi="Times New Roman" w:eastAsia="Symbol" w:cs="Times New Roman"/>
          <w:sz w:val="24"/>
        </w:rPr>
        <w:t>·</w:t>
      </w:r>
      <w:r>
        <w:rPr>
          <w:rFonts w:hint="default" w:ascii="Times New Roman" w:hAnsi="Times New Roman" w:eastAsia="宋体" w:cs="Times New Roman"/>
          <w:sz w:val="24"/>
        </w:rPr>
        <w:t xml:space="preserve">  </w:t>
      </w:r>
      <w:r>
        <w:rPr>
          <w:rStyle w:val="19"/>
          <w:rFonts w:hint="default" w:ascii="Times New Roman" w:hAnsi="Times New Roman" w:cs="Times New Roman"/>
          <w:color w:val="000000"/>
        </w:rPr>
        <w:t>E3 (Multimodal-capability exposure).</w:t>
      </w:r>
      <w:r>
        <w:rPr>
          <w:rFonts w:hint="default" w:ascii="Times New Roman" w:hAnsi="Times New Roman" w:cs="Times New Roman"/>
          <w:color w:val="000000"/>
        </w:rPr>
        <w:t xml:space="preserve"> The 50% time reduction is achievable specifically through GenAI</w:t>
      </w:r>
      <w:r>
        <w:rPr>
          <w:rFonts w:hint="default" w:ascii="Times New Roman" w:hAnsi="Times New Roman" w:cs="Times New Roman"/>
          <w:color w:val="000000"/>
          <w:lang w:val="en-US" w:eastAsia="zh-CN"/>
        </w:rPr>
        <w:t>’</w:t>
      </w:r>
      <w:r>
        <w:rPr>
          <w:rFonts w:hint="default" w:ascii="Times New Roman" w:hAnsi="Times New Roman" w:cs="Times New Roman"/>
          <w:color w:val="000000"/>
        </w:rPr>
        <w:t>s advanced multimodal capabilities, including computer vision, complex image processing and audio/video generation (for example, graphic designers and visual inspectors).</w:t>
      </w:r>
    </w:p>
    <w:p w14:paraId="151D3D6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color w:val="auto"/>
        </w:rPr>
      </w:pPr>
    </w:p>
    <w:p w14:paraId="70594C35">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bookmarkStart w:id="9" w:name="_Toc31057"/>
      <w:r>
        <w:rPr>
          <w:rFonts w:hint="default" w:ascii="Times New Roman" w:hAnsi="Times New Roman" w:cs="Times New Roman"/>
        </w:rPr>
        <w:t>3. Standardized evaluation prompts</w:t>
      </w:r>
      <w:bookmarkEnd w:id="9"/>
    </w:p>
    <w:p w14:paraId="2E75F257">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Because the occupational descriptions in the Occupational Classification are in Chinese, prompts were administered in Chinese to avoid translation-induced semantic loss. The English translation of the system prompt is provided below for reproducibility.</w:t>
      </w:r>
    </w:p>
    <w:p w14:paraId="2CC4E1DC">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lang w:val="en-US" w:eastAsia="zh-CN"/>
        </w:rPr>
      </w:pPr>
    </w:p>
    <w:p w14:paraId="1C8B6265">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Style w:val="19"/>
          <w:rFonts w:hint="default" w:ascii="Times New Roman" w:hAnsi="Times New Roman" w:cs="Times New Roman"/>
          <w:color w:val="000000"/>
        </w:rPr>
        <w:t>English version (for reference)</w:t>
      </w:r>
    </w:p>
    <w:p w14:paraId="47C330F7">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textAlignment w:val="auto"/>
        <w:rPr>
          <w:rFonts w:hint="default" w:ascii="Times New Roman" w:hAnsi="Times New Roman" w:cs="Times New Roman"/>
        </w:rPr>
      </w:pPr>
      <w:r>
        <w:rPr>
          <w:rStyle w:val="21"/>
          <w:rFonts w:hint="default" w:ascii="Times New Roman" w:hAnsi="Times New Roman" w:eastAsia="宋体" w:cs="Times New Roman"/>
          <w:color w:val="000000"/>
          <w:sz w:val="24"/>
          <w:szCs w:val="24"/>
        </w:rPr>
        <w:t>System role.</w:t>
      </w:r>
      <w:r>
        <w:rPr>
          <w:rFonts w:hint="default" w:ascii="Times New Roman" w:hAnsi="Times New Roman" w:eastAsia="宋体" w:cs="Times New Roman"/>
          <w:color w:val="000000"/>
          <w:sz w:val="24"/>
          <w:szCs w:val="24"/>
        </w:rPr>
        <w:t xml:space="preserve"> You are an expert </w:t>
      </w:r>
      <w:r>
        <w:rPr>
          <w:rFonts w:hint="eastAsia" w:cs="Times New Roman"/>
          <w:color w:val="000000"/>
          <w:sz w:val="24"/>
          <w:szCs w:val="24"/>
          <w:lang w:eastAsia="zh-CN"/>
        </w:rPr>
        <w:t>labor</w:t>
      </w:r>
      <w:r>
        <w:rPr>
          <w:rFonts w:hint="default" w:ascii="Times New Roman" w:hAnsi="Times New Roman" w:eastAsia="宋体" w:cs="Times New Roman"/>
          <w:color w:val="000000"/>
          <w:sz w:val="24"/>
          <w:szCs w:val="24"/>
        </w:rPr>
        <w:t xml:space="preserve"> economist and evaluator of the potential of Generative AI (GenAI) to replace or augment human </w:t>
      </w:r>
      <w:r>
        <w:rPr>
          <w:rFonts w:hint="eastAsia" w:cs="Times New Roman"/>
          <w:color w:val="000000"/>
          <w:sz w:val="24"/>
          <w:szCs w:val="24"/>
          <w:lang w:eastAsia="zh-CN"/>
        </w:rPr>
        <w:t>labor</w:t>
      </w:r>
      <w:r>
        <w:rPr>
          <w:rFonts w:hint="default" w:ascii="Times New Roman" w:hAnsi="Times New Roman" w:eastAsia="宋体" w:cs="Times New Roman"/>
          <w:color w:val="000000"/>
          <w:sz w:val="24"/>
          <w:szCs w:val="24"/>
        </w:rPr>
        <w:t>. GenAI models are advanced deep-learning systems capable of processing and generating natural-language text, code, images, audio and video.</w:t>
      </w:r>
    </w:p>
    <w:p w14:paraId="05C9CCF6">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textAlignment w:val="auto"/>
        <w:rPr>
          <w:rFonts w:hint="default" w:ascii="Times New Roman" w:hAnsi="Times New Roman" w:cs="Times New Roman"/>
        </w:rPr>
      </w:pPr>
      <w:r>
        <w:rPr>
          <w:rStyle w:val="21"/>
          <w:rFonts w:hint="default" w:ascii="Times New Roman" w:hAnsi="Times New Roman" w:eastAsia="宋体" w:cs="Times New Roman"/>
          <w:color w:val="000000"/>
          <w:sz w:val="24"/>
          <w:szCs w:val="24"/>
        </w:rPr>
        <w:t>Task.</w:t>
      </w:r>
      <w:r>
        <w:rPr>
          <w:rFonts w:hint="default" w:ascii="Times New Roman" w:hAnsi="Times New Roman" w:eastAsia="宋体" w:cs="Times New Roman"/>
          <w:color w:val="000000"/>
          <w:sz w:val="24"/>
          <w:szCs w:val="24"/>
        </w:rPr>
        <w:t xml:space="preserve"> Based on the provided occupation name and its official core-task descriptions, evaluate the GenAI exposure level of this occupation. Assume the worker has average expertise and access to current SOTA GenAI models, standard computer hardware and any necessary GenAI-powered specialized software.</w:t>
      </w:r>
    </w:p>
    <w:p w14:paraId="413094D5">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textAlignment w:val="auto"/>
        <w:rPr>
          <w:rFonts w:hint="default" w:ascii="Times New Roman" w:hAnsi="Times New Roman" w:cs="Times New Roman"/>
        </w:rPr>
      </w:pPr>
      <w:r>
        <w:rPr>
          <w:rStyle w:val="21"/>
          <w:rFonts w:hint="default" w:ascii="Times New Roman" w:hAnsi="Times New Roman" w:eastAsia="宋体" w:cs="Times New Roman"/>
          <w:color w:val="000000"/>
          <w:sz w:val="24"/>
          <w:szCs w:val="24"/>
        </w:rPr>
        <w:t>Scoring rubric.</w:t>
      </w:r>
      <w:r>
        <w:rPr>
          <w:rFonts w:hint="default" w:ascii="Times New Roman" w:hAnsi="Times New Roman" w:eastAsia="宋体" w:cs="Times New Roman"/>
          <w:color w:val="000000"/>
          <w:sz w:val="24"/>
          <w:szCs w:val="24"/>
        </w:rPr>
        <w:t xml:space="preserve"> Classify the occupation into one of the following categories and assign the corresponding score:</w:t>
      </w:r>
    </w:p>
    <w:p w14:paraId="699A46C5">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1440" w:right="720" w:hanging="360"/>
        <w:textAlignment w:val="auto"/>
        <w:rPr>
          <w:rFonts w:hint="default" w:ascii="Times New Roman" w:hAnsi="Times New Roman" w:cs="Times New Roman"/>
        </w:rPr>
      </w:pPr>
      <w:r>
        <w:rPr>
          <w:rStyle w:val="19"/>
          <w:rFonts w:hint="default" w:ascii="Times New Roman" w:hAnsi="Times New Roman" w:eastAsia="宋体" w:cs="Times New Roman"/>
          <w:color w:val="000000"/>
          <w:sz w:val="24"/>
          <w:szCs w:val="24"/>
        </w:rPr>
        <w:t>Score 0 (E0):</w:t>
      </w:r>
      <w:r>
        <w:rPr>
          <w:rFonts w:hint="default" w:ascii="Times New Roman" w:hAnsi="Times New Roman" w:eastAsia="宋体" w:cs="Times New Roman"/>
          <w:color w:val="000000"/>
          <w:sz w:val="24"/>
          <w:szCs w:val="24"/>
        </w:rPr>
        <w:t xml:space="preserve"> GenAI cannot reduce the human-</w:t>
      </w:r>
      <w:r>
        <w:rPr>
          <w:rFonts w:hint="eastAsia" w:cs="Times New Roman"/>
          <w:color w:val="000000"/>
          <w:sz w:val="24"/>
          <w:szCs w:val="24"/>
          <w:lang w:eastAsia="zh-CN"/>
        </w:rPr>
        <w:t>labor</w:t>
      </w:r>
      <w:r>
        <w:rPr>
          <w:rFonts w:hint="default" w:ascii="Times New Roman" w:hAnsi="Times New Roman" w:eastAsia="宋体" w:cs="Times New Roman"/>
          <w:color w:val="000000"/>
          <w:sz w:val="24"/>
          <w:szCs w:val="24"/>
        </w:rPr>
        <w:t xml:space="preserve"> time required for this occupation by 50%.</w:t>
      </w:r>
    </w:p>
    <w:p w14:paraId="2C69A7E4">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1440" w:right="720" w:hanging="360"/>
        <w:textAlignment w:val="auto"/>
        <w:rPr>
          <w:rFonts w:hint="default" w:ascii="Times New Roman" w:hAnsi="Times New Roman" w:cs="Times New Roman"/>
        </w:rPr>
      </w:pPr>
      <w:r>
        <w:rPr>
          <w:rStyle w:val="19"/>
          <w:rFonts w:hint="default" w:ascii="Times New Roman" w:hAnsi="Times New Roman" w:eastAsia="宋体" w:cs="Times New Roman"/>
          <w:color w:val="000000"/>
          <w:sz w:val="24"/>
          <w:szCs w:val="24"/>
        </w:rPr>
        <w:t>Score 1 (E1):</w:t>
      </w:r>
      <w:r>
        <w:rPr>
          <w:rFonts w:hint="default" w:ascii="Times New Roman" w:hAnsi="Times New Roman" w:eastAsia="宋体" w:cs="Times New Roman"/>
          <w:color w:val="000000"/>
          <w:sz w:val="24"/>
          <w:szCs w:val="24"/>
        </w:rPr>
        <w:t xml:space="preserve"> Standard GenAI text/code interfaces can reduce </w:t>
      </w:r>
      <w:r>
        <w:rPr>
          <w:rFonts w:hint="eastAsia" w:cs="Times New Roman"/>
          <w:color w:val="000000"/>
          <w:sz w:val="24"/>
          <w:szCs w:val="24"/>
          <w:lang w:eastAsia="zh-CN"/>
        </w:rPr>
        <w:t>labor</w:t>
      </w:r>
      <w:r>
        <w:rPr>
          <w:rFonts w:hint="default" w:ascii="Times New Roman" w:hAnsi="Times New Roman" w:eastAsia="宋体" w:cs="Times New Roman"/>
          <w:color w:val="000000"/>
          <w:sz w:val="24"/>
          <w:szCs w:val="24"/>
        </w:rPr>
        <w:t xml:space="preserve"> time by at least 50%.</w:t>
      </w:r>
    </w:p>
    <w:p w14:paraId="500D4060">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1440" w:right="720" w:hanging="360"/>
        <w:textAlignment w:val="auto"/>
        <w:rPr>
          <w:rFonts w:hint="default" w:ascii="Times New Roman" w:hAnsi="Times New Roman" w:cs="Times New Roman"/>
        </w:rPr>
      </w:pPr>
      <w:r>
        <w:rPr>
          <w:rStyle w:val="19"/>
          <w:rFonts w:hint="default" w:ascii="Times New Roman" w:hAnsi="Times New Roman" w:eastAsia="宋体" w:cs="Times New Roman"/>
          <w:color w:val="000000"/>
          <w:sz w:val="24"/>
          <w:szCs w:val="24"/>
        </w:rPr>
        <w:t>Score 0.5 (E2):</w:t>
      </w:r>
      <w:r>
        <w:rPr>
          <w:rFonts w:hint="default" w:ascii="Times New Roman" w:hAnsi="Times New Roman" w:eastAsia="宋体" w:cs="Times New Roman"/>
          <w:color w:val="000000"/>
          <w:sz w:val="24"/>
          <w:szCs w:val="24"/>
        </w:rPr>
        <w:t xml:space="preserve"> Specialized applications built on GenAI APIs can reduce </w:t>
      </w:r>
      <w:r>
        <w:rPr>
          <w:rFonts w:hint="eastAsia" w:cs="Times New Roman"/>
          <w:color w:val="000000"/>
          <w:sz w:val="24"/>
          <w:szCs w:val="24"/>
          <w:lang w:eastAsia="zh-CN"/>
        </w:rPr>
        <w:t>labor</w:t>
      </w:r>
      <w:r>
        <w:rPr>
          <w:rFonts w:hint="default" w:ascii="Times New Roman" w:hAnsi="Times New Roman" w:eastAsia="宋体" w:cs="Times New Roman"/>
          <w:color w:val="000000"/>
          <w:sz w:val="24"/>
          <w:szCs w:val="24"/>
        </w:rPr>
        <w:t xml:space="preserve"> time by at least 50%.</w:t>
      </w:r>
    </w:p>
    <w:p w14:paraId="2572562C">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1440" w:right="720" w:hanging="360"/>
        <w:textAlignment w:val="auto"/>
        <w:rPr>
          <w:rFonts w:hint="default" w:ascii="Times New Roman" w:hAnsi="Times New Roman" w:cs="Times New Roman"/>
        </w:rPr>
      </w:pPr>
      <w:r>
        <w:rPr>
          <w:rStyle w:val="19"/>
          <w:rFonts w:hint="default" w:ascii="Times New Roman" w:hAnsi="Times New Roman" w:eastAsia="宋体" w:cs="Times New Roman"/>
          <w:color w:val="000000"/>
          <w:sz w:val="24"/>
          <w:szCs w:val="24"/>
        </w:rPr>
        <w:t>Score 0.5 (E3):</w:t>
      </w:r>
      <w:r>
        <w:rPr>
          <w:rFonts w:hint="default" w:ascii="Times New Roman" w:hAnsi="Times New Roman" w:eastAsia="宋体" w:cs="Times New Roman"/>
          <w:color w:val="000000"/>
          <w:sz w:val="24"/>
          <w:szCs w:val="24"/>
        </w:rPr>
        <w:t xml:space="preserve"> Multimodal GenAI (vision, image, audio generation) can reduce </w:t>
      </w:r>
      <w:r>
        <w:rPr>
          <w:rFonts w:hint="eastAsia" w:cs="Times New Roman"/>
          <w:color w:val="000000"/>
          <w:sz w:val="24"/>
          <w:szCs w:val="24"/>
          <w:lang w:eastAsia="zh-CN"/>
        </w:rPr>
        <w:t>labor</w:t>
      </w:r>
      <w:r>
        <w:rPr>
          <w:rFonts w:hint="default" w:ascii="Times New Roman" w:hAnsi="Times New Roman" w:eastAsia="宋体" w:cs="Times New Roman"/>
          <w:color w:val="000000"/>
          <w:sz w:val="24"/>
          <w:szCs w:val="24"/>
        </w:rPr>
        <w:t xml:space="preserve"> time by at least 50%.</w:t>
      </w:r>
    </w:p>
    <w:p w14:paraId="1E5574E5">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textAlignment w:val="auto"/>
        <w:rPr>
          <w:rFonts w:hint="default" w:ascii="Times New Roman" w:hAnsi="Times New Roman" w:eastAsia="宋体" w:cs="Times New Roman"/>
          <w:color w:val="auto"/>
          <w:sz w:val="24"/>
          <w:szCs w:val="24"/>
        </w:rPr>
      </w:pPr>
      <w:r>
        <w:rPr>
          <w:rStyle w:val="21"/>
          <w:rFonts w:hint="default" w:ascii="Times New Roman" w:hAnsi="Times New Roman" w:eastAsia="宋体" w:cs="Times New Roman"/>
          <w:color w:val="000000"/>
          <w:sz w:val="24"/>
          <w:szCs w:val="24"/>
        </w:rPr>
        <w:t>Output format.</w:t>
      </w:r>
      <w:r>
        <w:rPr>
          <w:rFonts w:hint="default" w:ascii="Times New Roman" w:hAnsi="Times New Roman" w:eastAsia="宋体" w:cs="Times New Roman"/>
          <w:color w:val="000000"/>
          <w:sz w:val="24"/>
          <w:szCs w:val="24"/>
        </w:rPr>
        <w:t xml:space="preserve"> Provide step-by-step reasoning for your classification, followed by the final assigned category (E0, E1, E2 or E3) and corresponding score.</w:t>
      </w:r>
    </w:p>
    <w:p w14:paraId="2F176E33">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jc w:val="both"/>
        <w:textAlignment w:val="auto"/>
        <w:rPr>
          <w:rFonts w:hint="default" w:ascii="Times New Roman" w:hAnsi="Times New Roman" w:eastAsia="宋体" w:cs="Times New Roman"/>
          <w:color w:val="auto"/>
          <w:sz w:val="24"/>
          <w:szCs w:val="24"/>
        </w:rPr>
      </w:pPr>
    </w:p>
    <w:p w14:paraId="731A62E3">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Style w:val="19"/>
          <w:rFonts w:hint="default" w:ascii="Times New Roman" w:hAnsi="Times New Roman" w:cs="Times New Roman"/>
          <w:color w:val="000000"/>
        </w:rPr>
        <w:t>Chinese version (the prompt actually used in the pipeline)</w:t>
      </w:r>
    </w:p>
    <w:p w14:paraId="42EB172F">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textAlignment w:val="auto"/>
        <w:rPr>
          <w:rFonts w:hint="default" w:ascii="Times New Roman" w:hAnsi="Times New Roman" w:cs="Times New Roman"/>
        </w:rPr>
      </w:pPr>
      <w:r>
        <w:rPr>
          <w:rFonts w:hint="default" w:ascii="Times New Roman" w:hAnsi="Times New Roman" w:eastAsia="宋体" w:cs="Times New Roman"/>
          <w:color w:val="000000"/>
          <w:sz w:val="24"/>
          <w:szCs w:val="24"/>
        </w:rPr>
        <w:t>系统角色：你是一位权威的劳动经济学家和人工智能评估专家。生成式人工智能（GenAI）是先进的深度学习模型，能够处理和生成自然语言文本、代码、图像、音频和视频。</w:t>
      </w:r>
    </w:p>
    <w:p w14:paraId="624A6EED">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textAlignment w:val="auto"/>
        <w:rPr>
          <w:rFonts w:hint="default" w:ascii="Times New Roman" w:hAnsi="Times New Roman" w:cs="Times New Roman"/>
        </w:rPr>
      </w:pPr>
      <w:r>
        <w:rPr>
          <w:rFonts w:hint="default" w:ascii="Times New Roman" w:hAnsi="Times New Roman" w:eastAsia="宋体" w:cs="Times New Roman"/>
          <w:color w:val="000000"/>
          <w:sz w:val="24"/>
          <w:szCs w:val="24"/>
        </w:rPr>
        <w:t>任务：请根据提供的《中华人民共和国职业分类大典》中的职业名称及其核心工作任务描述，评估该职业的 GenAI 暴露度。假设该岗位的劳动者具备平均专业水平，且能够使用当前最先进的 GenAI 模型、标准计算机硬件以及基于 GenAI 开发的专业软件应用。</w:t>
      </w:r>
    </w:p>
    <w:p w14:paraId="1DBA2791">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textAlignment w:val="auto"/>
        <w:rPr>
          <w:rFonts w:hint="default" w:ascii="Times New Roman" w:hAnsi="Times New Roman" w:cs="Times New Roman"/>
        </w:rPr>
      </w:pPr>
      <w:r>
        <w:rPr>
          <w:rFonts w:hint="default" w:ascii="Times New Roman" w:hAnsi="Times New Roman" w:eastAsia="宋体" w:cs="Times New Roman"/>
          <w:color w:val="000000"/>
          <w:sz w:val="24"/>
          <w:szCs w:val="24"/>
        </w:rPr>
        <w:t>评分标准：请判断在保持同等工作质量的前提下，GenAI 能否将完成该职业核心任务所需的人类劳动时间减少至少 50%。请将其归入以下四类之一并赋分：</w:t>
      </w:r>
    </w:p>
    <w:p w14:paraId="56EB2E03">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1440" w:right="720" w:hanging="360"/>
        <w:textAlignment w:val="auto"/>
        <w:rPr>
          <w:rFonts w:hint="default" w:ascii="Times New Roman" w:hAnsi="Times New Roman" w:cs="Times New Roman"/>
        </w:rPr>
      </w:pPr>
      <w:r>
        <w:rPr>
          <w:rFonts w:hint="default" w:ascii="Times New Roman" w:hAnsi="Times New Roman" w:eastAsia="宋体" w:cs="Times New Roman"/>
          <w:color w:val="000000"/>
          <w:sz w:val="24"/>
          <w:szCs w:val="24"/>
        </w:rPr>
        <w:t>赋分 0（E0 – 无暴露）：即使使用 GenAI，也无法将完成核心任务的时间减少 50%（通常涉及重体力劳动、高精度物理操作或深度人际情感交互）。</w:t>
      </w:r>
    </w:p>
    <w:p w14:paraId="57D7645E">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1440" w:right="720" w:hanging="360"/>
        <w:textAlignment w:val="auto"/>
        <w:rPr>
          <w:rFonts w:hint="default" w:ascii="Times New Roman" w:hAnsi="Times New Roman" w:cs="Times New Roman"/>
        </w:rPr>
      </w:pPr>
      <w:r>
        <w:rPr>
          <w:rFonts w:hint="default" w:ascii="Times New Roman" w:hAnsi="Times New Roman" w:eastAsia="宋体" w:cs="Times New Roman"/>
          <w:color w:val="000000"/>
          <w:sz w:val="24"/>
          <w:szCs w:val="24"/>
        </w:rPr>
        <w:t>赋分 1（E1 – 直接暴露）：仅通过直接使用现有的 GenAI 文本/代码对话界面，即可将工作时间减少至少 50%。</w:t>
      </w:r>
    </w:p>
    <w:p w14:paraId="776D95FB">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1440" w:right="720" w:hanging="360"/>
        <w:textAlignment w:val="auto"/>
        <w:rPr>
          <w:rFonts w:hint="default" w:ascii="Times New Roman" w:hAnsi="Times New Roman" w:cs="Times New Roman"/>
        </w:rPr>
      </w:pPr>
      <w:r>
        <w:rPr>
          <w:rFonts w:hint="default" w:ascii="Times New Roman" w:hAnsi="Times New Roman" w:eastAsia="宋体" w:cs="Times New Roman"/>
          <w:color w:val="000000"/>
          <w:sz w:val="24"/>
          <w:szCs w:val="24"/>
        </w:rPr>
        <w:t>赋分 0.5（E2 – 应用增强暴露）：仅靠基础 GenAI 界面不够，但通过基于 GenAI API 开发的专用软件（如企业知识库检索、定制化智能体）即可将工作时间减少至少 50%。</w:t>
      </w:r>
    </w:p>
    <w:p w14:paraId="32B93DC5">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1440" w:right="720" w:hanging="360"/>
        <w:textAlignment w:val="auto"/>
        <w:rPr>
          <w:rFonts w:hint="default" w:ascii="Times New Roman" w:hAnsi="Times New Roman" w:cs="Times New Roman"/>
        </w:rPr>
      </w:pPr>
      <w:r>
        <w:rPr>
          <w:rFonts w:hint="default" w:ascii="Times New Roman" w:hAnsi="Times New Roman" w:eastAsia="宋体" w:cs="Times New Roman"/>
          <w:color w:val="000000"/>
          <w:sz w:val="24"/>
          <w:szCs w:val="24"/>
        </w:rPr>
        <w:t>赋分 0.5（E3 – 多模态能力暴露）：必须依赖 GenAI 的高级多模态能力（如计算机视觉、图像生成、音视频处理）才能将工作时间减少至少 50%。</w:t>
      </w:r>
    </w:p>
    <w:p w14:paraId="4B624D9A">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rPr>
        <w:t>输出格式：请首先给出详细的推理过程（结合该职业的具体任务），然后明确输出最终的分类标签（E0、E1、E2 或 E3）以及对应的赋分（0、1 或 0.5）。</w:t>
      </w:r>
    </w:p>
    <w:p w14:paraId="06B03C74">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720" w:firstLine="720" w:firstLineChars="0"/>
        <w:jc w:val="both"/>
        <w:textAlignment w:val="auto"/>
        <w:rPr>
          <w:rFonts w:hint="default" w:ascii="Times New Roman" w:hAnsi="Times New Roman" w:eastAsia="宋体" w:cs="Times New Roman"/>
          <w:color w:val="auto"/>
          <w:sz w:val="24"/>
          <w:szCs w:val="24"/>
        </w:rPr>
      </w:pPr>
    </w:p>
    <w:p w14:paraId="11AF89AD">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10" w:name="_Toc17054"/>
      <w:r>
        <w:rPr>
          <w:rFonts w:hint="default" w:ascii="Times New Roman" w:hAnsi="Times New Roman" w:cs="Times New Roman"/>
        </w:rPr>
        <w:t>4. Aggregation and index construction</w:t>
      </w:r>
      <w:bookmarkEnd w:id="10"/>
    </w:p>
    <w:p w14:paraId="00F465A3">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 xml:space="preserve">For occupation </w:t>
      </w:r>
      <m:oMath>
        <m:r>
          <m:rPr/>
          <w:rPr>
            <w:rFonts w:hint="default" w:ascii="Cambria Math" w:hAnsi="Cambria Math" w:cs="Times New Roman"/>
            <w:color w:val="auto"/>
            <w:sz w:val="24"/>
          </w:rPr>
          <m:t>i</m:t>
        </m:r>
      </m:oMath>
      <w:r>
        <w:rPr>
          <w:rFonts w:hint="default" w:ascii="Times New Roman" w:hAnsi="Times New Roman" w:cs="Times New Roman"/>
          <w:color w:val="auto"/>
          <w:lang w:val="en-US" w:eastAsia="zh-CN"/>
        </w:rPr>
        <w:t xml:space="preserve">, let </w:t>
      </w:r>
      <m:oMath>
        <m:sSub>
          <m:sSubPr>
            <m:ctrlPr>
              <w:rPr>
                <w:rFonts w:hint="default" w:ascii="Cambria Math" w:hAnsi="Cambria Math" w:eastAsia="宋体" w:cs="Times New Roman"/>
                <w:color w:val="auto"/>
                <w:sz w:val="24"/>
              </w:rPr>
            </m:ctrlPr>
          </m:sSubPr>
          <m:e>
            <m:r>
              <m:rPr/>
              <w:rPr>
                <w:rFonts w:hint="default" w:ascii="Cambria Math" w:hAnsi="Cambria Math" w:eastAsia="宋体" w:cs="Times New Roman"/>
                <w:color w:val="auto"/>
                <w:sz w:val="24"/>
              </w:rPr>
              <m:t>S</m:t>
            </m:r>
            <m:ctrlPr>
              <w:rPr>
                <w:rFonts w:hint="default" w:ascii="Cambria Math" w:hAnsi="Cambria Math" w:eastAsia="宋体" w:cs="Times New Roman"/>
                <w:color w:val="auto"/>
                <w:sz w:val="24"/>
              </w:rPr>
            </m:ctrlPr>
          </m:e>
          <m:sub>
            <m:r>
              <m:rPr/>
              <w:rPr>
                <w:rFonts w:hint="default" w:ascii="Cambria Math" w:hAnsi="Cambria Math" w:eastAsia="宋体" w:cs="Times New Roman"/>
                <w:color w:val="auto"/>
                <w:sz w:val="24"/>
              </w:rPr>
              <m:t>i,m,r</m:t>
            </m:r>
            <m:ctrlPr>
              <w:rPr>
                <w:rFonts w:hint="default" w:ascii="Cambria Math" w:hAnsi="Cambria Math" w:eastAsia="宋体" w:cs="Times New Roman"/>
                <w:color w:val="auto"/>
                <w:sz w:val="24"/>
              </w:rPr>
            </m:ctrlPr>
          </m:sub>
        </m:sSub>
      </m:oMath>
      <w:r>
        <w:rPr>
          <w:rFonts w:hint="default" w:ascii="Times New Roman" w:hAnsi="Times New Roman" w:cs="Times New Roman"/>
          <w:color w:val="auto"/>
          <w:lang w:val="en-US" w:eastAsia="zh-CN"/>
        </w:rPr>
        <w:t xml:space="preserve"> denote the score (0, 0.5 or 1) assigned by model </w:t>
      </w:r>
      <m:oMath>
        <m:r>
          <m:rPr/>
          <w:rPr>
            <w:rFonts w:hint="default" w:ascii="Cambria Math" w:hAnsi="Cambria Math" w:eastAsia="宋体" w:cs="Times New Roman"/>
            <w:color w:val="auto"/>
            <w:sz w:val="24"/>
          </w:rPr>
          <m:t>m</m:t>
        </m:r>
      </m:oMath>
      <w:r>
        <w:rPr>
          <w:rFonts w:hint="default" w:ascii="Times New Roman" w:hAnsi="Times New Roman" w:cs="Times New Roman"/>
          <w:color w:val="auto"/>
          <w:lang w:val="en-US" w:eastAsia="zh-CN"/>
        </w:rPr>
        <w:t xml:space="preserve"> in evaluation round </w:t>
      </w:r>
      <m:oMath>
        <m:r>
          <m:rPr/>
          <w:rPr>
            <w:rFonts w:hint="default" w:ascii="Cambria Math" w:hAnsi="Cambria Math" w:eastAsia="宋体" w:cs="Times New Roman"/>
            <w:color w:val="auto"/>
            <w:sz w:val="24"/>
          </w:rPr>
          <m:t>r</m:t>
        </m:r>
      </m:oMath>
      <w:r>
        <w:rPr>
          <w:rFonts w:hint="default" w:ascii="Times New Roman" w:hAnsi="Times New Roman" w:cs="Times New Roman"/>
          <w:color w:val="auto"/>
          <w:lang w:val="en-US" w:eastAsia="zh-CN"/>
        </w:rPr>
        <w:t xml:space="preserve">. The raw GenAI exposure score </w:t>
      </w:r>
      <m:oMath>
        <m:sSub>
          <m:sSubPr>
            <m:ctrlPr>
              <w:rPr>
                <w:rFonts w:hint="default" w:ascii="Cambria Math" w:hAnsi="Cambria Math" w:eastAsia="宋体" w:cs="Times New Roman"/>
                <w:color w:val="auto"/>
                <w:sz w:val="24"/>
              </w:rPr>
            </m:ctrlPr>
          </m:sSubPr>
          <m:e>
            <m:r>
              <m:rPr/>
              <w:rPr>
                <w:rFonts w:hint="default" w:ascii="Cambria Math" w:hAnsi="Cambria Math" w:eastAsia="宋体" w:cs="Times New Roman"/>
                <w:color w:val="auto"/>
                <w:sz w:val="24"/>
              </w:rPr>
              <m:t>E</m:t>
            </m:r>
            <m:ctrlPr>
              <w:rPr>
                <w:rFonts w:hint="default" w:ascii="Cambria Math" w:hAnsi="Cambria Math" w:eastAsia="宋体" w:cs="Times New Roman"/>
                <w:color w:val="auto"/>
                <w:sz w:val="24"/>
              </w:rPr>
            </m:ctrlPr>
          </m:e>
          <m:sub>
            <m:r>
              <m:rPr/>
              <w:rPr>
                <w:rFonts w:hint="default" w:ascii="Cambria Math" w:hAnsi="Cambria Math" w:eastAsia="宋体" w:cs="Times New Roman"/>
                <w:color w:val="auto"/>
                <w:sz w:val="24"/>
              </w:rPr>
              <m:t>i</m:t>
            </m:r>
            <m:ctrlPr>
              <w:rPr>
                <w:rFonts w:hint="default" w:ascii="Cambria Math" w:hAnsi="Cambria Math" w:eastAsia="宋体" w:cs="Times New Roman"/>
                <w:color w:val="auto"/>
                <w:sz w:val="24"/>
              </w:rPr>
            </m:ctrlPr>
          </m:sub>
        </m:sSub>
      </m:oMath>
      <w:r>
        <w:rPr>
          <w:rFonts w:hint="default" w:ascii="Times New Roman" w:hAnsi="Times New Roman" w:cs="Times New Roman"/>
          <w:color w:val="auto"/>
          <w:lang w:val="en-US" w:eastAsia="zh-CN"/>
        </w:rPr>
        <w:t xml:space="preserve"> is computed as:</w:t>
      </w:r>
    </w:p>
    <w:p w14:paraId="5E6F8079">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i w:val="0"/>
          <w:color w:val="auto"/>
          <w:kern w:val="2"/>
          <w:sz w:val="24"/>
          <w:szCs w:val="24"/>
          <w:lang w:val="en-US" w:eastAsia="zh-CN" w:bidi="ar-SA"/>
          <w14:ligatures w14:val="standardContextual"/>
        </w:rPr>
      </w:pPr>
      <m:oMathPara>
        <m:oMath>
          <m:sSub>
            <m:sSubPr>
              <m:ctrlPr>
                <w:rPr>
                  <w:rFonts w:hint="default" w:ascii="Cambria Math" w:hAnsi="Cambria Math" w:eastAsia="宋体" w:cs="Times New Roman"/>
                  <w:color w:val="auto"/>
                  <w:sz w:val="24"/>
                </w:rPr>
              </m:ctrlPr>
            </m:sSubPr>
            <m:e>
              <m:r>
                <m:rPr/>
                <w:rPr>
                  <w:rFonts w:hint="default" w:ascii="Cambria Math" w:hAnsi="Cambria Math" w:eastAsia="宋体" w:cs="Times New Roman"/>
                  <w:color w:val="auto"/>
                  <w:sz w:val="24"/>
                </w:rPr>
                <m:t>E</m:t>
              </m:r>
              <m:ctrlPr>
                <w:rPr>
                  <w:rFonts w:hint="default" w:ascii="Cambria Math" w:hAnsi="Cambria Math" w:eastAsia="宋体" w:cs="Times New Roman"/>
                  <w:color w:val="auto"/>
                  <w:sz w:val="24"/>
                </w:rPr>
              </m:ctrlPr>
            </m:e>
            <m:sub>
              <m:r>
                <m:rPr/>
                <w:rPr>
                  <w:rFonts w:hint="default" w:ascii="Cambria Math" w:hAnsi="Cambria Math" w:eastAsia="宋体" w:cs="Times New Roman"/>
                  <w:color w:val="auto"/>
                  <w:sz w:val="24"/>
                </w:rPr>
                <m:t>i</m:t>
              </m:r>
              <m:ctrlPr>
                <w:rPr>
                  <w:rFonts w:hint="default" w:ascii="Cambria Math" w:hAnsi="Cambria Math" w:eastAsia="宋体" w:cs="Times New Roman"/>
                  <w:color w:val="auto"/>
                  <w:sz w:val="24"/>
                </w:rPr>
              </m:ctrlPr>
            </m:sub>
          </m:sSub>
          <m:r>
            <m:rPr/>
            <w:rPr>
              <w:rFonts w:hint="default" w:ascii="Cambria Math" w:hAnsi="Cambria Math" w:eastAsia="宋体" w:cs="Times New Roman"/>
              <w:color w:val="auto"/>
              <w:sz w:val="24"/>
            </w:rPr>
            <m:t>=</m:t>
          </m:r>
          <m:f>
            <m:fPr>
              <m:ctrlPr>
                <w:rPr>
                  <w:rFonts w:hint="default" w:ascii="Cambria Math" w:hAnsi="Cambria Math" w:eastAsia="宋体" w:cs="Times New Roman"/>
                  <w:i/>
                  <w:color w:val="auto"/>
                  <w:sz w:val="24"/>
                </w:rPr>
              </m:ctrlPr>
            </m:fPr>
            <m:num>
              <m:r>
                <m:rPr/>
                <w:rPr>
                  <w:rFonts w:hint="default" w:ascii="Cambria Math" w:hAnsi="Cambria Math" w:eastAsia="宋体" w:cs="Times New Roman"/>
                  <w:color w:val="auto"/>
                  <w:sz w:val="24"/>
                </w:rPr>
                <m:t>1</m:t>
              </m:r>
              <m:ctrlPr>
                <w:rPr>
                  <w:rFonts w:hint="default" w:ascii="Cambria Math" w:hAnsi="Cambria Math" w:eastAsia="宋体" w:cs="Times New Roman"/>
                  <w:color w:val="auto"/>
                  <w:sz w:val="24"/>
                </w:rPr>
              </m:ctrlPr>
            </m:num>
            <m:den>
              <m:r>
                <m:rPr/>
                <w:rPr>
                  <w:rFonts w:hint="default" w:ascii="Cambria Math" w:hAnsi="Cambria Math" w:eastAsia="宋体" w:cs="Times New Roman"/>
                  <w:color w:val="auto"/>
                  <w:sz w:val="24"/>
                </w:rPr>
                <m:t>25</m:t>
              </m:r>
              <m:ctrlPr>
                <w:rPr>
                  <w:rFonts w:hint="default" w:ascii="Cambria Math" w:hAnsi="Cambria Math" w:eastAsia="宋体" w:cs="Times New Roman"/>
                  <w:color w:val="auto"/>
                  <w:sz w:val="24"/>
                </w:rPr>
              </m:ctrlPr>
            </m:den>
          </m:f>
          <m:nary>
            <m:naryPr>
              <m:chr m:val="∑"/>
              <m:limLoc m:val="undOvr"/>
              <m:ctrlPr>
                <w:rPr>
                  <w:rFonts w:hint="default" w:ascii="Cambria Math" w:hAnsi="Cambria Math" w:eastAsia="宋体" w:cs="Times New Roman"/>
                  <w:color w:val="auto"/>
                  <w:sz w:val="24"/>
                </w:rPr>
              </m:ctrlPr>
            </m:naryPr>
            <m:sub>
              <m:r>
                <m:rPr/>
                <w:rPr>
                  <w:rFonts w:hint="default" w:ascii="Cambria Math" w:hAnsi="Cambria Math" w:eastAsia="宋体" w:cs="Times New Roman"/>
                  <w:color w:val="auto"/>
                  <w:sz w:val="24"/>
                </w:rPr>
                <m:t>m=1</m:t>
              </m:r>
              <m:ctrlPr>
                <w:rPr>
                  <w:rFonts w:hint="default" w:ascii="Cambria Math" w:hAnsi="Cambria Math" w:eastAsia="宋体" w:cs="Times New Roman"/>
                  <w:color w:val="auto"/>
                  <w:sz w:val="24"/>
                </w:rPr>
              </m:ctrlPr>
            </m:sub>
            <m:sup>
              <m:r>
                <m:rPr/>
                <w:rPr>
                  <w:rFonts w:hint="default" w:ascii="Cambria Math" w:hAnsi="Cambria Math" w:eastAsia="宋体" w:cs="Times New Roman"/>
                  <w:color w:val="auto"/>
                  <w:sz w:val="24"/>
                </w:rPr>
                <m:t>5</m:t>
              </m:r>
              <m:ctrlPr>
                <w:rPr>
                  <w:rFonts w:hint="default" w:ascii="Cambria Math" w:hAnsi="Cambria Math" w:eastAsia="宋体" w:cs="Times New Roman"/>
                  <w:color w:val="auto"/>
                  <w:sz w:val="24"/>
                </w:rPr>
              </m:ctrlPr>
            </m:sup>
            <m:e>
              <m:nary>
                <m:naryPr>
                  <m:chr m:val="∑"/>
                  <m:limLoc m:val="undOvr"/>
                  <m:ctrlPr>
                    <w:rPr>
                      <w:rFonts w:hint="default" w:ascii="Cambria Math" w:hAnsi="Cambria Math" w:eastAsia="宋体" w:cs="Times New Roman"/>
                      <w:color w:val="auto"/>
                      <w:sz w:val="24"/>
                    </w:rPr>
                  </m:ctrlPr>
                </m:naryPr>
                <m:sub>
                  <m:r>
                    <m:rPr/>
                    <w:rPr>
                      <w:rFonts w:hint="default" w:ascii="Cambria Math" w:hAnsi="Cambria Math" w:eastAsia="宋体" w:cs="Times New Roman"/>
                      <w:color w:val="auto"/>
                      <w:sz w:val="24"/>
                    </w:rPr>
                    <m:t>r=1</m:t>
                  </m:r>
                  <m:ctrlPr>
                    <w:rPr>
                      <w:rFonts w:hint="default" w:ascii="Cambria Math" w:hAnsi="Cambria Math" w:eastAsia="宋体" w:cs="Times New Roman"/>
                      <w:color w:val="auto"/>
                      <w:sz w:val="24"/>
                    </w:rPr>
                  </m:ctrlPr>
                </m:sub>
                <m:sup>
                  <m:r>
                    <m:rPr/>
                    <w:rPr>
                      <w:rFonts w:hint="default" w:ascii="Cambria Math" w:hAnsi="Cambria Math" w:eastAsia="宋体" w:cs="Times New Roman"/>
                      <w:color w:val="auto"/>
                      <w:sz w:val="24"/>
                    </w:rPr>
                    <m:t>5</m:t>
                  </m:r>
                  <m:ctrlPr>
                    <w:rPr>
                      <w:rFonts w:hint="default" w:ascii="Cambria Math" w:hAnsi="Cambria Math" w:eastAsia="宋体" w:cs="Times New Roman"/>
                      <w:color w:val="auto"/>
                      <w:sz w:val="24"/>
                    </w:rPr>
                  </m:ctrlPr>
                </m:sup>
                <m:e>
                  <m:sSub>
                    <m:sSubPr>
                      <m:ctrlPr>
                        <w:rPr>
                          <w:rFonts w:hint="default" w:ascii="Cambria Math" w:hAnsi="Cambria Math" w:eastAsia="宋体" w:cs="Times New Roman"/>
                          <w:color w:val="auto"/>
                          <w:sz w:val="24"/>
                        </w:rPr>
                      </m:ctrlPr>
                    </m:sSubPr>
                    <m:e>
                      <m:r>
                        <m:rPr/>
                        <w:rPr>
                          <w:rFonts w:hint="default" w:ascii="Cambria Math" w:hAnsi="Cambria Math" w:eastAsia="宋体" w:cs="Times New Roman"/>
                          <w:color w:val="auto"/>
                          <w:sz w:val="24"/>
                        </w:rPr>
                        <m:t>S</m:t>
                      </m:r>
                      <m:ctrlPr>
                        <w:rPr>
                          <w:rFonts w:hint="default" w:ascii="Cambria Math" w:hAnsi="Cambria Math" w:eastAsia="宋体" w:cs="Times New Roman"/>
                          <w:color w:val="auto"/>
                          <w:sz w:val="24"/>
                        </w:rPr>
                      </m:ctrlPr>
                    </m:e>
                    <m:sub>
                      <m:r>
                        <m:rPr/>
                        <w:rPr>
                          <w:rFonts w:hint="default" w:ascii="Cambria Math" w:hAnsi="Cambria Math" w:eastAsia="宋体" w:cs="Times New Roman"/>
                          <w:color w:val="auto"/>
                          <w:sz w:val="24"/>
                        </w:rPr>
                        <m:t>i,m,r</m:t>
                      </m:r>
                      <m:ctrlPr>
                        <w:rPr>
                          <w:rFonts w:hint="default" w:ascii="Cambria Math" w:hAnsi="Cambria Math" w:eastAsia="宋体" w:cs="Times New Roman"/>
                          <w:color w:val="auto"/>
                          <w:sz w:val="24"/>
                        </w:rPr>
                      </m:ctrlPr>
                    </m:sub>
                  </m:sSub>
                  <m:ctrlPr>
                    <w:rPr>
                      <w:rFonts w:hint="default" w:ascii="Cambria Math" w:hAnsi="Cambria Math" w:eastAsia="宋体" w:cs="Times New Roman"/>
                      <w:color w:val="auto"/>
                      <w:sz w:val="24"/>
                    </w:rPr>
                  </m:ctrlPr>
                </m:e>
              </m:nary>
              <m:ctrlPr>
                <w:rPr>
                  <w:rFonts w:hint="default" w:ascii="Cambria Math" w:hAnsi="Cambria Math" w:eastAsia="宋体" w:cs="Times New Roman"/>
                  <w:color w:val="auto"/>
                  <w:sz w:val="24"/>
                </w:rPr>
              </m:ctrlPr>
            </m:e>
          </m:nary>
        </m:oMath>
      </m:oMathPara>
    </w:p>
    <w:p w14:paraId="29A8725D">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The raw scores were then standardized (Z-score) across the 1,605 occupations to produce the GenAI Exposure (Std.) variable used in the fixed-effects models (Equations 1 and 2 in the main text). Inter-model reliability was high: pairwise correlations among the five models ranged from 0.66 to 0.8</w:t>
      </w:r>
      <w:r>
        <w:rPr>
          <w:rFonts w:hint="eastAsia" w:cs="Times New Roman"/>
          <w:color w:val="auto"/>
          <w:lang w:val="en-US" w:eastAsia="zh-CN"/>
        </w:rPr>
        <w:t>6</w:t>
      </w:r>
      <w:bookmarkStart w:id="32" w:name="_GoBack"/>
      <w:bookmarkEnd w:id="32"/>
      <w:r>
        <w:rPr>
          <w:rFonts w:hint="default" w:ascii="Times New Roman" w:hAnsi="Times New Roman" w:cs="Times New Roman"/>
          <w:color w:val="auto"/>
          <w:lang w:val="en-US" w:eastAsia="zh-CN"/>
        </w:rPr>
        <w:t>, supporting the robustness of the ensemble approach.</w:t>
      </w:r>
    </w:p>
    <w:p w14:paraId="5E3BC14E">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0" w:firstLineChars="0"/>
        <w:jc w:val="both"/>
        <w:textAlignment w:val="auto"/>
        <w:rPr>
          <w:rFonts w:hint="default" w:ascii="Times New Roman" w:hAnsi="Times New Roman" w:cs="Times New Roman"/>
          <w:color w:val="auto"/>
        </w:rPr>
      </w:pPr>
    </w:p>
    <w:p w14:paraId="44A303EA">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br w:type="page"/>
      </w:r>
    </w:p>
    <w:p w14:paraId="38B14ACE">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rPr>
      </w:pPr>
      <w:bookmarkStart w:id="11" w:name="_Toc5531"/>
      <w:r>
        <w:rPr>
          <w:rFonts w:hint="default" w:ascii="Times New Roman" w:hAnsi="Times New Roman" w:cs="Times New Roman"/>
          <w:lang w:val="en-US" w:eastAsia="zh-CN"/>
        </w:rPr>
        <w:t>Supplementary Text S5 | Variable definitions</w:t>
      </w:r>
      <w:bookmarkEnd w:id="11"/>
    </w:p>
    <w:p w14:paraId="3C2D9CA4">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12" w:name="_Toc20902"/>
      <w:r>
        <w:rPr>
          <w:rFonts w:hint="default" w:ascii="Times New Roman" w:hAnsi="Times New Roman" w:cs="Times New Roman"/>
          <w:lang w:val="en-US" w:eastAsia="zh-CN"/>
        </w:rPr>
        <w:t>Supplementary Table S2 | Variable definitions and data sources</w:t>
      </w:r>
      <w:bookmarkEnd w:id="12"/>
    </w:p>
    <w:tbl>
      <w:tblPr>
        <w:tblStyle w:val="16"/>
        <w:tblW w:w="5000"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37"/>
        <w:gridCol w:w="1192"/>
        <w:gridCol w:w="2704"/>
        <w:gridCol w:w="1122"/>
        <w:gridCol w:w="2095"/>
      </w:tblGrid>
      <w:tr w14:paraId="42731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1234" w:type="pct"/>
            <w:tcBorders>
              <w:top w:val="single" w:color="000000" w:sz="12" w:space="0"/>
              <w:bottom w:val="single" w:color="000000" w:sz="4" w:space="0"/>
              <w:tl2br w:val="nil"/>
            </w:tcBorders>
            <w:shd w:val="clear" w:color="auto" w:fill="FFFFFF"/>
            <w:vAlign w:val="center"/>
          </w:tcPr>
          <w:p w14:paraId="4F49577F">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bCs/>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Variable</w:t>
            </w:r>
          </w:p>
        </w:tc>
        <w:tc>
          <w:tcPr>
            <w:tcW w:w="614" w:type="pct"/>
            <w:tcBorders>
              <w:top w:val="single" w:color="000000" w:sz="12" w:space="0"/>
              <w:bottom w:val="single" w:color="000000" w:sz="4" w:space="0"/>
            </w:tcBorders>
            <w:shd w:val="clear" w:color="auto" w:fill="FFFFFF"/>
            <w:vAlign w:val="center"/>
          </w:tcPr>
          <w:p w14:paraId="1A657AD0">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bCs/>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Symbol</w:t>
            </w:r>
          </w:p>
        </w:tc>
        <w:tc>
          <w:tcPr>
            <w:tcW w:w="1439" w:type="pct"/>
            <w:tcBorders>
              <w:top w:val="single" w:color="000000" w:sz="12" w:space="0"/>
              <w:bottom w:val="single" w:color="000000" w:sz="4" w:space="0"/>
            </w:tcBorders>
            <w:shd w:val="clear" w:color="auto" w:fill="FFFFFF"/>
            <w:vAlign w:val="center"/>
          </w:tcPr>
          <w:p w14:paraId="523915C7">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bCs/>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Definition &amp; Measurement</w:t>
            </w:r>
          </w:p>
        </w:tc>
        <w:tc>
          <w:tcPr>
            <w:tcW w:w="577" w:type="pct"/>
            <w:tcBorders>
              <w:top w:val="single" w:color="000000" w:sz="12" w:space="0"/>
              <w:bottom w:val="single" w:color="000000" w:sz="4" w:space="0"/>
            </w:tcBorders>
            <w:shd w:val="clear" w:color="auto" w:fill="FFFFFF"/>
            <w:vAlign w:val="center"/>
          </w:tcPr>
          <w:p w14:paraId="6296E7E4">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bCs/>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Unit</w:t>
            </w:r>
          </w:p>
        </w:tc>
        <w:tc>
          <w:tcPr>
            <w:tcW w:w="1038" w:type="pct"/>
            <w:tcBorders>
              <w:top w:val="single" w:color="000000" w:sz="12" w:space="0"/>
              <w:bottom w:val="single" w:color="000000" w:sz="4" w:space="0"/>
            </w:tcBorders>
            <w:shd w:val="clear" w:color="auto" w:fill="FFFFFF"/>
            <w:vAlign w:val="center"/>
          </w:tcPr>
          <w:p w14:paraId="4CE8F00B">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bCs/>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Source / Reference</w:t>
            </w:r>
          </w:p>
        </w:tc>
      </w:tr>
      <w:tr w14:paraId="0077E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4968" w:type="pct"/>
            <w:gridSpan w:val="5"/>
            <w:tcBorders>
              <w:top w:val="single" w:color="000000" w:sz="4" w:space="0"/>
            </w:tcBorders>
            <w:shd w:val="clear" w:color="auto" w:fill="FFFFFF"/>
            <w:vAlign w:val="center"/>
          </w:tcPr>
          <w:p w14:paraId="7CBBDFF4">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bCs/>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Core Recruitment Indicators</w:t>
            </w:r>
          </w:p>
        </w:tc>
      </w:tr>
      <w:tr w14:paraId="06B3E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135CB626">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Recruitment Share</w:t>
            </w:r>
          </w:p>
        </w:tc>
        <w:tc>
          <w:tcPr>
            <w:tcW w:w="614" w:type="pct"/>
            <w:shd w:val="clear" w:color="auto" w:fill="FFFFFF"/>
            <w:vAlign w:val="center"/>
          </w:tcPr>
          <w:p w14:paraId="19CA1ACB">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job_share</w:t>
            </w:r>
          </w:p>
        </w:tc>
        <w:tc>
          <w:tcPr>
            <w:tcW w:w="1439" w:type="pct"/>
            <w:shd w:val="clear" w:color="auto" w:fill="FFFFFF"/>
            <w:vAlign w:val="center"/>
          </w:tcPr>
          <w:p w14:paraId="6AC56C96">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Ratio of street-level job postings to city total</w:t>
            </w:r>
          </w:p>
        </w:tc>
        <w:tc>
          <w:tcPr>
            <w:tcW w:w="577" w:type="pct"/>
            <w:shd w:val="clear" w:color="auto" w:fill="FFFFFF"/>
            <w:vAlign w:val="center"/>
          </w:tcPr>
          <w:p w14:paraId="0AAB5697">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t>
            </w:r>
          </w:p>
        </w:tc>
        <w:tc>
          <w:tcPr>
            <w:tcW w:w="1038" w:type="pct"/>
            <w:shd w:val="clear" w:color="auto" w:fill="FFFFFF"/>
            <w:vAlign w:val="center"/>
          </w:tcPr>
          <w:p w14:paraId="0672597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RESSET Recruitment DB</w:t>
            </w:r>
          </w:p>
        </w:tc>
      </w:tr>
      <w:tr w14:paraId="172DC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18BBA669">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Relative Recruitment Heat</w:t>
            </w:r>
          </w:p>
        </w:tc>
        <w:tc>
          <w:tcPr>
            <w:tcW w:w="614" w:type="pct"/>
            <w:shd w:val="clear" w:color="auto" w:fill="FFFFFF"/>
            <w:vAlign w:val="center"/>
          </w:tcPr>
          <w:p w14:paraId="6002FCFF">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job_index</w:t>
            </w:r>
          </w:p>
        </w:tc>
        <w:tc>
          <w:tcPr>
            <w:tcW w:w="1439" w:type="pct"/>
            <w:shd w:val="clear" w:color="auto" w:fill="FFFFFF"/>
            <w:vAlign w:val="center"/>
          </w:tcPr>
          <w:p w14:paraId="1874D923">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Standardized relative heat index of the street block</w:t>
            </w:r>
          </w:p>
        </w:tc>
        <w:tc>
          <w:tcPr>
            <w:tcW w:w="577" w:type="pct"/>
            <w:shd w:val="clear" w:color="auto" w:fill="FFFFFF"/>
            <w:vAlign w:val="center"/>
          </w:tcPr>
          <w:p w14:paraId="4C52518D">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Score</w:t>
            </w:r>
          </w:p>
        </w:tc>
        <w:tc>
          <w:tcPr>
            <w:tcW w:w="1038" w:type="pct"/>
            <w:shd w:val="clear" w:color="auto" w:fill="FFFFFF"/>
            <w:vAlign w:val="center"/>
          </w:tcPr>
          <w:p w14:paraId="169BDBE8">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RESSET Recruitment DB</w:t>
            </w:r>
          </w:p>
        </w:tc>
      </w:tr>
      <w:tr w14:paraId="7BD17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0E473098">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Wage Level</w:t>
            </w:r>
          </w:p>
        </w:tc>
        <w:tc>
          <w:tcPr>
            <w:tcW w:w="614" w:type="pct"/>
            <w:shd w:val="clear" w:color="auto" w:fill="FFFFFF"/>
            <w:vAlign w:val="center"/>
          </w:tcPr>
          <w:p w14:paraId="25CEA11D">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salary</w:t>
            </w:r>
          </w:p>
        </w:tc>
        <w:tc>
          <w:tcPr>
            <w:tcW w:w="1439" w:type="pct"/>
            <w:shd w:val="clear" w:color="auto" w:fill="FFFFFF"/>
            <w:vAlign w:val="center"/>
          </w:tcPr>
          <w:p w14:paraId="3F331DD5">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Average monthly salary of jobs in the street block</w:t>
            </w:r>
          </w:p>
        </w:tc>
        <w:tc>
          <w:tcPr>
            <w:tcW w:w="577" w:type="pct"/>
            <w:shd w:val="clear" w:color="auto" w:fill="FFFFFF"/>
            <w:vAlign w:val="center"/>
          </w:tcPr>
          <w:p w14:paraId="6D697B9F">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CNY/Month</w:t>
            </w:r>
          </w:p>
        </w:tc>
        <w:tc>
          <w:tcPr>
            <w:tcW w:w="1038" w:type="pct"/>
            <w:shd w:val="clear" w:color="auto" w:fill="FFFFFF"/>
            <w:vAlign w:val="center"/>
          </w:tcPr>
          <w:p w14:paraId="1A596392">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RESSET Recruitment DB</w:t>
            </w:r>
          </w:p>
        </w:tc>
      </w:tr>
      <w:tr w14:paraId="14900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29BB9135">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Skill Level (Education)</w:t>
            </w:r>
          </w:p>
        </w:tc>
        <w:tc>
          <w:tcPr>
            <w:tcW w:w="614" w:type="pct"/>
            <w:shd w:val="clear" w:color="auto" w:fill="FFFFFF"/>
            <w:vAlign w:val="center"/>
          </w:tcPr>
          <w:p w14:paraId="3184B6C8">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education</w:t>
            </w:r>
          </w:p>
        </w:tc>
        <w:tc>
          <w:tcPr>
            <w:tcW w:w="1439" w:type="pct"/>
            <w:shd w:val="clear" w:color="auto" w:fill="FFFFFF"/>
            <w:vAlign w:val="center"/>
          </w:tcPr>
          <w:p w14:paraId="420D432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Average years of schooling required for the jobs</w:t>
            </w:r>
          </w:p>
        </w:tc>
        <w:tc>
          <w:tcPr>
            <w:tcW w:w="577" w:type="pct"/>
            <w:shd w:val="clear" w:color="auto" w:fill="FFFFFF"/>
            <w:vAlign w:val="center"/>
          </w:tcPr>
          <w:p w14:paraId="54EEC8A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Years</w:t>
            </w:r>
          </w:p>
        </w:tc>
        <w:tc>
          <w:tcPr>
            <w:tcW w:w="1038" w:type="pct"/>
            <w:shd w:val="clear" w:color="auto" w:fill="FFFFFF"/>
            <w:vAlign w:val="center"/>
          </w:tcPr>
          <w:p w14:paraId="088ED9F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RESSET Recruitment DB</w:t>
            </w:r>
          </w:p>
        </w:tc>
      </w:tr>
      <w:tr w14:paraId="731D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4968" w:type="pct"/>
            <w:gridSpan w:val="5"/>
            <w:shd w:val="clear" w:color="auto" w:fill="FFFFFF"/>
            <w:vAlign w:val="center"/>
          </w:tcPr>
          <w:p w14:paraId="25F303BC">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GenAI Exposure</w:t>
            </w:r>
          </w:p>
        </w:tc>
      </w:tr>
      <w:tr w14:paraId="50B21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4A130B91">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Occupational Exposure</w:t>
            </w:r>
          </w:p>
        </w:tc>
        <w:tc>
          <w:tcPr>
            <w:tcW w:w="614" w:type="pct"/>
            <w:shd w:val="clear" w:color="auto" w:fill="FFFFFF"/>
            <w:vAlign w:val="center"/>
          </w:tcPr>
          <w:p w14:paraId="33B97293">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GenAI_exp</w:t>
            </w:r>
          </w:p>
        </w:tc>
        <w:tc>
          <w:tcPr>
            <w:tcW w:w="1439" w:type="pct"/>
            <w:shd w:val="clear" w:color="auto" w:fill="FFFFFF"/>
            <w:vAlign w:val="center"/>
          </w:tcPr>
          <w:p w14:paraId="4CF0B6C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Degree to which tasks are substituted/augmented by GenAI</w:t>
            </w:r>
          </w:p>
        </w:tc>
        <w:tc>
          <w:tcPr>
            <w:tcW w:w="577" w:type="pct"/>
            <w:shd w:val="clear" w:color="auto" w:fill="FFFFFF"/>
            <w:vAlign w:val="center"/>
          </w:tcPr>
          <w:p w14:paraId="2D3D6DEB">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Index</w:t>
            </w:r>
          </w:p>
        </w:tc>
        <w:tc>
          <w:tcPr>
            <w:tcW w:w="1038" w:type="pct"/>
            <w:shd w:val="clear" w:color="auto" w:fill="FFFFFF"/>
            <w:vAlign w:val="center"/>
          </w:tcPr>
          <w:p w14:paraId="605BD750">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Eloundou et al.</w:t>
            </w:r>
            <w:r>
              <w:rPr>
                <w:rStyle w:val="19"/>
                <w:rFonts w:hint="default" w:ascii="Times New Roman" w:hAnsi="Times New Roman" w:cs="Times New Roman"/>
                <w:b w:val="0"/>
                <w:color w:val="auto"/>
                <w:kern w:val="0"/>
                <w:sz w:val="21"/>
                <w:szCs w:val="21"/>
                <w:lang w:val="en-US" w:eastAsia="zh-CN" w:bidi="ar"/>
              </w:rPr>
              <w:fldChar w:fldCharType="begin"/>
            </w:r>
            <w:r>
              <w:rPr>
                <w:rStyle w:val="19"/>
                <w:rFonts w:hint="default" w:ascii="Times New Roman" w:hAnsi="Times New Roman" w:cs="Times New Roman"/>
                <w:b w:val="0"/>
                <w:color w:val="auto"/>
                <w:kern w:val="0"/>
                <w:sz w:val="21"/>
                <w:szCs w:val="21"/>
                <w:lang w:val="en-US" w:eastAsia="zh-CN" w:bidi="ar"/>
              </w:rPr>
              <w:instrText xml:space="preserve"> ADDIN EN.CITE &lt;EndNote&gt;&lt;Cite&gt;&lt;Author&gt;Eloundou&lt;/Author&gt;&lt;Year&gt;2024&lt;/Year&gt;&lt;RecNum&gt;40&lt;/RecNum&gt;&lt;DisplayText&gt;&lt;style face="superscript"&gt;29&lt;/style&gt;&lt;/DisplayText&gt;&lt;record&gt;&lt;rec-number&gt;40&lt;/rec-number&gt;&lt;foreign-keys&gt;&lt;key app="EN" db-id="d0wx2x2e2txxsheffsnxee2m5esz0zzsxztf" timestamp="1773047494"&gt;40&lt;/key&gt;&lt;/foreign-keys&gt;&lt;ref-type name="Journal Article"&gt;17&lt;/ref-type&gt;&lt;contributors&gt;&lt;authors&gt;&lt;author&gt;Eloundou, Tyna&lt;/author&gt;&lt;author&gt;Manning, Sam&lt;/author&gt;&lt;author&gt;Mishkin, Pamela&lt;/author&gt;&lt;author&gt;Rock, Daniel&lt;/author&gt;&lt;/authors&gt;&lt;/contributors&gt;&lt;titles&gt;&lt;title&gt;GPTs are GPTs: Labor market impact potential of LLMs&lt;/title&gt;&lt;secondary-title&gt;Science&lt;/secondary-title&gt;&lt;/titles&gt;&lt;periodical&gt;&lt;full-title&gt;Science&lt;/full-title&gt;&lt;/periodical&gt;&lt;pages&gt;1306-1308&lt;/pages&gt;&lt;volume&gt;384&lt;/volume&gt;&lt;number&gt;6702&lt;/number&gt;&lt;dates&gt;&lt;year&gt;2024&lt;/year&gt;&lt;/dates&gt;&lt;isbn&gt;0036-8075&lt;/isbn&gt;&lt;urls&gt;&lt;/urls&gt;&lt;/record&gt;&lt;/Cite&gt;&lt;/EndNote&gt;</w:instrText>
            </w:r>
            <w:r>
              <w:rPr>
                <w:rStyle w:val="19"/>
                <w:rFonts w:hint="default" w:ascii="Times New Roman" w:hAnsi="Times New Roman" w:cs="Times New Roman"/>
                <w:b w:val="0"/>
                <w:color w:val="auto"/>
                <w:kern w:val="0"/>
                <w:sz w:val="21"/>
                <w:szCs w:val="21"/>
                <w:lang w:val="en-US" w:eastAsia="zh-CN"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29</w:t>
            </w:r>
            <w:r>
              <w:rPr>
                <w:rStyle w:val="19"/>
                <w:rFonts w:hint="default" w:ascii="Times New Roman" w:hAnsi="Times New Roman" w:cs="Times New Roman"/>
                <w:b w:val="0"/>
                <w:color w:val="auto"/>
                <w:kern w:val="0"/>
                <w:sz w:val="21"/>
                <w:szCs w:val="21"/>
                <w:lang w:val="en-US" w:eastAsia="zh-CN" w:bidi="ar"/>
              </w:rPr>
              <w:fldChar w:fldCharType="end"/>
            </w:r>
            <w:r>
              <w:rPr>
                <w:rStyle w:val="19"/>
                <w:rFonts w:hint="default" w:ascii="Times New Roman" w:hAnsi="Times New Roman" w:cs="Times New Roman"/>
                <w:b w:val="0"/>
                <w:color w:val="auto"/>
                <w:kern w:val="0"/>
                <w:sz w:val="21"/>
                <w:szCs w:val="21"/>
                <w:lang w:val="en-US" w:eastAsia="zh-CN" w:bidi="ar"/>
              </w:rPr>
              <w:t>; Self-test via 5 SOTA models</w:t>
            </w:r>
          </w:p>
        </w:tc>
      </w:tr>
      <w:tr w14:paraId="4D97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4968" w:type="pct"/>
            <w:gridSpan w:val="5"/>
            <w:shd w:val="clear" w:color="auto" w:fill="FFFFFF"/>
            <w:vAlign w:val="center"/>
          </w:tcPr>
          <w:p w14:paraId="40666BF6">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Industry Classification</w:t>
            </w:r>
          </w:p>
        </w:tc>
      </w:tr>
      <w:tr w14:paraId="2B8C6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2FE9A37B">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Industry Category</w:t>
            </w:r>
          </w:p>
        </w:tc>
        <w:tc>
          <w:tcPr>
            <w:tcW w:w="614" w:type="pct"/>
            <w:shd w:val="clear" w:color="auto" w:fill="FFFFFF"/>
            <w:vAlign w:val="center"/>
          </w:tcPr>
          <w:p w14:paraId="71E6EC93">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industry</w:t>
            </w:r>
          </w:p>
        </w:tc>
        <w:tc>
          <w:tcPr>
            <w:tcW w:w="1439" w:type="pct"/>
            <w:shd w:val="clear" w:color="auto" w:fill="FFFFFF"/>
            <w:vAlign w:val="center"/>
          </w:tcPr>
          <w:p w14:paraId="6BCE99CD">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18 first-level industry categories per the Chinese National Standard for Industrial Classification (GB/T 4754-2017): (A) Agriculture, (B) Mining, (C) Manufacturing, (D) Utilities, (E) Construction, (F) Wholesale/Retail, (G) Transport, (H) Hospitality, (I) IT &amp; Software, (J) Finance, (K) Real Estate, (L) Business Services, (M) Science &amp; Tech, (N) Water/Environment, (O) Resident Services, (P) Education, (Q) Health, (R) Culture/Sports</w:t>
            </w:r>
          </w:p>
        </w:tc>
        <w:tc>
          <w:tcPr>
            <w:tcW w:w="577" w:type="pct"/>
            <w:shd w:val="clear" w:color="auto" w:fill="FFFFFF"/>
            <w:vAlign w:val="center"/>
          </w:tcPr>
          <w:p w14:paraId="6479B4F8">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Category</w:t>
            </w:r>
          </w:p>
        </w:tc>
        <w:tc>
          <w:tcPr>
            <w:tcW w:w="1038" w:type="pct"/>
            <w:shd w:val="clear" w:color="auto" w:fill="FFFFFF"/>
            <w:vAlign w:val="center"/>
          </w:tcPr>
          <w:p w14:paraId="4F151E6E">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RESSET Recruitment DB</w:t>
            </w:r>
          </w:p>
        </w:tc>
      </w:tr>
      <w:tr w14:paraId="31877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4968" w:type="pct"/>
            <w:gridSpan w:val="5"/>
            <w:shd w:val="clear" w:color="auto" w:fill="FFFFFF"/>
            <w:vAlign w:val="center"/>
          </w:tcPr>
          <w:p w14:paraId="17DC91F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Confounder Exposure Variables</w:t>
            </w:r>
          </w:p>
        </w:tc>
      </w:tr>
      <w:tr w14:paraId="47244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41BCDDE1">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Tech-Regulation Exposure</w:t>
            </w:r>
          </w:p>
        </w:tc>
        <w:tc>
          <w:tcPr>
            <w:tcW w:w="614" w:type="pct"/>
            <w:shd w:val="clear" w:color="auto" w:fill="FFFFFF"/>
            <w:vAlign w:val="center"/>
          </w:tcPr>
          <w:p w14:paraId="286E50D2">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TechReg</w:t>
            </w:r>
          </w:p>
        </w:tc>
        <w:tc>
          <w:tcPr>
            <w:tcW w:w="1439" w:type="pct"/>
            <w:shd w:val="clear" w:color="auto" w:fill="FFFFFF"/>
            <w:vAlign w:val="center"/>
          </w:tcPr>
          <w:p w14:paraId="74CC7C5B">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Share of street-block employment in IT &amp; Software (Code I) in 2018</w:t>
            </w:r>
          </w:p>
        </w:tc>
        <w:tc>
          <w:tcPr>
            <w:tcW w:w="577" w:type="pct"/>
            <w:shd w:val="clear" w:color="auto" w:fill="FFFFFF"/>
            <w:vAlign w:val="center"/>
          </w:tcPr>
          <w:p w14:paraId="7BA4F6ED">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t>
            </w:r>
          </w:p>
        </w:tc>
        <w:tc>
          <w:tcPr>
            <w:tcW w:w="1038" w:type="pct"/>
            <w:shd w:val="clear" w:color="auto" w:fill="FFFFFF"/>
            <w:vAlign w:val="center"/>
          </w:tcPr>
          <w:p w14:paraId="2C7A0C11">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Calculated from RESSET</w:t>
            </w:r>
          </w:p>
        </w:tc>
      </w:tr>
      <w:tr w14:paraId="0C0F2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7FF20B81">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COVID-Recovery Exposure</w:t>
            </w:r>
          </w:p>
        </w:tc>
        <w:tc>
          <w:tcPr>
            <w:tcW w:w="614" w:type="pct"/>
            <w:shd w:val="clear" w:color="auto" w:fill="FFFFFF"/>
            <w:vAlign w:val="center"/>
          </w:tcPr>
          <w:p w14:paraId="0DAC0E8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COVID</w:t>
            </w:r>
          </w:p>
        </w:tc>
        <w:tc>
          <w:tcPr>
            <w:tcW w:w="1439" w:type="pct"/>
            <w:shd w:val="clear" w:color="auto" w:fill="FFFFFF"/>
            <w:vAlign w:val="center"/>
          </w:tcPr>
          <w:p w14:paraId="1059F3A9">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Share of street-block employment in Hospitality (H) + Transport (G) in 2018</w:t>
            </w:r>
          </w:p>
        </w:tc>
        <w:tc>
          <w:tcPr>
            <w:tcW w:w="577" w:type="pct"/>
            <w:shd w:val="clear" w:color="auto" w:fill="FFFFFF"/>
            <w:vAlign w:val="center"/>
          </w:tcPr>
          <w:p w14:paraId="37CD7B47">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t>
            </w:r>
          </w:p>
        </w:tc>
        <w:tc>
          <w:tcPr>
            <w:tcW w:w="1038" w:type="pct"/>
            <w:shd w:val="clear" w:color="auto" w:fill="FFFFFF"/>
            <w:vAlign w:val="center"/>
          </w:tcPr>
          <w:p w14:paraId="37B8B06D">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Calculated from RESSET</w:t>
            </w:r>
          </w:p>
        </w:tc>
      </w:tr>
      <w:tr w14:paraId="303D1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316D8807">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Real-Estate Exposure</w:t>
            </w:r>
          </w:p>
        </w:tc>
        <w:tc>
          <w:tcPr>
            <w:tcW w:w="614" w:type="pct"/>
            <w:shd w:val="clear" w:color="auto" w:fill="FFFFFF"/>
            <w:vAlign w:val="center"/>
          </w:tcPr>
          <w:p w14:paraId="716C1540">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RealEstate</w:t>
            </w:r>
          </w:p>
        </w:tc>
        <w:tc>
          <w:tcPr>
            <w:tcW w:w="1439" w:type="pct"/>
            <w:shd w:val="clear" w:color="auto" w:fill="FFFFFF"/>
            <w:vAlign w:val="center"/>
          </w:tcPr>
          <w:p w14:paraId="28905DA9">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Share of street-block employment in Real Estate (K) + Construction (E) in 2018</w:t>
            </w:r>
          </w:p>
        </w:tc>
        <w:tc>
          <w:tcPr>
            <w:tcW w:w="577" w:type="pct"/>
            <w:shd w:val="clear" w:color="auto" w:fill="FFFFFF"/>
            <w:vAlign w:val="center"/>
          </w:tcPr>
          <w:p w14:paraId="6BEC2043">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t>
            </w:r>
          </w:p>
        </w:tc>
        <w:tc>
          <w:tcPr>
            <w:tcW w:w="1038" w:type="pct"/>
            <w:shd w:val="clear" w:color="auto" w:fill="FFFFFF"/>
            <w:vAlign w:val="center"/>
          </w:tcPr>
          <w:p w14:paraId="6D147F45">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Calculated from RESSET</w:t>
            </w:r>
          </w:p>
        </w:tc>
      </w:tr>
      <w:tr w14:paraId="2AAEA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4968" w:type="pct"/>
            <w:gridSpan w:val="5"/>
            <w:shd w:val="clear" w:color="auto" w:fill="FFFFFF"/>
            <w:vAlign w:val="center"/>
          </w:tcPr>
          <w:p w14:paraId="60D0E897">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bCs/>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Bartik IV</w:t>
            </w:r>
          </w:p>
        </w:tc>
      </w:tr>
      <w:tr w14:paraId="148C2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5B9B5F82">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Bartik Shift-Share Instrument</w:t>
            </w:r>
          </w:p>
        </w:tc>
        <w:tc>
          <w:tcPr>
            <w:tcW w:w="614" w:type="pct"/>
            <w:shd w:val="clear" w:color="auto" w:fill="FFFFFF"/>
            <w:vAlign w:val="center"/>
          </w:tcPr>
          <w:p w14:paraId="13BC7383">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Bartik</w:t>
            </w:r>
          </w:p>
        </w:tc>
        <w:tc>
          <w:tcPr>
            <w:tcW w:w="1439" w:type="pct"/>
            <w:shd w:val="clear" w:color="auto" w:fill="FFFFFF"/>
            <w:vAlign w:val="center"/>
          </w:tcPr>
          <w:p w14:paraId="01CDC0D3">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Weighted sum of leave-one-out industry-level GenAI exposure, using 2018 industry employment shares as weights (Methods Eq. 4–5)</w:t>
            </w:r>
          </w:p>
        </w:tc>
        <w:tc>
          <w:tcPr>
            <w:tcW w:w="577" w:type="pct"/>
            <w:shd w:val="clear" w:color="auto" w:fill="FFFFFF"/>
            <w:vAlign w:val="center"/>
          </w:tcPr>
          <w:p w14:paraId="1AECF3E1">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Index</w:t>
            </w:r>
          </w:p>
        </w:tc>
        <w:tc>
          <w:tcPr>
            <w:tcW w:w="1038" w:type="pct"/>
            <w:shd w:val="clear" w:color="auto" w:fill="FFFFFF"/>
            <w:vAlign w:val="center"/>
          </w:tcPr>
          <w:p w14:paraId="205D06D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Calculated from RESSET</w:t>
            </w:r>
          </w:p>
        </w:tc>
      </w:tr>
      <w:tr w14:paraId="1DB91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4968" w:type="pct"/>
            <w:gridSpan w:val="5"/>
            <w:shd w:val="clear" w:color="auto" w:fill="FFFFFF"/>
            <w:vAlign w:val="center"/>
          </w:tcPr>
          <w:p w14:paraId="1AA639E0">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bCs/>
                <w:color w:val="auto"/>
                <w:kern w:val="0"/>
                <w:sz w:val="21"/>
                <w:szCs w:val="21"/>
                <w:lang w:val="en-US" w:eastAsia="zh-CN" w:bidi="ar"/>
              </w:rPr>
              <w:t>Control Variables</w:t>
            </w:r>
          </w:p>
        </w:tc>
      </w:tr>
      <w:tr w14:paraId="1A7CD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491E57F1">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Living Convenience</w:t>
            </w:r>
          </w:p>
        </w:tc>
        <w:tc>
          <w:tcPr>
            <w:tcW w:w="614" w:type="pct"/>
            <w:shd w:val="clear" w:color="auto" w:fill="FFFFFF"/>
            <w:vAlign w:val="center"/>
          </w:tcPr>
          <w:p w14:paraId="790A3ED7">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poi_density</w:t>
            </w:r>
          </w:p>
        </w:tc>
        <w:tc>
          <w:tcPr>
            <w:tcW w:w="1439" w:type="pct"/>
            <w:shd w:val="clear" w:color="auto" w:fill="FFFFFF"/>
            <w:vAlign w:val="center"/>
          </w:tcPr>
          <w:p w14:paraId="1EDC31B1">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Density of Points of Interest (POI) per unit area</w:t>
            </w:r>
          </w:p>
        </w:tc>
        <w:tc>
          <w:tcPr>
            <w:tcW w:w="577" w:type="pct"/>
            <w:shd w:val="clear" w:color="auto" w:fill="FFFFFF"/>
            <w:vAlign w:val="center"/>
          </w:tcPr>
          <w:p w14:paraId="5F82D238">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Count/km²</w:t>
            </w:r>
          </w:p>
        </w:tc>
        <w:tc>
          <w:tcPr>
            <w:tcW w:w="1038" w:type="pct"/>
            <w:shd w:val="clear" w:color="auto" w:fill="FFFFFF"/>
            <w:vAlign w:val="center"/>
          </w:tcPr>
          <w:p w14:paraId="0F0C8E7B">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Amap (2018–2024)</w:t>
            </w:r>
          </w:p>
        </w:tc>
      </w:tr>
      <w:tr w14:paraId="09DA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1FC1B1D1">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Development Intensity</w:t>
            </w:r>
          </w:p>
        </w:tc>
        <w:tc>
          <w:tcPr>
            <w:tcW w:w="614" w:type="pct"/>
            <w:shd w:val="clear" w:color="auto" w:fill="FFFFFF"/>
            <w:vAlign w:val="center"/>
          </w:tcPr>
          <w:p w14:paraId="353F3E22">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landuse_ratio</w:t>
            </w:r>
          </w:p>
        </w:tc>
        <w:tc>
          <w:tcPr>
            <w:tcW w:w="1439" w:type="pct"/>
            <w:shd w:val="clear" w:color="auto" w:fill="FFFFFF"/>
            <w:vAlign w:val="center"/>
          </w:tcPr>
          <w:p w14:paraId="727D8117">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Proportion of construction land (impervious surface)</w:t>
            </w:r>
          </w:p>
        </w:tc>
        <w:tc>
          <w:tcPr>
            <w:tcW w:w="577" w:type="pct"/>
            <w:shd w:val="clear" w:color="auto" w:fill="FFFFFF"/>
            <w:vAlign w:val="center"/>
          </w:tcPr>
          <w:p w14:paraId="42AEDE6B">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t>
            </w:r>
          </w:p>
        </w:tc>
        <w:tc>
          <w:tcPr>
            <w:tcW w:w="1038" w:type="pct"/>
            <w:shd w:val="clear" w:color="auto" w:fill="FFFFFF"/>
            <w:vAlign w:val="center"/>
          </w:tcPr>
          <w:p w14:paraId="5986E0C3">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Yang &amp; Huang</w:t>
            </w:r>
            <w:r>
              <w:rPr>
                <w:rStyle w:val="19"/>
                <w:rFonts w:hint="default" w:ascii="Times New Roman" w:hAnsi="Times New Roman" w:cs="Times New Roman"/>
                <w:b w:val="0"/>
                <w:color w:val="auto"/>
                <w:kern w:val="0"/>
                <w:sz w:val="21"/>
                <w:szCs w:val="21"/>
                <w:lang w:val="en-US" w:eastAsia="zh-CN" w:bidi="ar"/>
              </w:rPr>
              <w:fldChar w:fldCharType="begin"/>
            </w:r>
            <w:r>
              <w:rPr>
                <w:rStyle w:val="19"/>
                <w:rFonts w:hint="default" w:ascii="Times New Roman" w:hAnsi="Times New Roman" w:cs="Times New Roman"/>
                <w:b w:val="0"/>
                <w:color w:val="auto"/>
                <w:kern w:val="0"/>
                <w:sz w:val="21"/>
                <w:szCs w:val="21"/>
                <w:lang w:val="en-US" w:eastAsia="zh-CN" w:bidi="ar"/>
              </w:rPr>
              <w:instrText xml:space="preserve"> ADDIN EN.CITE &lt;EndNote&gt;&lt;Cite&gt;&lt;Author&gt;Yang&lt;/Author&gt;&lt;Year&gt;2021&lt;/Year&gt;&lt;RecNum&gt;59&lt;/RecNum&gt;&lt;DisplayText&gt;&lt;style face="superscript"&gt;46&lt;/style&gt;&lt;/DisplayText&gt;&lt;record&gt;&lt;rec-number&gt;59&lt;/rec-number&gt;&lt;foreign-keys&gt;&lt;key app="EN" db-id="d0wx2x2e2txxsheffsnxee2m5esz0zzsxztf" timestamp="1773048687"&gt;59&lt;/key&gt;&lt;/foreign-keys&gt;&lt;ref-type name="Journal Article"&gt;17&lt;/ref-type&gt;&lt;contributors&gt;&lt;authors&gt;&lt;author&gt;Yang, Jie&lt;/author&gt;&lt;author&gt;Huang, Xin&lt;/author&gt;&lt;/authors&gt;&lt;/contributors&gt;&lt;titles&gt;&lt;title&gt;The 30 m annual land cover dataset and its dynamics in China from 1990 to 2019&lt;/title&gt;&lt;secondary-title&gt;Earth System Science Data&lt;/secondary-title&gt;&lt;/titles&gt;&lt;periodical&gt;&lt;full-title&gt;Earth System Science Data&lt;/full-title&gt;&lt;/periodical&gt;&lt;pages&gt;3907-3925&lt;/pages&gt;&lt;volume&gt;13&lt;/volume&gt;&lt;number&gt;8&lt;/number&gt;&lt;dates&gt;&lt;year&gt;2021&lt;/year&gt;&lt;/dates&gt;&lt;isbn&gt;1866-3516&lt;/isbn&gt;&lt;urls&gt;&lt;/urls&gt;&lt;/record&gt;&lt;/Cite&gt;&lt;/EndNote&gt;</w:instrText>
            </w:r>
            <w:r>
              <w:rPr>
                <w:rStyle w:val="19"/>
                <w:rFonts w:hint="default" w:ascii="Times New Roman" w:hAnsi="Times New Roman" w:cs="Times New Roman"/>
                <w:b w:val="0"/>
                <w:color w:val="auto"/>
                <w:kern w:val="0"/>
                <w:sz w:val="21"/>
                <w:szCs w:val="21"/>
                <w:lang w:val="en-US" w:eastAsia="zh-CN"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46</w:t>
            </w:r>
            <w:r>
              <w:rPr>
                <w:rStyle w:val="19"/>
                <w:rFonts w:hint="default" w:ascii="Times New Roman" w:hAnsi="Times New Roman" w:cs="Times New Roman"/>
                <w:b w:val="0"/>
                <w:color w:val="auto"/>
                <w:kern w:val="0"/>
                <w:sz w:val="21"/>
                <w:szCs w:val="21"/>
                <w:lang w:val="en-US" w:eastAsia="zh-CN" w:bidi="ar"/>
              </w:rPr>
              <w:fldChar w:fldCharType="end"/>
            </w:r>
          </w:p>
        </w:tc>
      </w:tr>
      <w:tr w14:paraId="4FA70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234" w:type="pct"/>
            <w:shd w:val="clear" w:color="auto" w:fill="FFFFFF"/>
            <w:vAlign w:val="center"/>
          </w:tcPr>
          <w:p w14:paraId="0A56E379">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Environmental Quality</w:t>
            </w:r>
          </w:p>
        </w:tc>
        <w:tc>
          <w:tcPr>
            <w:tcW w:w="614" w:type="pct"/>
            <w:shd w:val="clear" w:color="auto" w:fill="FFFFFF"/>
            <w:vAlign w:val="center"/>
          </w:tcPr>
          <w:p w14:paraId="73B6021A">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ndvi</w:t>
            </w:r>
          </w:p>
        </w:tc>
        <w:tc>
          <w:tcPr>
            <w:tcW w:w="1439" w:type="pct"/>
            <w:shd w:val="clear" w:color="auto" w:fill="FFFFFF"/>
            <w:vAlign w:val="center"/>
          </w:tcPr>
          <w:p w14:paraId="10686F0F">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Annual mean Normalized Difference Vegetation Index</w:t>
            </w:r>
          </w:p>
        </w:tc>
        <w:tc>
          <w:tcPr>
            <w:tcW w:w="577" w:type="pct"/>
            <w:shd w:val="clear" w:color="auto" w:fill="FFFFFF"/>
            <w:vAlign w:val="center"/>
          </w:tcPr>
          <w:p w14:paraId="3A82CF4C">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t>
            </w:r>
          </w:p>
        </w:tc>
        <w:tc>
          <w:tcPr>
            <w:tcW w:w="1038" w:type="pct"/>
            <w:shd w:val="clear" w:color="auto" w:fill="FFFFFF"/>
            <w:vAlign w:val="center"/>
          </w:tcPr>
          <w:p w14:paraId="19FF846C">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NASA MOD13A3</w:t>
            </w:r>
          </w:p>
        </w:tc>
      </w:tr>
      <w:tr w14:paraId="5922A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shd w:val="clear" w:color="auto" w:fill="FFFFFF"/>
            <w:vAlign w:val="center"/>
          </w:tcPr>
          <w:p w14:paraId="580FDF54">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Economic Activity</w:t>
            </w:r>
          </w:p>
        </w:tc>
        <w:tc>
          <w:tcPr>
            <w:tcW w:w="614" w:type="pct"/>
            <w:shd w:val="clear" w:color="auto" w:fill="FFFFFF"/>
            <w:vAlign w:val="center"/>
          </w:tcPr>
          <w:p w14:paraId="551C7E26">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nightlight</w:t>
            </w:r>
          </w:p>
        </w:tc>
        <w:tc>
          <w:tcPr>
            <w:tcW w:w="1439" w:type="pct"/>
            <w:shd w:val="clear" w:color="auto" w:fill="FFFFFF"/>
            <w:vAlign w:val="center"/>
          </w:tcPr>
          <w:p w14:paraId="2D5DD635">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Sum of nighttime light intensity</w:t>
            </w:r>
          </w:p>
        </w:tc>
        <w:tc>
          <w:tcPr>
            <w:tcW w:w="577" w:type="pct"/>
            <w:shd w:val="clear" w:color="auto" w:fill="FFFFFF"/>
            <w:vAlign w:val="center"/>
          </w:tcPr>
          <w:p w14:paraId="6874E108">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nW/cm²/sr</w:t>
            </w:r>
          </w:p>
        </w:tc>
        <w:tc>
          <w:tcPr>
            <w:tcW w:w="1038" w:type="pct"/>
            <w:shd w:val="clear" w:color="auto" w:fill="FFFFFF"/>
            <w:vAlign w:val="center"/>
          </w:tcPr>
          <w:p w14:paraId="1F729F9E">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NOAA NPP/VIIRS</w:t>
            </w:r>
            <w:r>
              <w:rPr>
                <w:rStyle w:val="19"/>
                <w:rFonts w:hint="default" w:ascii="Times New Roman" w:hAnsi="Times New Roman" w:cs="Times New Roman"/>
                <w:b w:val="0"/>
                <w:color w:val="auto"/>
                <w:kern w:val="0"/>
                <w:sz w:val="21"/>
                <w:szCs w:val="21"/>
                <w:lang w:val="en-US" w:eastAsia="zh-CN" w:bidi="ar"/>
              </w:rPr>
              <w:fldChar w:fldCharType="begin"/>
            </w:r>
            <w:r>
              <w:rPr>
                <w:rStyle w:val="19"/>
                <w:rFonts w:hint="default" w:ascii="Times New Roman" w:hAnsi="Times New Roman" w:cs="Times New Roman"/>
                <w:b w:val="0"/>
                <w:color w:val="auto"/>
                <w:kern w:val="0"/>
                <w:sz w:val="21"/>
                <w:szCs w:val="21"/>
                <w:lang w:val="en-US" w:eastAsia="zh-CN" w:bidi="ar"/>
              </w:rPr>
              <w:instrText xml:space="preserve"> ADDIN EN.CITE &lt;EndNote&gt;&lt;Cite&gt;&lt;Author&gt;Elvidge&lt;/Author&gt;&lt;Year&gt;2021&lt;/Year&gt;&lt;RecNum&gt;41&lt;/RecNum&gt;&lt;DisplayText&gt;&lt;style face="superscript"&gt;47&lt;/style&gt;&lt;/DisplayText&gt;&lt;record&gt;&lt;rec-number&gt;41&lt;/rec-number&gt;&lt;foreign-keys&gt;&lt;key app="EN" db-id="d0wx2x2e2txxsheffsnxee2m5esz0zzsxztf" timestamp="1773047515"&gt;41&lt;/key&gt;&lt;/foreign-keys&gt;&lt;ref-type name="Book Section"&gt;5&lt;/ref-type&gt;&lt;contributors&gt;&lt;authors&gt;&lt;author&gt;Elvidge, Christopher D&lt;/author&gt;&lt;author&gt;Baugh, Kimberly&lt;/author&gt;&lt;author&gt;Zhizhin, Mikhail&lt;/author&gt;&lt;author&gt;Hsu, Feng Chi&lt;/author&gt;&lt;author&gt;Ghosh, Tilottama&lt;/author&gt;&lt;/authors&gt;&lt;/contributors&gt;&lt;titles&gt;&lt;title&gt;VIIRS night-time lights&lt;/title&gt;&lt;secondary-title&gt;Remote Sensing of Night-time Light&lt;/secondary-title&gt;&lt;/titles&gt;&lt;pages&gt;6-25&lt;/pages&gt;&lt;dates&gt;&lt;year&gt;2021&lt;/year&gt;&lt;/dates&gt;&lt;publisher&gt;Routledge&lt;/publisher&gt;&lt;urls&gt;&lt;/urls&gt;&lt;/record&gt;&lt;/Cite&gt;&lt;/EndNote&gt;</w:instrText>
            </w:r>
            <w:r>
              <w:rPr>
                <w:rStyle w:val="19"/>
                <w:rFonts w:hint="default" w:ascii="Times New Roman" w:hAnsi="Times New Roman" w:cs="Times New Roman"/>
                <w:b w:val="0"/>
                <w:color w:val="auto"/>
                <w:kern w:val="0"/>
                <w:sz w:val="21"/>
                <w:szCs w:val="21"/>
                <w:lang w:val="en-US" w:eastAsia="zh-CN"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47</w:t>
            </w:r>
            <w:r>
              <w:rPr>
                <w:rStyle w:val="19"/>
                <w:rFonts w:hint="default" w:ascii="Times New Roman" w:hAnsi="Times New Roman" w:cs="Times New Roman"/>
                <w:b w:val="0"/>
                <w:color w:val="auto"/>
                <w:kern w:val="0"/>
                <w:sz w:val="21"/>
                <w:szCs w:val="21"/>
                <w:lang w:val="en-US" w:eastAsia="zh-CN" w:bidi="ar"/>
              </w:rPr>
              <w:fldChar w:fldCharType="end"/>
            </w:r>
          </w:p>
        </w:tc>
      </w:tr>
      <w:tr w14:paraId="54E17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234" w:type="pct"/>
            <w:tcBorders>
              <w:bottom w:val="single" w:color="000000" w:sz="12" w:space="0"/>
            </w:tcBorders>
            <w:shd w:val="clear" w:color="auto" w:fill="FFFFFF"/>
            <w:vAlign w:val="center"/>
          </w:tcPr>
          <w:p w14:paraId="4DF0730E">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Population Size</w:t>
            </w:r>
          </w:p>
        </w:tc>
        <w:tc>
          <w:tcPr>
            <w:tcW w:w="614" w:type="pct"/>
            <w:tcBorders>
              <w:bottom w:val="single" w:color="000000" w:sz="12" w:space="0"/>
            </w:tcBorders>
            <w:shd w:val="clear" w:color="auto" w:fill="FFFFFF"/>
            <w:vAlign w:val="center"/>
          </w:tcPr>
          <w:p w14:paraId="79B4EE06">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population</w:t>
            </w:r>
          </w:p>
        </w:tc>
        <w:tc>
          <w:tcPr>
            <w:tcW w:w="1439" w:type="pct"/>
            <w:tcBorders>
              <w:bottom w:val="single" w:color="000000" w:sz="12" w:space="0"/>
            </w:tcBorders>
            <w:shd w:val="clear" w:color="auto" w:fill="FFFFFF"/>
            <w:vAlign w:val="center"/>
          </w:tcPr>
          <w:p w14:paraId="1ABB8366">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Resident population count in the street block</w:t>
            </w:r>
          </w:p>
        </w:tc>
        <w:tc>
          <w:tcPr>
            <w:tcW w:w="577" w:type="pct"/>
            <w:tcBorders>
              <w:bottom w:val="single" w:color="000000" w:sz="12" w:space="0"/>
            </w:tcBorders>
            <w:shd w:val="clear" w:color="auto" w:fill="FFFFFF"/>
            <w:vAlign w:val="center"/>
          </w:tcPr>
          <w:p w14:paraId="2A78A537">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Person</w:t>
            </w:r>
          </w:p>
        </w:tc>
        <w:tc>
          <w:tcPr>
            <w:tcW w:w="1038" w:type="pct"/>
            <w:tcBorders>
              <w:bottom w:val="single" w:color="000000" w:sz="12" w:space="0"/>
            </w:tcBorders>
            <w:shd w:val="clear" w:color="auto" w:fill="FFFFFF"/>
            <w:vAlign w:val="center"/>
          </w:tcPr>
          <w:p w14:paraId="6D14BA5D">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Style w:val="19"/>
                <w:rFonts w:hint="default" w:ascii="Times New Roman" w:hAnsi="Times New Roman" w:cs="Times New Roman"/>
                <w:b w:val="0"/>
                <w:color w:val="auto"/>
                <w:kern w:val="0"/>
                <w:sz w:val="21"/>
                <w:szCs w:val="21"/>
                <w:lang w:bidi="ar"/>
              </w:rPr>
            </w:pPr>
            <w:r>
              <w:rPr>
                <w:rStyle w:val="19"/>
                <w:rFonts w:hint="default" w:ascii="Times New Roman" w:hAnsi="Times New Roman" w:cs="Times New Roman"/>
                <w:b w:val="0"/>
                <w:color w:val="auto"/>
                <w:kern w:val="0"/>
                <w:sz w:val="21"/>
                <w:szCs w:val="21"/>
                <w:lang w:val="en-US" w:eastAsia="zh-CN" w:bidi="ar"/>
              </w:rPr>
              <w:t>WorldPop</w:t>
            </w:r>
            <w:r>
              <w:rPr>
                <w:rStyle w:val="19"/>
                <w:rFonts w:hint="default" w:ascii="Times New Roman" w:hAnsi="Times New Roman" w:cs="Times New Roman"/>
                <w:b w:val="0"/>
                <w:color w:val="auto"/>
                <w:kern w:val="0"/>
                <w:sz w:val="21"/>
                <w:szCs w:val="21"/>
                <w:lang w:val="en-US" w:eastAsia="zh-CN" w:bidi="ar"/>
              </w:rPr>
              <w:fldChar w:fldCharType="begin"/>
            </w:r>
            <w:r>
              <w:rPr>
                <w:rStyle w:val="19"/>
                <w:rFonts w:hint="default" w:ascii="Times New Roman" w:hAnsi="Times New Roman" w:cs="Times New Roman"/>
                <w:b w:val="0"/>
                <w:color w:val="auto"/>
                <w:kern w:val="0"/>
                <w:sz w:val="21"/>
                <w:szCs w:val="21"/>
                <w:lang w:val="en-US" w:eastAsia="zh-CN" w:bidi="ar"/>
              </w:rPr>
              <w:instrText xml:space="preserve"> ADDIN EN.CITE &lt;EndNote&gt;&lt;Cite&gt;&lt;Author&gt;Tatem&lt;/Author&gt;&lt;Year&gt;2017&lt;/Year&gt;&lt;RecNum&gt;81&lt;/RecNum&gt;&lt;DisplayText&gt;&lt;style face="superscript"&gt;48&lt;/style&gt;&lt;/DisplayText&gt;&lt;record&gt;&lt;rec-number&gt;81&lt;/rec-number&gt;&lt;foreign-keys&gt;&lt;key app="EN" db-id="d0wx2x2e2txxsheffsnxee2m5esz0zzsxztf" timestamp="1773049321"&gt;81&lt;/key&gt;&lt;/foreign-keys&gt;&lt;ref-type name="Journal Article"&gt;17&lt;/ref-type&gt;&lt;contributors&gt;&lt;authors&gt;&lt;author&gt;Tatem, Andrew J&lt;/author&gt;&lt;/authors&gt;&lt;/contributors&gt;&lt;titles&gt;&lt;title&gt;WorldPop, open data for spatial demography&lt;/title&gt;&lt;secondary-title&gt;Scientific data&lt;/secondary-title&gt;&lt;/titles&gt;&lt;periodical&gt;&lt;full-title&gt;Scientific data&lt;/full-title&gt;&lt;/periodical&gt;&lt;pages&gt;170004&lt;/pages&gt;&lt;volume&gt;4&lt;/volume&gt;&lt;number&gt;1&lt;/number&gt;&lt;dates&gt;&lt;year&gt;2017&lt;/year&gt;&lt;/dates&gt;&lt;isbn&gt;2052-4463&lt;/isbn&gt;&lt;urls&gt;&lt;/urls&gt;&lt;/record&gt;&lt;/Cite&gt;&lt;/EndNote&gt;</w:instrText>
            </w:r>
            <w:r>
              <w:rPr>
                <w:rStyle w:val="19"/>
                <w:rFonts w:hint="default" w:ascii="Times New Roman" w:hAnsi="Times New Roman" w:cs="Times New Roman"/>
                <w:b w:val="0"/>
                <w:color w:val="auto"/>
                <w:kern w:val="0"/>
                <w:sz w:val="21"/>
                <w:szCs w:val="21"/>
                <w:lang w:val="en-US" w:eastAsia="zh-CN" w:bidi="ar"/>
              </w:rPr>
              <w:fldChar w:fldCharType="separate"/>
            </w:r>
            <w:r>
              <w:rPr>
                <w:rFonts w:hint="default" w:ascii="Times New Roman" w:hAnsi="Times New Roman" w:eastAsia="宋体" w:cs="Times New Roman"/>
                <w:b w:val="0"/>
                <w:color w:val="auto"/>
                <w:kern w:val="0"/>
                <w:sz w:val="21"/>
                <w:szCs w:val="21"/>
                <w:vertAlign w:val="superscript"/>
                <w:lang w:val="en-US" w:eastAsia="zh-CN" w:bidi="ar"/>
                <w14:ligatures w14:val="standardContextual"/>
              </w:rPr>
              <w:t>48</w:t>
            </w:r>
            <w:r>
              <w:rPr>
                <w:rStyle w:val="19"/>
                <w:rFonts w:hint="default" w:ascii="Times New Roman" w:hAnsi="Times New Roman" w:cs="Times New Roman"/>
                <w:b w:val="0"/>
                <w:color w:val="auto"/>
                <w:kern w:val="0"/>
                <w:sz w:val="21"/>
                <w:szCs w:val="21"/>
                <w:lang w:val="en-US" w:eastAsia="zh-CN" w:bidi="ar"/>
              </w:rPr>
              <w:fldChar w:fldCharType="end"/>
            </w:r>
          </w:p>
        </w:tc>
      </w:tr>
    </w:tbl>
    <w:p w14:paraId="03C8E635">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宋体" w:cs="Times New Roman"/>
          <w:b/>
          <w:bCs/>
          <w:color w:val="auto"/>
          <w:kern w:val="2"/>
          <w:sz w:val="24"/>
          <w:szCs w:val="24"/>
          <w:lang w:val="en-US" w:eastAsia="zh-CN" w:bidi="ar-SA"/>
          <w14:ligatures w14:val="standardContextual"/>
        </w:rPr>
      </w:pPr>
      <w:r>
        <w:rPr>
          <w:rFonts w:hint="default" w:ascii="Times New Roman" w:hAnsi="Times New Roman" w:eastAsia="宋体" w:cs="Times New Roman"/>
          <w:b/>
          <w:bCs/>
          <w:color w:val="auto"/>
          <w:kern w:val="2"/>
          <w:sz w:val="24"/>
          <w:szCs w:val="24"/>
          <w:lang w:val="en-US" w:eastAsia="zh-CN" w:bidi="ar-SA"/>
          <w14:ligatures w14:val="standardContextual"/>
        </w:rPr>
        <w:br w:type="page"/>
      </w:r>
    </w:p>
    <w:p w14:paraId="03A92476">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13" w:name="_Toc31087"/>
      <w:r>
        <w:rPr>
          <w:rFonts w:hint="default" w:ascii="Times New Roman" w:hAnsi="Times New Roman" w:cs="Times New Roman"/>
          <w:lang w:val="en-US" w:eastAsia="zh-CN"/>
        </w:rPr>
        <w:t>Supplementary Text S6 | Bartik IV — extended results and limitations</w:t>
      </w:r>
      <w:bookmarkEnd w:id="13"/>
    </w:p>
    <w:p w14:paraId="79BC31D7">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bookmarkStart w:id="14" w:name="_Toc15750"/>
      <w:r>
        <w:rPr>
          <w:rFonts w:hint="default" w:ascii="Times New Roman" w:hAnsi="Times New Roman" w:cs="Times New Roman"/>
          <w:color w:val="auto"/>
          <w:lang w:val="en-US" w:eastAsia="zh-CN"/>
        </w:rPr>
        <w:t>1. Industry-level GenAI exposure</w:t>
      </w:r>
      <w:bookmarkEnd w:id="14"/>
    </w:p>
    <w:p w14:paraId="67F1AF74">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The leave-one-out industry-level GenAI exposures are reported in the final two columns of Supplementary Table S3. The three highest-exposure industries are Information Technology and Software (0.398), Scientific and Technical Services (0.388) and Finance (0.387); the three lowest are Agriculture (0.304), Transportation (0.318) and Mining (0.281). The ranking accords with intuition: knowledge-intensive industries exhibit substantially higher GenAI exposure than industries dominated by manual </w:t>
      </w:r>
      <w:r>
        <w:rPr>
          <w:rFonts w:hint="eastAsia" w:cs="Times New Roman"/>
          <w:color w:val="auto"/>
          <w:lang w:val="en-US" w:eastAsia="zh-CN"/>
        </w:rPr>
        <w:t>labor</w:t>
      </w:r>
      <w:r>
        <w:rPr>
          <w:rFonts w:hint="default" w:ascii="Times New Roman" w:hAnsi="Times New Roman" w:cs="Times New Roman"/>
          <w:color w:val="auto"/>
          <w:lang w:val="en-US" w:eastAsia="zh-CN"/>
        </w:rPr>
        <w:t>. Supplementary Fig. S2 visualizes these inter-industry differences.</w:t>
      </w:r>
    </w:p>
    <w:p w14:paraId="71A2E339">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p>
    <w:p w14:paraId="0F31DCE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935345" cy="3415665"/>
            <wp:effectExtent l="0" t="0" r="8255" b="3810"/>
            <wp:docPr id="1" name="图片 1" descr="Fig_Industry_GenAI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_Industry_GenAI_Exposure"/>
                    <pic:cNvPicPr>
                      <a:picLocks noChangeAspect="1"/>
                    </pic:cNvPicPr>
                  </pic:nvPicPr>
                  <pic:blipFill>
                    <a:blip r:embed="rId9"/>
                    <a:stretch>
                      <a:fillRect/>
                    </a:stretch>
                  </pic:blipFill>
                  <pic:spPr>
                    <a:xfrm>
                      <a:off x="0" y="0"/>
                      <a:ext cx="5935345" cy="3415665"/>
                    </a:xfrm>
                    <a:prstGeom prst="rect">
                      <a:avLst/>
                    </a:prstGeom>
                  </pic:spPr>
                </pic:pic>
              </a:graphicData>
            </a:graphic>
          </wp:inline>
        </w:drawing>
      </w:r>
    </w:p>
    <w:p w14:paraId="719D646B">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n-US" w:eastAsia="zh-CN"/>
        </w:rPr>
      </w:pPr>
      <w:bookmarkStart w:id="15" w:name="_Toc4444"/>
      <w:r>
        <w:rPr>
          <w:rFonts w:hint="default"/>
          <w:lang w:val="en-US" w:eastAsia="zh-CN"/>
        </w:rPr>
        <w:t>Supplementary Fig. S2 | Industry-level GenAI exposure (basis for the Bartik shift-share IV).</w:t>
      </w:r>
      <w:bookmarkEnd w:id="15"/>
    </w:p>
    <w:p w14:paraId="28AAB79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Horizontal bar chart of the leave-one-out GenAI exposure score for each of the 18 first-level industry categories, sorted in descending order. The dashed vertical line indicates the cross-industry median (0.356). Bars above the median are shaded dark red (high exposure); bars at or below the median are light blue (low exposure). Agriculture (A), Transport (G) and Mining (B) rank lowest, reflecting their predominance of manual and physical tasks. The inter-industry variation shown here provides the shift component of the Bartik instrument (Methods Eqs. 4–5).</w:t>
      </w:r>
    </w:p>
    <w:p w14:paraId="4206777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val="0"/>
          <w:color w:val="auto"/>
          <w:sz w:val="21"/>
          <w:szCs w:val="21"/>
          <w:highlight w:val="none"/>
          <w:lang w:val="en-US" w:eastAsia="zh-CN"/>
        </w:rPr>
      </w:pPr>
    </w:p>
    <w:p w14:paraId="35591843">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16" w:name="_Toc32313"/>
      <w:r>
        <w:rPr>
          <w:rFonts w:hint="default" w:ascii="Times New Roman" w:hAnsi="Times New Roman" w:cs="Times New Roman"/>
          <w:lang w:val="en-US" w:eastAsia="zh-CN"/>
        </w:rPr>
        <w:t>2. First-stage diagnostics</w:t>
      </w:r>
      <w:bookmarkEnd w:id="16"/>
    </w:p>
    <w:p w14:paraId="5F4A9A5C">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The first-stage F-statistic is 53.5, far exceeding the conventional weak-instrument threshold of 10</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ADDIN EN.CITE &lt;EndNote&gt;&lt;Cite&gt;&lt;Author&gt;Stock&lt;/Author&gt;&lt;Year&gt;2002&lt;/Year&gt;&lt;RecNum&gt;126&lt;/RecNum&gt;&lt;DisplayText&gt;&lt;style face="superscript"&gt;49&lt;/style&gt;&lt;/DisplayText&gt;&lt;record&gt;&lt;rec-number&gt;126&lt;/rec-number&gt;&lt;foreign-keys&gt;&lt;key app="EN" db-id="d0wx2x2e2txxsheffsnxee2m5esz0zzsxztf" timestamp="1777706947"&gt;126&lt;/key&gt;&lt;/foreign-keys&gt;&lt;ref-type name="Generic"&gt;13&lt;/ref-type&gt;&lt;contributors&gt;&lt;authors&gt;&lt;author&gt;Stock, James H&lt;/author&gt;&lt;author&gt;Yogo, Motohiro&lt;/author&gt;&lt;/authors&gt;&lt;/contributors&gt;&lt;titles&gt;&lt;title&gt;Testing for weak instruments in linear IV regression&lt;/title&gt;&lt;/titles&gt;&lt;dates&gt;&lt;year&gt;2002&lt;/year&gt;&lt;/dates&gt;&lt;publisher&gt;National Bureau of Economic Research Cambridge, Mass., USA&lt;/publisher&gt;&lt;urls&gt;&lt;/urls&gt;&lt;/record&gt;&lt;/Cite&gt;&lt;/EndNote&gt;</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eastAsia="宋体" w:cs="Times New Roman"/>
          <w:color w:val="auto"/>
          <w:kern w:val="2"/>
          <w:sz w:val="24"/>
          <w:szCs w:val="24"/>
          <w:highlight w:val="none"/>
          <w:vertAlign w:val="superscript"/>
          <w:lang w:val="en-US" w:eastAsia="zh-CN" w:bidi="ar-SA"/>
          <w14:ligatures w14:val="standardContextual"/>
        </w:rPr>
        <w:t>49</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 xml:space="preserve"> and confirming the relevance condition of the IV. Note, however, that the first-stage coefficient is negative (</w:t>
      </w:r>
      <m:oMath>
        <m:sSub>
          <m:sSubPr>
            <m:ctrlPr>
              <w:rPr>
                <w:rFonts w:hint="default" w:ascii="Cambria Math" w:hAnsi="Cambria Math" w:eastAsia="宋体" w:cs="Times New Roman"/>
                <w:sz w:val="24"/>
                <w:highlight w:val="none"/>
              </w:rPr>
            </m:ctrlPr>
          </m:sSubPr>
          <m:e>
            <m:acc>
              <m:accPr>
                <m:ctrlPr>
                  <w:rPr>
                    <w:rFonts w:hint="default" w:ascii="Cambria Math" w:hAnsi="Cambria Math" w:eastAsia="宋体" w:cs="Times New Roman"/>
                    <w:sz w:val="24"/>
                    <w:highlight w:val="none"/>
                  </w:rPr>
                </m:ctrlPr>
              </m:accPr>
              <m:e>
                <m:r>
                  <m:rPr/>
                  <w:rPr>
                    <w:rFonts w:hint="default" w:ascii="Cambria Math" w:hAnsi="Cambria Math" w:eastAsia="宋体" w:cs="Times New Roman"/>
                    <w:sz w:val="24"/>
                    <w:highlight w:val="none"/>
                  </w:rPr>
                  <m:t>π</m:t>
                </m:r>
                <m:ctrlPr>
                  <w:rPr>
                    <w:rFonts w:hint="default" w:ascii="Cambria Math" w:hAnsi="Cambria Math" w:eastAsia="宋体" w:cs="Times New Roman"/>
                    <w:sz w:val="24"/>
                    <w:highlight w:val="none"/>
                  </w:rPr>
                </m:ctrlPr>
              </m:e>
            </m:acc>
            <m:ctrlPr>
              <w:rPr>
                <w:rFonts w:hint="default" w:ascii="Cambria Math" w:hAnsi="Cambria Math" w:eastAsia="宋体" w:cs="Times New Roman"/>
                <w:sz w:val="24"/>
                <w:highlight w:val="none"/>
              </w:rPr>
            </m:ctrlPr>
          </m:e>
          <m:sub>
            <m:r>
              <m:rPr/>
              <w:rPr>
                <w:rFonts w:hint="default" w:ascii="Cambria Math" w:hAnsi="Cambria Math" w:eastAsia="宋体" w:cs="Times New Roman"/>
                <w:sz w:val="24"/>
                <w:highlight w:val="none"/>
              </w:rPr>
              <m:t>1</m:t>
            </m:r>
            <m:ctrlPr>
              <w:rPr>
                <w:rFonts w:hint="default" w:ascii="Cambria Math" w:hAnsi="Cambria Math" w:eastAsia="宋体" w:cs="Times New Roman"/>
                <w:sz w:val="24"/>
                <w:highlight w:val="none"/>
              </w:rPr>
            </m:ctrlPr>
          </m:sub>
        </m:sSub>
        <m:r>
          <m:rPr/>
          <w:rPr>
            <w:rFonts w:hint="default" w:ascii="Cambria Math" w:hAnsi="Cambria Math" w:eastAsia="宋体" w:cs="Times New Roman"/>
            <w:sz w:val="24"/>
            <w:highlight w:val="none"/>
          </w:rPr>
          <m:t>=−0.022</m:t>
        </m:r>
      </m:oMath>
      <w:r>
        <w:rPr>
          <w:rFonts w:hint="default" w:ascii="Times New Roman" w:hAnsi="Times New Roman" w:cs="Times New Roman"/>
          <w:color w:val="auto"/>
          <w:highlight w:val="none"/>
        </w:rPr>
        <w:t xml:space="preserve">, </w:t>
      </w:r>
      <m:oMath>
        <m:r>
          <m:rPr/>
          <w:rPr>
            <w:rFonts w:hint="default" w:ascii="Cambria Math" w:hAnsi="Cambria Math" w:cs="Times New Roman"/>
            <w:highlight w:val="none"/>
          </w:rPr>
          <m:t>p&lt;0.001</m:t>
        </m:r>
      </m:oMath>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neighborhood</w:t>
      </w:r>
      <w:r>
        <w:rPr>
          <w:rFonts w:hint="default" w:ascii="Times New Roman" w:hAnsi="Times New Roman" w:cs="Times New Roman"/>
          <w:color w:val="auto"/>
          <w:highlight w:val="none"/>
          <w:lang w:val="en-US" w:eastAsia="zh-CN"/>
        </w:rPr>
        <w:t xml:space="preserve">s with higher Bartik IV values subsequently exhibited smaller changes in GenAI exposure. This counterintuitive sign reflects a ceiling effect. </w:t>
      </w:r>
      <w:r>
        <w:rPr>
          <w:rFonts w:hint="eastAsia" w:cs="Times New Roman"/>
          <w:color w:val="auto"/>
          <w:highlight w:val="none"/>
          <w:lang w:val="en-US" w:eastAsia="zh-CN"/>
        </w:rPr>
        <w:t>neighborhood</w:t>
      </w:r>
      <w:r>
        <w:rPr>
          <w:rFonts w:hint="default" w:ascii="Times New Roman" w:hAnsi="Times New Roman" w:cs="Times New Roman"/>
          <w:color w:val="auto"/>
          <w:highlight w:val="none"/>
          <w:lang w:val="en-US" w:eastAsia="zh-CN"/>
        </w:rPr>
        <w:t>s whose 2018 industrial composition was already heavily weighted toward AI-intensive industries had high GenAI exposure as early as 2018, leaving limited room for further marginal change—producing a regression-to-the-mean pattern (Supplementary Fig. S3).</w:t>
      </w:r>
    </w:p>
    <w:p w14:paraId="50605223">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highlight w:val="none"/>
          <w:lang w:val="en-US" w:eastAsia="zh-CN"/>
        </w:rPr>
      </w:pPr>
    </w:p>
    <w:p w14:paraId="126DAD8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939790" cy="4585335"/>
            <wp:effectExtent l="0" t="0" r="3810" b="5715"/>
            <wp:docPr id="4" name="图片 4" descr="Fig_FirstStage_Sc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_FirstStage_Scatter"/>
                    <pic:cNvPicPr>
                      <a:picLocks noChangeAspect="1"/>
                    </pic:cNvPicPr>
                  </pic:nvPicPr>
                  <pic:blipFill>
                    <a:blip r:embed="rId10"/>
                    <a:stretch>
                      <a:fillRect/>
                    </a:stretch>
                  </pic:blipFill>
                  <pic:spPr>
                    <a:xfrm>
                      <a:off x="0" y="0"/>
                      <a:ext cx="5939790" cy="4585335"/>
                    </a:xfrm>
                    <a:prstGeom prst="rect">
                      <a:avLst/>
                    </a:prstGeom>
                  </pic:spPr>
                </pic:pic>
              </a:graphicData>
            </a:graphic>
          </wp:inline>
        </w:drawing>
      </w:r>
    </w:p>
    <w:p w14:paraId="0AA2AE78">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n-US" w:eastAsia="zh-CN"/>
        </w:rPr>
      </w:pPr>
      <w:bookmarkStart w:id="17" w:name="_Toc25714"/>
      <w:r>
        <w:rPr>
          <w:rFonts w:hint="default"/>
          <w:lang w:val="en-US" w:eastAsia="zh-CN"/>
        </w:rPr>
        <w:t>Supplementary Fig. S3 | First stage — Bartik IV relevance.</w:t>
      </w:r>
      <w:bookmarkEnd w:id="17"/>
    </w:p>
    <w:p w14:paraId="26B6338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Scatter plot of the standardized Bartik shift-share instrument (x-axis) against the change in GenAI exposure (</w:t>
      </w:r>
      <w:r>
        <w:rPr>
          <w:rFonts w:hint="default" w:ascii="Times New Roman" w:hAnsi="Times New Roman" w:cs="Times New Roman"/>
          <w:color w:val="auto"/>
          <w:sz w:val="21"/>
          <w:szCs w:val="21"/>
        </w:rPr>
        <w:t>Δ = mean[2023, 2024] − mean[2018, 2019], y-axis</w:t>
      </w:r>
      <w:r>
        <w:rPr>
          <w:rFonts w:hint="default" w:ascii="Times New Roman" w:hAnsi="Times New Roman" w:cs="Times New Roman"/>
          <w:color w:val="auto"/>
          <w:sz w:val="21"/>
          <w:szCs w:val="21"/>
          <w:lang w:val="en-US" w:eastAsia="zh-CN"/>
        </w:rPr>
        <w:t xml:space="preserve">) for the 1,383 </w:t>
      </w:r>
      <w:r>
        <w:rPr>
          <w:rFonts w:hint="eastAsia" w:cs="Times New Roman"/>
          <w:color w:val="auto"/>
          <w:sz w:val="21"/>
          <w:szCs w:val="21"/>
          <w:lang w:val="en-US" w:eastAsia="zh-CN"/>
        </w:rPr>
        <w:t>neighborhood</w:t>
      </w:r>
      <w:r>
        <w:rPr>
          <w:rFonts w:hint="default" w:ascii="Times New Roman" w:hAnsi="Times New Roman" w:cs="Times New Roman"/>
          <w:color w:val="auto"/>
          <w:sz w:val="21"/>
          <w:szCs w:val="21"/>
          <w:lang w:val="en-US" w:eastAsia="zh-CN"/>
        </w:rPr>
        <w:t xml:space="preserve"> blocks. The red line gives the linear fit. The correlation is -0.185 and the first-stage F-statistic is 53.5, confirming instrument relevance. The negative slope reflects the ceiling effect: blocks whose 2018 industry composition was already concentrated in high-GenAI sectors had limited scope for further increases in exposure, producing smaller or negative changes over 2018–2024. See Supplementary Text S6 for interpretation.</w:t>
      </w:r>
    </w:p>
    <w:p w14:paraId="15212A5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1"/>
          <w:szCs w:val="21"/>
          <w:lang w:eastAsia="zh-CN"/>
        </w:rPr>
      </w:pPr>
    </w:p>
    <w:p w14:paraId="5506E2B2">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18" w:name="_Toc14734"/>
      <w:r>
        <w:rPr>
          <w:rFonts w:hint="default" w:ascii="Times New Roman" w:hAnsi="Times New Roman" w:cs="Times New Roman"/>
          <w:lang w:val="en-US" w:eastAsia="zh-CN"/>
        </w:rPr>
        <w:t>3. Reduced form and 2SLS</w:t>
      </w:r>
      <w:bookmarkEnd w:id="18"/>
    </w:p>
    <w:p w14:paraId="7660DDC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The reduced-form estimate is </w:t>
      </w:r>
      <m:oMath>
        <m:sSub>
          <m:sSubPr>
            <m:ctrlPr>
              <w:rPr>
                <w:rFonts w:hint="default" w:ascii="Cambria Math" w:hAnsi="Cambria Math" w:eastAsia="宋体" w:cs="Times New Roman"/>
                <w:sz w:val="24"/>
              </w:rPr>
            </m:ctrlPr>
          </m:sSubPr>
          <m:e>
            <m:acc>
              <m:accPr>
                <m:ctrlPr>
                  <w:rPr>
                    <w:rFonts w:hint="default" w:ascii="Cambria Math" w:hAnsi="Cambria Math" w:eastAsia="宋体" w:cs="Times New Roman"/>
                    <w:sz w:val="24"/>
                  </w:rPr>
                </m:ctrlPr>
              </m:accPr>
              <m:e>
                <m:r>
                  <m:rPr/>
                  <w:rPr>
                    <w:rFonts w:hint="default" w:ascii="Cambria Math" w:hAnsi="Cambria Math" w:eastAsia="宋体" w:cs="Times New Roman"/>
                    <w:sz w:val="24"/>
                  </w:rPr>
                  <m:t>β</m:t>
                </m:r>
                <m:ctrlPr>
                  <w:rPr>
                    <w:rFonts w:hint="default" w:ascii="Cambria Math" w:hAnsi="Cambria Math" w:eastAsia="宋体" w:cs="Times New Roman"/>
                    <w:sz w:val="24"/>
                  </w:rPr>
                </m:ctrlPr>
              </m:e>
            </m:acc>
            <m:ctrlPr>
              <w:rPr>
                <w:rFonts w:hint="default" w:ascii="Cambria Math" w:hAnsi="Cambria Math" w:eastAsia="宋体" w:cs="Times New Roman"/>
                <w:sz w:val="24"/>
              </w:rPr>
            </m:ctrlPr>
          </m:e>
          <m:sub>
            <m:r>
              <m:rPr/>
              <w:rPr>
                <w:rFonts w:hint="default" w:ascii="Cambria Math" w:hAnsi="Cambria Math" w:eastAsia="宋体" w:cs="Times New Roman"/>
                <w:sz w:val="24"/>
              </w:rPr>
              <m:t>RF</m:t>
            </m:r>
            <m:ctrlPr>
              <w:rPr>
                <w:rFonts w:hint="default" w:ascii="Cambria Math" w:hAnsi="Cambria Math" w:eastAsia="宋体" w:cs="Times New Roman"/>
                <w:sz w:val="24"/>
              </w:rPr>
            </m:ctrlPr>
          </m:sub>
        </m:sSub>
        <m:r>
          <m:rPr/>
          <w:rPr>
            <w:rFonts w:hint="default" w:ascii="Cambria Math" w:hAnsi="Cambria Math" w:eastAsia="宋体" w:cs="Times New Roman"/>
            <w:sz w:val="24"/>
          </w:rPr>
          <m:t>=−0.436</m:t>
        </m:r>
      </m:oMath>
      <w:r>
        <w:rPr>
          <w:rFonts w:hint="default" w:ascii="Times New Roman" w:hAnsi="Times New Roman" w:cs="Times New Roman"/>
          <w:color w:val="auto"/>
          <w:lang w:val="en-US" w:eastAsia="zh-CN"/>
        </w:rPr>
        <w:t xml:space="preserve"> (</w:t>
      </w:r>
      <m:oMath>
        <m:r>
          <m:rPr/>
          <w:rPr>
            <w:rFonts w:hint="default" w:ascii="Cambria Math" w:hAnsi="Cambria Math" w:cs="Times New Roman"/>
          </w:rPr>
          <m:t>p&lt;0.001</m:t>
        </m:r>
      </m:oMath>
      <w:r>
        <w:rPr>
          <w:rFonts w:hint="default" w:ascii="Times New Roman" w:hAnsi="Times New Roman" w:cs="Times New Roman"/>
          <w:color w:val="auto"/>
          <w:lang w:val="en-US" w:eastAsia="zh-CN"/>
        </w:rPr>
        <w:t>): a one-standard-deviation increase in the Bartik IV is associated with a 0.436 log-point reduction in the wage growth rate. This direction is fully consistent with the pre-determined DID—</w:t>
      </w:r>
      <w:r>
        <w:rPr>
          <w:rFonts w:hint="eastAsia" w:cs="Times New Roman"/>
          <w:color w:val="auto"/>
          <w:lang w:val="en-US" w:eastAsia="zh-CN"/>
        </w:rPr>
        <w:t>neighborhood</w:t>
      </w:r>
      <w:r>
        <w:rPr>
          <w:rFonts w:hint="default" w:ascii="Times New Roman" w:hAnsi="Times New Roman" w:cs="Times New Roman"/>
          <w:color w:val="auto"/>
          <w:lang w:val="en-US" w:eastAsia="zh-CN"/>
        </w:rPr>
        <w:t>s more deeply tied to GenAI-intensive industries experienced larger wage declines.</w:t>
      </w:r>
    </w:p>
    <w:p w14:paraId="00FE69EE">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The 2SLS structural estimate is </w:t>
      </w:r>
      <m:oMath>
        <m:sSub>
          <m:sSubPr>
            <m:ctrlPr>
              <w:rPr>
                <w:rFonts w:hint="default" w:ascii="Cambria Math" w:hAnsi="Cambria Math" w:eastAsia="宋体" w:cs="Times New Roman"/>
                <w:sz w:val="24"/>
              </w:rPr>
            </m:ctrlPr>
          </m:sSubPr>
          <m:e>
            <m:acc>
              <m:accPr>
                <m:ctrlPr>
                  <w:rPr>
                    <w:rFonts w:hint="default" w:ascii="Cambria Math" w:hAnsi="Cambria Math" w:eastAsia="宋体" w:cs="Times New Roman"/>
                    <w:sz w:val="24"/>
                  </w:rPr>
                </m:ctrlPr>
              </m:accPr>
              <m:e>
                <m:r>
                  <m:rPr/>
                  <w:rPr>
                    <w:rFonts w:hint="default" w:ascii="Cambria Math" w:hAnsi="Cambria Math" w:eastAsia="宋体" w:cs="Times New Roman"/>
                    <w:sz w:val="24"/>
                  </w:rPr>
                  <m:t>β</m:t>
                </m:r>
                <m:ctrlPr>
                  <w:rPr>
                    <w:rFonts w:hint="default" w:ascii="Cambria Math" w:hAnsi="Cambria Math" w:eastAsia="宋体" w:cs="Times New Roman"/>
                    <w:sz w:val="24"/>
                  </w:rPr>
                </m:ctrlPr>
              </m:e>
            </m:acc>
            <m:ctrlPr>
              <w:rPr>
                <w:rFonts w:hint="default" w:ascii="Cambria Math" w:hAnsi="Cambria Math" w:eastAsia="宋体" w:cs="Times New Roman"/>
                <w:sz w:val="24"/>
              </w:rPr>
            </m:ctrlPr>
          </m:e>
          <m:sub>
            <m:r>
              <m:rPr/>
              <w:rPr>
                <w:rFonts w:hint="default" w:ascii="Cambria Math" w:hAnsi="Cambria Math" w:eastAsia="宋体" w:cs="Times New Roman"/>
                <w:sz w:val="24"/>
              </w:rPr>
              <m:t>IV</m:t>
            </m:r>
            <m:ctrlPr>
              <w:rPr>
                <w:rFonts w:hint="default" w:ascii="Cambria Math" w:hAnsi="Cambria Math" w:eastAsia="宋体" w:cs="Times New Roman"/>
                <w:sz w:val="24"/>
              </w:rPr>
            </m:ctrlPr>
          </m:sub>
        </m:sSub>
        <m:r>
          <m:rPr/>
          <w:rPr>
            <w:rFonts w:hint="default" w:ascii="Cambria Math" w:hAnsi="Cambria Math" w:eastAsia="宋体" w:cs="Times New Roman"/>
            <w:sz w:val="24"/>
          </w:rPr>
          <m:t>=19.82</m:t>
        </m:r>
      </m:oMath>
      <w:r>
        <w:rPr>
          <w:rFonts w:hint="default" w:ascii="Times New Roman" w:hAnsi="Times New Roman" w:cs="Times New Roman"/>
          <w:color w:val="auto"/>
          <w:lang w:val="en-US" w:eastAsia="zh-CN"/>
        </w:rPr>
        <w:t xml:space="preserve"> (</w:t>
      </w:r>
      <m:oMath>
        <m:r>
          <m:rPr/>
          <w:rPr>
            <w:rFonts w:hint="default" w:ascii="Cambria Math" w:hAnsi="Cambria Math" w:cs="Times New Roman"/>
          </w:rPr>
          <m:t>p&lt;0.001</m:t>
        </m:r>
      </m:oMath>
      <w:r>
        <w:rPr>
          <w:rFonts w:hint="default" w:ascii="Times New Roman" w:hAnsi="Times New Roman" w:cs="Times New Roman"/>
          <w:color w:val="auto"/>
          <w:lang w:val="en-US" w:eastAsia="zh-CN"/>
        </w:rPr>
        <w:t xml:space="preserve">). This positive and very large coefficient is opposite in sign to the negative pre-determined DID estimate, but the apparent contradiction follows mechanically from the negative first stage: </w:t>
      </w:r>
      <m:oMath>
        <m:sSub>
          <m:sSubPr>
            <m:ctrlPr>
              <w:rPr>
                <w:rFonts w:hint="default" w:ascii="Cambria Math" w:hAnsi="Cambria Math" w:eastAsia="宋体" w:cs="Times New Roman"/>
                <w:sz w:val="24"/>
              </w:rPr>
            </m:ctrlPr>
          </m:sSubPr>
          <m:e>
            <m:acc>
              <m:accPr>
                <m:ctrlPr>
                  <w:rPr>
                    <w:rFonts w:hint="default" w:ascii="Cambria Math" w:hAnsi="Cambria Math" w:eastAsia="宋体" w:cs="Times New Roman"/>
                    <w:sz w:val="24"/>
                  </w:rPr>
                </m:ctrlPr>
              </m:accPr>
              <m:e>
                <m:r>
                  <m:rPr/>
                  <w:rPr>
                    <w:rFonts w:hint="default" w:ascii="Cambria Math" w:hAnsi="Cambria Math" w:eastAsia="宋体" w:cs="Times New Roman"/>
                    <w:sz w:val="24"/>
                  </w:rPr>
                  <m:t>β</m:t>
                </m:r>
                <m:ctrlPr>
                  <w:rPr>
                    <w:rFonts w:hint="default" w:ascii="Cambria Math" w:hAnsi="Cambria Math" w:eastAsia="宋体" w:cs="Times New Roman"/>
                    <w:sz w:val="24"/>
                  </w:rPr>
                </m:ctrlPr>
              </m:e>
            </m:acc>
            <m:ctrlPr>
              <w:rPr>
                <w:rFonts w:hint="default" w:ascii="Cambria Math" w:hAnsi="Cambria Math" w:eastAsia="宋体" w:cs="Times New Roman"/>
                <w:sz w:val="24"/>
              </w:rPr>
            </m:ctrlPr>
          </m:e>
          <m:sub>
            <m:r>
              <m:rPr/>
              <w:rPr>
                <w:rFonts w:hint="default" w:ascii="Cambria Math" w:hAnsi="Cambria Math" w:eastAsia="宋体" w:cs="Times New Roman"/>
                <w:sz w:val="24"/>
              </w:rPr>
              <m:t>IV</m:t>
            </m:r>
            <m:ctrlPr>
              <w:rPr>
                <w:rFonts w:hint="default" w:ascii="Cambria Math" w:hAnsi="Cambria Math" w:eastAsia="宋体" w:cs="Times New Roman"/>
                <w:sz w:val="24"/>
              </w:rPr>
            </m:ctrlPr>
          </m:sub>
        </m:sSub>
        <m:r>
          <m:rPr/>
          <w:rPr>
            <w:rFonts w:hint="default" w:ascii="Cambria Math" w:hAnsi="Cambria Math" w:eastAsia="宋体" w:cs="Times New Roman"/>
            <w:sz w:val="24"/>
          </w:rPr>
          <m:t>=</m:t>
        </m:r>
        <m:sSub>
          <m:sSubPr>
            <m:ctrlPr>
              <w:rPr>
                <w:rFonts w:hint="default" w:ascii="Cambria Math" w:hAnsi="Cambria Math" w:eastAsia="宋体" w:cs="Times New Roman"/>
                <w:sz w:val="24"/>
              </w:rPr>
            </m:ctrlPr>
          </m:sSubPr>
          <m:e>
            <m:acc>
              <m:accPr>
                <m:ctrlPr>
                  <w:rPr>
                    <w:rFonts w:hint="default" w:ascii="Cambria Math" w:hAnsi="Cambria Math" w:eastAsia="宋体" w:cs="Times New Roman"/>
                    <w:sz w:val="24"/>
                  </w:rPr>
                </m:ctrlPr>
              </m:accPr>
              <m:e>
                <m:r>
                  <m:rPr/>
                  <w:rPr>
                    <w:rFonts w:hint="default" w:ascii="Cambria Math" w:hAnsi="Cambria Math" w:eastAsia="宋体" w:cs="Times New Roman"/>
                    <w:sz w:val="24"/>
                  </w:rPr>
                  <m:t>β</m:t>
                </m:r>
                <m:ctrlPr>
                  <w:rPr>
                    <w:rFonts w:hint="default" w:ascii="Cambria Math" w:hAnsi="Cambria Math" w:eastAsia="宋体" w:cs="Times New Roman"/>
                    <w:sz w:val="24"/>
                  </w:rPr>
                </m:ctrlPr>
              </m:e>
            </m:acc>
            <m:ctrlPr>
              <w:rPr>
                <w:rFonts w:hint="default" w:ascii="Cambria Math" w:hAnsi="Cambria Math" w:eastAsia="宋体" w:cs="Times New Roman"/>
                <w:sz w:val="24"/>
              </w:rPr>
            </m:ctrlPr>
          </m:e>
          <m:sub>
            <m:r>
              <m:rPr/>
              <w:rPr>
                <w:rFonts w:hint="default" w:ascii="Cambria Math" w:hAnsi="Cambria Math" w:eastAsia="宋体" w:cs="Times New Roman"/>
                <w:sz w:val="24"/>
              </w:rPr>
              <m:t>RF</m:t>
            </m:r>
            <m:ctrlPr>
              <w:rPr>
                <w:rFonts w:hint="default" w:ascii="Cambria Math" w:hAnsi="Cambria Math" w:eastAsia="宋体" w:cs="Times New Roman"/>
                <w:sz w:val="24"/>
              </w:rPr>
            </m:ctrlPr>
          </m:sub>
        </m:sSub>
        <m:r>
          <m:rPr/>
          <w:rPr>
            <w:rFonts w:hint="default" w:ascii="Cambria Math" w:hAnsi="Cambria Math" w:eastAsia="宋体" w:cs="Times New Roman"/>
            <w:sz w:val="24"/>
          </w:rPr>
          <m:t>/</m:t>
        </m:r>
        <m:sSub>
          <m:sSubPr>
            <m:ctrlPr>
              <w:rPr>
                <w:rFonts w:hint="default" w:ascii="Cambria Math" w:hAnsi="Cambria Math" w:eastAsia="宋体" w:cs="Times New Roman"/>
                <w:sz w:val="24"/>
              </w:rPr>
            </m:ctrlPr>
          </m:sSubPr>
          <m:e>
            <m:acc>
              <m:accPr>
                <m:ctrlPr>
                  <w:rPr>
                    <w:rFonts w:hint="default" w:ascii="Cambria Math" w:hAnsi="Cambria Math" w:eastAsia="宋体" w:cs="Times New Roman"/>
                    <w:sz w:val="24"/>
                  </w:rPr>
                </m:ctrlPr>
              </m:accPr>
              <m:e>
                <m:r>
                  <m:rPr/>
                  <w:rPr>
                    <w:rFonts w:hint="default" w:ascii="Cambria Math" w:hAnsi="Cambria Math" w:eastAsia="宋体" w:cs="Times New Roman"/>
                    <w:sz w:val="24"/>
                  </w:rPr>
                  <m:t>π</m:t>
                </m:r>
                <m:ctrlPr>
                  <w:rPr>
                    <w:rFonts w:hint="default" w:ascii="Cambria Math" w:hAnsi="Cambria Math" w:eastAsia="宋体" w:cs="Times New Roman"/>
                    <w:sz w:val="24"/>
                  </w:rPr>
                </m:ctrlPr>
              </m:e>
            </m:acc>
            <m:ctrlPr>
              <w:rPr>
                <w:rFonts w:hint="default" w:ascii="Cambria Math" w:hAnsi="Cambria Math" w:eastAsia="宋体" w:cs="Times New Roman"/>
                <w:sz w:val="24"/>
              </w:rPr>
            </m:ctrlPr>
          </m:e>
          <m:sub>
            <m:r>
              <m:rPr/>
              <w:rPr>
                <w:rFonts w:hint="default" w:ascii="Cambria Math" w:hAnsi="Cambria Math" w:eastAsia="宋体" w:cs="Times New Roman"/>
                <w:sz w:val="24"/>
              </w:rPr>
              <m:t>1</m:t>
            </m:r>
            <m:ctrlPr>
              <w:rPr>
                <w:rFonts w:hint="default" w:ascii="Cambria Math" w:hAnsi="Cambria Math" w:eastAsia="宋体" w:cs="Times New Roman"/>
                <w:sz w:val="24"/>
              </w:rPr>
            </m:ctrlPr>
          </m:sub>
        </m:sSub>
        <m:r>
          <m:rPr/>
          <w:rPr>
            <w:rFonts w:hint="default" w:ascii="Cambria Math" w:hAnsi="Cambria Math" w:eastAsia="宋体" w:cs="Times New Roman"/>
            <w:sz w:val="24"/>
          </w:rPr>
          <m:t>=−0.436/−0.022≈19.8</m:t>
        </m:r>
      </m:oMath>
      <w:r>
        <w:rPr>
          <w:rFonts w:hint="default" w:ascii="Times New Roman" w:hAnsi="Times New Roman" w:cs="Times New Roman"/>
          <w:color w:val="auto"/>
          <w:lang w:val="en-US" w:eastAsia="zh-CN"/>
        </w:rPr>
        <w:t xml:space="preserve">. The 2SLS estimator recovers a Local Average Treatment Effect (LATE) defined over the complier subpopulation—the </w:t>
      </w:r>
      <w:r>
        <w:rPr>
          <w:rFonts w:hint="eastAsia" w:cs="Times New Roman"/>
          <w:color w:val="auto"/>
          <w:lang w:val="en-US" w:eastAsia="zh-CN"/>
        </w:rPr>
        <w:t>neighborhood</w:t>
      </w:r>
      <w:r>
        <w:rPr>
          <w:rFonts w:hint="default" w:ascii="Times New Roman" w:hAnsi="Times New Roman" w:cs="Times New Roman"/>
          <w:color w:val="auto"/>
          <w:lang w:val="en-US" w:eastAsia="zh-CN"/>
        </w:rPr>
        <w:t>s whose GenAI exposure declined because of their industrial composition. For these compliers, a decline in GenAI exposure (potentially reflecting attrition of high-paying AI jobs) is accompanied by a wage decline, producing the positive structural coefficient. Conceptually, the 2SLS LATE and the pre-determined DID identify different causal parameters, and the two are not contradictory; nevertheless, careful interpretation is required.</w:t>
      </w:r>
    </w:p>
    <w:p w14:paraId="5B96F180">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p>
    <w:p w14:paraId="20363DC3">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19" w:name="_Toc14420"/>
      <w:r>
        <w:rPr>
          <w:rFonts w:hint="default" w:ascii="Times New Roman" w:hAnsi="Times New Roman" w:cs="Times New Roman"/>
          <w:lang w:val="en-US" w:eastAsia="zh-CN"/>
        </w:rPr>
        <w:t>4. Parallel-trends test</w:t>
      </w:r>
      <w:bookmarkEnd w:id="19"/>
    </w:p>
    <w:p w14:paraId="0C691A5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Embedding the Bartik IV in an event-study framework (Supplementary Fig. S4) reveals that the 2020 coefficient is significantly different from zero (</w:t>
      </w:r>
      <m:oMath>
        <m:sSub>
          <m:sSubPr>
            <m:ctrlPr>
              <w:rPr>
                <w:rFonts w:hint="default" w:ascii="Cambria Math" w:hAnsi="Cambria Math" w:eastAsia="宋体" w:cs="Times New Roman"/>
                <w:sz w:val="24"/>
              </w:rPr>
            </m:ctrlPr>
          </m:sSubPr>
          <m:e>
            <m:acc>
              <m:accPr>
                <m:ctrlPr>
                  <w:rPr>
                    <w:rFonts w:hint="default" w:ascii="Cambria Math" w:hAnsi="Cambria Math" w:eastAsia="宋体" w:cs="Times New Roman"/>
                    <w:sz w:val="24"/>
                  </w:rPr>
                </m:ctrlPr>
              </m:accPr>
              <m:e>
                <m:r>
                  <m:rPr/>
                  <w:rPr>
                    <w:rFonts w:hint="default" w:ascii="Cambria Math" w:hAnsi="Cambria Math" w:eastAsia="宋体" w:cs="Times New Roman"/>
                    <w:sz w:val="24"/>
                  </w:rPr>
                  <m:t>β</m:t>
                </m:r>
                <m:ctrlPr>
                  <w:rPr>
                    <w:rFonts w:hint="default" w:ascii="Cambria Math" w:hAnsi="Cambria Math" w:eastAsia="宋体" w:cs="Times New Roman"/>
                    <w:sz w:val="24"/>
                  </w:rPr>
                </m:ctrlPr>
              </m:e>
            </m:acc>
            <m:ctrlPr>
              <w:rPr>
                <w:rFonts w:hint="default" w:ascii="Cambria Math" w:hAnsi="Cambria Math" w:eastAsia="宋体" w:cs="Times New Roman"/>
                <w:sz w:val="24"/>
              </w:rPr>
            </m:ctrlPr>
          </m:e>
          <m:sub>
            <m:r>
              <m:rPr/>
              <w:rPr>
                <w:rFonts w:hint="default" w:ascii="Cambria Math" w:hAnsi="Cambria Math" w:eastAsia="宋体" w:cs="Times New Roman"/>
                <w:sz w:val="24"/>
              </w:rPr>
              <m:t>2020</m:t>
            </m:r>
            <m:ctrlPr>
              <w:rPr>
                <w:rFonts w:hint="default" w:ascii="Cambria Math" w:hAnsi="Cambria Math" w:eastAsia="宋体" w:cs="Times New Roman"/>
                <w:sz w:val="24"/>
              </w:rPr>
            </m:ctrlPr>
          </m:sub>
        </m:sSub>
        <m:r>
          <m:rPr/>
          <w:rPr>
            <w:rFonts w:hint="default" w:ascii="Cambria Math" w:hAnsi="Cambria Math" w:eastAsia="宋体" w:cs="Times New Roman"/>
            <w:sz w:val="24"/>
          </w:rPr>
          <m:t>=0.295</m:t>
        </m:r>
      </m:oMath>
      <w:r>
        <w:rPr>
          <w:rFonts w:hint="default" w:ascii="Times New Roman" w:hAnsi="Times New Roman" w:cs="Times New Roman"/>
          <w:color w:val="auto"/>
        </w:rPr>
        <w:t xml:space="preserve">, </w:t>
      </w:r>
      <m:oMath>
        <m:r>
          <m:rPr/>
          <w:rPr>
            <w:rFonts w:hint="default" w:ascii="Cambria Math" w:hAnsi="Cambria Math" w:cs="Times New Roman"/>
          </w:rPr>
          <m:t>p=0.001</m:t>
        </m:r>
      </m:oMath>
      <w:r>
        <w:rPr>
          <w:rFonts w:hint="default" w:ascii="Times New Roman" w:hAnsi="Times New Roman" w:cs="Times New Roman"/>
          <w:color w:val="auto"/>
        </w:rPr>
        <w:t>), and the joint Wald test rejects parallel trends (</w:t>
      </w:r>
      <m:oMath>
        <m:sSup>
          <m:sSupPr>
            <m:ctrlPr>
              <w:rPr>
                <w:rFonts w:hint="default" w:ascii="Cambria Math" w:hAnsi="Cambria Math" w:eastAsia="宋体" w:cs="Times New Roman"/>
                <w:sz w:val="24"/>
              </w:rPr>
            </m:ctrlPr>
          </m:sSupPr>
          <m:e>
            <m:r>
              <m:rPr/>
              <w:rPr>
                <w:rFonts w:hint="default" w:ascii="Cambria Math" w:hAnsi="Cambria Math" w:eastAsia="宋体" w:cs="Times New Roman"/>
                <w:sz w:val="24"/>
              </w:rPr>
              <m:t>χ</m:t>
            </m:r>
            <m:ctrlPr>
              <w:rPr>
                <w:rFonts w:hint="default" w:ascii="Cambria Math" w:hAnsi="Cambria Math" w:eastAsia="宋体" w:cs="Times New Roman"/>
                <w:sz w:val="24"/>
              </w:rPr>
            </m:ctrlPr>
          </m:e>
          <m:sup>
            <m:r>
              <m:rPr/>
              <w:rPr>
                <w:rFonts w:hint="default" w:ascii="Cambria Math" w:hAnsi="Cambria Math" w:eastAsia="宋体" w:cs="Times New Roman"/>
                <w:sz w:val="24"/>
              </w:rPr>
              <m:t>2</m:t>
            </m:r>
            <m:ctrlPr>
              <w:rPr>
                <w:rFonts w:hint="default" w:ascii="Cambria Math" w:hAnsi="Cambria Math" w:eastAsia="宋体" w:cs="Times New Roman"/>
                <w:sz w:val="24"/>
              </w:rPr>
            </m:ctrlPr>
          </m:sup>
        </m:sSup>
        <m:r>
          <m:rPr/>
          <w:rPr>
            <w:rFonts w:hint="default" w:ascii="Cambria Math" w:hAnsi="Cambria Math" w:eastAsia="宋体" w:cs="Times New Roman"/>
            <w:sz w:val="24"/>
          </w:rPr>
          <m:t>=11.04</m:t>
        </m:r>
      </m:oMath>
      <w:r>
        <w:rPr>
          <w:rFonts w:hint="default" w:ascii="Times New Roman" w:hAnsi="Times New Roman" w:cs="Times New Roman"/>
          <w:color w:val="auto"/>
        </w:rPr>
        <w:t xml:space="preserve">, </w:t>
      </w:r>
      <m:oMath>
        <m:r>
          <m:rPr/>
          <w:rPr>
            <w:rFonts w:hint="default" w:ascii="Cambria Math" w:hAnsi="Cambria Math" w:cs="Times New Roman"/>
          </w:rPr>
          <m:t>p=0.004</m:t>
        </m:r>
      </m:oMath>
      <w:r>
        <w:rPr>
          <w:rFonts w:hint="default" w:ascii="Times New Roman" w:hAnsi="Times New Roman" w:cs="Times New Roman"/>
          <w:color w:val="auto"/>
        </w:rPr>
        <w:t>). This indicates that the industrial-composition signal captured by the Bartik IV is systematically correlated with pre-treatment wage trends—plausibly because AI-intensive industries displayed distinctive wage elasticities (for example, remote-work premia) during the early COVID-19 period (2020), and this differential trend predates the GenAI shock.</w:t>
      </w:r>
    </w:p>
    <w:p w14:paraId="7061435A">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Given the failure of the parallel-trends test, the 2SLS structural parameter from the Bartik specification should not be treated as primary causal evidence. The significant negative reduced-form coefficient nevertheless provides directional corroboration: conditional on industrial composition, </w:t>
      </w:r>
      <w:r>
        <w:rPr>
          <w:rFonts w:hint="eastAsia" w:cs="Times New Roman"/>
          <w:color w:val="auto"/>
          <w:lang w:eastAsia="zh-CN"/>
        </w:rPr>
        <w:t>neighborhood</w:t>
      </w:r>
      <w:r>
        <w:rPr>
          <w:rFonts w:hint="default" w:ascii="Times New Roman" w:hAnsi="Times New Roman" w:cs="Times New Roman"/>
          <w:color w:val="auto"/>
        </w:rPr>
        <w:t>s more deeply linked to GenAI-intensive industries experienced larger wage declines.</w:t>
      </w:r>
    </w:p>
    <w:p w14:paraId="6943B786">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p>
    <w:p w14:paraId="0732572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drawing>
          <wp:inline distT="0" distB="0" distL="114300" distR="114300">
            <wp:extent cx="5928360" cy="2038350"/>
            <wp:effectExtent l="0" t="0" r="5715" b="0"/>
            <wp:docPr id="5" name="图片 5" descr="Fig_EventStudy_Ro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_EventStudy_Robust"/>
                    <pic:cNvPicPr>
                      <a:picLocks noChangeAspect="1"/>
                    </pic:cNvPicPr>
                  </pic:nvPicPr>
                  <pic:blipFill>
                    <a:blip r:embed="rId11"/>
                    <a:stretch>
                      <a:fillRect/>
                    </a:stretch>
                  </pic:blipFill>
                  <pic:spPr>
                    <a:xfrm>
                      <a:off x="0" y="0"/>
                      <a:ext cx="5928360" cy="2038350"/>
                    </a:xfrm>
                    <a:prstGeom prst="rect">
                      <a:avLst/>
                    </a:prstGeom>
                  </pic:spPr>
                </pic:pic>
              </a:graphicData>
            </a:graphic>
          </wp:inline>
        </w:drawing>
      </w:r>
    </w:p>
    <w:p w14:paraId="026C4E0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n-US" w:eastAsia="zh-CN"/>
        </w:rPr>
      </w:pPr>
      <w:bookmarkStart w:id="20" w:name="_Toc16733"/>
      <w:r>
        <w:rPr>
          <w:rFonts w:hint="default"/>
          <w:lang w:val="en-US" w:eastAsia="zh-CN"/>
        </w:rPr>
        <w:t>Supplementary Fig. S4 | Event-study robustness — parallel-trends validation (2020–2024).</w:t>
      </w:r>
      <w:bookmarkEnd w:id="20"/>
    </w:p>
    <w:p w14:paraId="09658DD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Event-study estimates under three specifications. Panel A (Baseline): Pre-determined GenAI exposure interacted with year dummies, with baseline controls only. Pre-treatment coefficients for 2020 (</w:t>
      </w:r>
      <w:r>
        <w:rPr>
          <w:rFonts w:hint="default" w:ascii="Times New Roman" w:hAnsi="Times New Roman" w:cs="Times New Roman"/>
          <w:color w:val="auto"/>
          <w:sz w:val="21"/>
          <w:szCs w:val="21"/>
        </w:rPr>
        <w:t>β = 0.065, p = 0.462</w:t>
      </w:r>
      <w:r>
        <w:rPr>
          <w:rFonts w:hint="default" w:ascii="Times New Roman" w:hAnsi="Times New Roman" w:cs="Times New Roman"/>
          <w:color w:val="auto"/>
          <w:sz w:val="21"/>
          <w:szCs w:val="21"/>
          <w:lang w:val="en-US" w:eastAsia="zh-CN"/>
        </w:rPr>
        <w:t>) and 2021 (</w:t>
      </w:r>
      <w:r>
        <w:rPr>
          <w:rFonts w:hint="default" w:ascii="Times New Roman" w:hAnsi="Times New Roman" w:cs="Times New Roman"/>
          <w:color w:val="auto"/>
          <w:sz w:val="21"/>
          <w:szCs w:val="21"/>
        </w:rPr>
        <w:t>β = 0.023, p = 0.767</w:t>
      </w:r>
      <w:r>
        <w:rPr>
          <w:rFonts w:hint="default" w:ascii="Times New Roman" w:hAnsi="Times New Roman" w:cs="Times New Roman"/>
          <w:color w:val="auto"/>
          <w:sz w:val="21"/>
          <w:szCs w:val="21"/>
          <w:lang w:val="en-US" w:eastAsia="zh-CN"/>
        </w:rPr>
        <w:t>) are statistically insignificant; the joint Wald test passes (</w:t>
      </w:r>
      <w:r>
        <w:rPr>
          <w:rFonts w:hint="default" w:ascii="Times New Roman" w:hAnsi="Times New Roman" w:cs="Times New Roman"/>
          <w:color w:val="auto"/>
          <w:sz w:val="21"/>
          <w:szCs w:val="21"/>
        </w:rPr>
        <w:t>χ² = 0.553, p = 0.758</w:t>
      </w:r>
      <w:r>
        <w:rPr>
          <w:rFonts w:hint="default" w:ascii="Times New Roman" w:hAnsi="Times New Roman" w:cs="Times New Roman"/>
          <w:color w:val="auto"/>
          <w:sz w:val="21"/>
          <w:szCs w:val="21"/>
          <w:lang w:val="en-US" w:eastAsia="zh-CN"/>
        </w:rPr>
        <w:t>). The 2023 coefficient is -0.171 (</w:t>
      </w:r>
      <w:r>
        <w:rPr>
          <w:rFonts w:hint="default" w:ascii="Times New Roman" w:hAnsi="Times New Roman" w:cs="Times New Roman"/>
          <w:color w:val="auto"/>
          <w:sz w:val="21"/>
          <w:szCs w:val="21"/>
        </w:rPr>
        <w:t>p = 0.035</w:t>
      </w:r>
      <w:r>
        <w:rPr>
          <w:rFonts w:hint="default" w:ascii="Times New Roman" w:hAnsi="Times New Roman" w:cs="Times New Roman"/>
          <w:color w:val="auto"/>
          <w:sz w:val="21"/>
          <w:szCs w:val="21"/>
          <w:lang w:val="en-US" w:eastAsia="zh-CN"/>
        </w:rPr>
        <w:t>). Panel B (+ Confounder controls): Adds interactions of tech-regulation, COVID-recovery and real-estate shock exposures with Post. Pre-trend validation strengthens (p = 0.916), and the 2023 effect rises slightly to -0.193 (p = 0.033), consistent with confounders mildly attenuating the baseline estimate. Panel C (Bartik IV): Replaces pre-determined GenAI exposure with the Bartik shift-share instrument. The 2020 coefficient is significantly positive (</w:t>
      </w:r>
      <w:r>
        <w:rPr>
          <w:rFonts w:hint="default" w:ascii="Times New Roman" w:hAnsi="Times New Roman" w:cs="Times New Roman"/>
          <w:color w:val="auto"/>
          <w:sz w:val="21"/>
          <w:szCs w:val="21"/>
        </w:rPr>
        <w:t>β = 0.295, p = 0.001</w:t>
      </w:r>
      <w:r>
        <w:rPr>
          <w:rFonts w:hint="default" w:ascii="Times New Roman" w:hAnsi="Times New Roman" w:cs="Times New Roman"/>
          <w:color w:val="auto"/>
          <w:sz w:val="21"/>
          <w:szCs w:val="21"/>
          <w:lang w:val="en-US" w:eastAsia="zh-CN"/>
        </w:rPr>
        <w:t>) and the joint pre-trend test fails (</w:t>
      </w:r>
      <w:r>
        <w:rPr>
          <w:rFonts w:hint="default" w:ascii="Times New Roman" w:hAnsi="Times New Roman" w:cs="Times New Roman"/>
          <w:color w:val="auto"/>
          <w:sz w:val="21"/>
          <w:szCs w:val="21"/>
        </w:rPr>
        <w:t>χ² = 11.04, p = 0.004</w:t>
      </w:r>
      <w:r>
        <w:rPr>
          <w:rFonts w:hint="default" w:ascii="Times New Roman" w:hAnsi="Times New Roman" w:cs="Times New Roman"/>
          <w:color w:val="auto"/>
          <w:sz w:val="21"/>
          <w:szCs w:val="21"/>
          <w:lang w:val="en-US" w:eastAsia="zh-CN"/>
        </w:rPr>
        <w:t>); post-treatment coefficients are positive and insignificant, reflecting the sign reversal discussed above. This specification is presented for transparency but is not used for primary causal inference.</w:t>
      </w:r>
    </w:p>
    <w:p w14:paraId="5252182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1"/>
          <w:szCs w:val="21"/>
        </w:rPr>
      </w:pPr>
    </w:p>
    <w:p w14:paraId="11704924">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21" w:name="_Toc22305"/>
      <w:r>
        <w:rPr>
          <w:rFonts w:hint="default" w:ascii="Times New Roman" w:hAnsi="Times New Roman" w:cs="Times New Roman"/>
          <w:lang w:val="en-US" w:eastAsia="zh-CN"/>
        </w:rPr>
        <w:t>5. Summary</w:t>
      </w:r>
      <w:bookmarkEnd w:id="21"/>
    </w:p>
    <w:p w14:paraId="765A157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Causal identification in this study rests primarily on the pre-determined DID design, which exhibits clean parallel trends (p = 0.916), passes randomization-inference tests (p = 0.004) and explicitly controls for concurrent confounders. The Bartik reduced form provides directionally consistent supplementary evidence, but its structural causal interpretation is constrained by the failure of parallel trends and the counterintuitive negative first stage.</w:t>
      </w:r>
    </w:p>
    <w:p w14:paraId="57E8968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p>
    <w:p w14:paraId="31ED713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22" w:name="_Toc109"/>
      <w:r>
        <w:rPr>
          <w:rFonts w:hint="default" w:ascii="Times New Roman" w:hAnsi="Times New Roman" w:cs="Times New Roman"/>
          <w:lang w:val="en-US" w:eastAsia="zh-CN"/>
        </w:rPr>
        <w:t>Supplementary Table S3 | Full DID results (extended specifications)</w:t>
      </w:r>
      <w:bookmarkEnd w:id="22"/>
    </w:p>
    <w:tbl>
      <w:tblPr>
        <w:tblStyle w:val="16"/>
        <w:tblW w:w="4998"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54"/>
        <w:gridCol w:w="1563"/>
        <w:gridCol w:w="2020"/>
        <w:gridCol w:w="1491"/>
        <w:gridCol w:w="2118"/>
      </w:tblGrid>
      <w:tr w14:paraId="2292C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1169" w:type="pct"/>
            <w:tcBorders>
              <w:top w:val="single" w:color="000000" w:sz="12" w:space="0"/>
              <w:bottom w:val="single" w:color="000000" w:sz="4" w:space="0"/>
              <w:tl2br w:val="nil"/>
            </w:tcBorders>
            <w:shd w:val="clear" w:color="auto" w:fill="FFFFFF"/>
            <w:vAlign w:val="center"/>
          </w:tcPr>
          <w:p w14:paraId="18852B6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tcBorders>
              <w:top w:val="single" w:color="000000" w:sz="12" w:space="0"/>
              <w:bottom w:val="single" w:color="000000" w:sz="4" w:space="0"/>
            </w:tcBorders>
            <w:shd w:val="clear" w:color="auto" w:fill="FFFFFF"/>
            <w:vAlign w:val="center"/>
          </w:tcPr>
          <w:p w14:paraId="1BFEDAF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bidi="ar"/>
              </w:rPr>
            </w:pPr>
            <w:r>
              <w:rPr>
                <w:rFonts w:hint="default" w:ascii="Times New Roman" w:hAnsi="Times New Roman" w:cs="Times New Roman"/>
                <w:b/>
                <w:bCs/>
                <w:color w:val="000000"/>
                <w:kern w:val="0"/>
                <w:sz w:val="21"/>
                <w:szCs w:val="21"/>
                <w:lang w:val="en-US" w:eastAsia="zh-CN" w:bidi="ar"/>
              </w:rPr>
              <w:t>(1) Basic DID</w:t>
            </w:r>
          </w:p>
        </w:tc>
        <w:tc>
          <w:tcPr>
            <w:tcW w:w="1053" w:type="pct"/>
            <w:tcBorders>
              <w:top w:val="single" w:color="000000" w:sz="12" w:space="0"/>
              <w:bottom w:val="single" w:color="000000" w:sz="4" w:space="0"/>
            </w:tcBorders>
            <w:shd w:val="clear" w:color="auto" w:fill="FFFFFF"/>
            <w:vAlign w:val="center"/>
          </w:tcPr>
          <w:p w14:paraId="08B2E96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bidi="ar"/>
              </w:rPr>
            </w:pPr>
            <w:r>
              <w:rPr>
                <w:rFonts w:hint="default" w:ascii="Times New Roman" w:hAnsi="Times New Roman" w:cs="Times New Roman"/>
                <w:b/>
                <w:bCs/>
                <w:color w:val="000000"/>
                <w:kern w:val="0"/>
                <w:sz w:val="21"/>
                <w:szCs w:val="21"/>
                <w:lang w:val="en-US" w:eastAsia="zh-CN" w:bidi="ar"/>
              </w:rPr>
              <w:t>(2) + Confounders</w:t>
            </w:r>
          </w:p>
        </w:tc>
        <w:tc>
          <w:tcPr>
            <w:tcW w:w="773" w:type="pct"/>
            <w:tcBorders>
              <w:top w:val="single" w:color="000000" w:sz="12" w:space="0"/>
              <w:bottom w:val="single" w:color="000000" w:sz="4" w:space="0"/>
            </w:tcBorders>
            <w:shd w:val="clear" w:color="auto" w:fill="FFFFFF"/>
            <w:vAlign w:val="center"/>
          </w:tcPr>
          <w:p w14:paraId="0FA7355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bidi="ar"/>
              </w:rPr>
            </w:pPr>
            <w:r>
              <w:rPr>
                <w:rFonts w:hint="default" w:ascii="Times New Roman" w:hAnsi="Times New Roman" w:cs="Times New Roman"/>
                <w:b/>
                <w:bCs/>
                <w:color w:val="000000"/>
                <w:kern w:val="0"/>
                <w:sz w:val="21"/>
                <w:szCs w:val="21"/>
                <w:lang w:val="en-US" w:eastAsia="zh-CN" w:bidi="ar"/>
              </w:rPr>
              <w:t>(3) Bartik RF</w:t>
            </w:r>
          </w:p>
        </w:tc>
        <w:tc>
          <w:tcPr>
            <w:tcW w:w="1097" w:type="pct"/>
            <w:tcBorders>
              <w:top w:val="single" w:color="000000" w:sz="12" w:space="0"/>
              <w:bottom w:val="single" w:color="000000" w:sz="4" w:space="0"/>
            </w:tcBorders>
            <w:shd w:val="clear" w:color="auto" w:fill="FFFFFF"/>
            <w:vAlign w:val="center"/>
          </w:tcPr>
          <w:p w14:paraId="3DFC093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bidi="ar"/>
              </w:rPr>
            </w:pPr>
            <w:r>
              <w:rPr>
                <w:rFonts w:hint="default" w:ascii="Times New Roman" w:hAnsi="Times New Roman" w:cs="Times New Roman"/>
                <w:b/>
                <w:bCs/>
                <w:color w:val="000000"/>
                <w:kern w:val="0"/>
                <w:sz w:val="21"/>
                <w:szCs w:val="21"/>
                <w:lang w:val="en-US" w:eastAsia="zh-CN" w:bidi="ar"/>
              </w:rPr>
              <w:t>(4) GenAI + Bartik</w:t>
            </w:r>
          </w:p>
        </w:tc>
      </w:tr>
      <w:tr w14:paraId="6BF39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tcBorders>
              <w:top w:val="single" w:color="000000" w:sz="4" w:space="0"/>
            </w:tcBorders>
            <w:shd w:val="clear" w:color="auto" w:fill="FFFFFF"/>
            <w:vAlign w:val="center"/>
          </w:tcPr>
          <w:p w14:paraId="2622F97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Dep. Var.: ln(Wage)</w:t>
            </w:r>
          </w:p>
        </w:tc>
        <w:tc>
          <w:tcPr>
            <w:tcW w:w="811" w:type="pct"/>
            <w:tcBorders>
              <w:top w:val="single" w:color="000000" w:sz="4" w:space="0"/>
            </w:tcBorders>
            <w:shd w:val="clear" w:color="auto" w:fill="FFFFFF"/>
            <w:vAlign w:val="center"/>
          </w:tcPr>
          <w:p w14:paraId="5EA3C21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tcBorders>
              <w:top w:val="single" w:color="000000" w:sz="4" w:space="0"/>
            </w:tcBorders>
            <w:shd w:val="clear" w:color="auto" w:fill="FFFFFF"/>
            <w:vAlign w:val="center"/>
          </w:tcPr>
          <w:p w14:paraId="1342027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773" w:type="pct"/>
            <w:tcBorders>
              <w:top w:val="single" w:color="000000" w:sz="4" w:space="0"/>
            </w:tcBorders>
            <w:shd w:val="clear" w:color="auto" w:fill="FFFFFF"/>
            <w:vAlign w:val="center"/>
          </w:tcPr>
          <w:p w14:paraId="07ACC21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97" w:type="pct"/>
            <w:tcBorders>
              <w:top w:val="single" w:color="000000" w:sz="4" w:space="0"/>
            </w:tcBorders>
            <w:shd w:val="clear" w:color="auto" w:fill="FFFFFF"/>
            <w:vAlign w:val="center"/>
          </w:tcPr>
          <w:p w14:paraId="479EA1F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r>
      <w:tr w14:paraId="5D86F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7E5799F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GenAI₂₀₁₈ × Post</w:t>
            </w:r>
          </w:p>
        </w:tc>
        <w:tc>
          <w:tcPr>
            <w:tcW w:w="811" w:type="pct"/>
            <w:shd w:val="clear" w:color="auto" w:fill="FFFFFF"/>
            <w:vAlign w:val="center"/>
          </w:tcPr>
          <w:p w14:paraId="59D38B6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−0.140**</w:t>
            </w:r>
          </w:p>
        </w:tc>
        <w:tc>
          <w:tcPr>
            <w:tcW w:w="1053" w:type="pct"/>
            <w:shd w:val="clear" w:color="auto" w:fill="FFFFFF"/>
            <w:vAlign w:val="center"/>
          </w:tcPr>
          <w:p w14:paraId="7085929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−0.151**</w:t>
            </w:r>
          </w:p>
        </w:tc>
        <w:tc>
          <w:tcPr>
            <w:tcW w:w="773" w:type="pct"/>
            <w:shd w:val="clear" w:color="auto" w:fill="FFFFFF"/>
            <w:vAlign w:val="center"/>
          </w:tcPr>
          <w:p w14:paraId="297C615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97" w:type="pct"/>
            <w:shd w:val="clear" w:color="auto" w:fill="FFFFFF"/>
            <w:vAlign w:val="center"/>
          </w:tcPr>
          <w:p w14:paraId="0967FAB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−0.287**</w:t>
            </w:r>
          </w:p>
        </w:tc>
      </w:tr>
      <w:tr w14:paraId="0CCD1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04559DE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78F4CF2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(0.061)</w:t>
            </w:r>
          </w:p>
        </w:tc>
        <w:tc>
          <w:tcPr>
            <w:tcW w:w="1053" w:type="pct"/>
            <w:shd w:val="clear" w:color="auto" w:fill="FFFFFF"/>
            <w:vAlign w:val="center"/>
          </w:tcPr>
          <w:p w14:paraId="1E3C738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(0.068)</w:t>
            </w:r>
          </w:p>
        </w:tc>
        <w:tc>
          <w:tcPr>
            <w:tcW w:w="773" w:type="pct"/>
            <w:shd w:val="clear" w:color="auto" w:fill="FFFFFF"/>
            <w:vAlign w:val="center"/>
          </w:tcPr>
          <w:p w14:paraId="0007EAA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97" w:type="pct"/>
            <w:shd w:val="clear" w:color="auto" w:fill="FFFFFF"/>
            <w:vAlign w:val="center"/>
          </w:tcPr>
          <w:p w14:paraId="2EF3833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(0.131)</w:t>
            </w:r>
          </w:p>
        </w:tc>
      </w:tr>
      <w:tr w14:paraId="6FA5D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7AFD29D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Bartik × Post</w:t>
            </w:r>
          </w:p>
        </w:tc>
        <w:tc>
          <w:tcPr>
            <w:tcW w:w="811" w:type="pct"/>
            <w:shd w:val="clear" w:color="auto" w:fill="FFFFFF"/>
            <w:vAlign w:val="center"/>
          </w:tcPr>
          <w:p w14:paraId="34350D8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shd w:val="clear" w:color="auto" w:fill="FFFFFF"/>
            <w:vAlign w:val="center"/>
          </w:tcPr>
          <w:p w14:paraId="76BC11F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773" w:type="pct"/>
            <w:shd w:val="clear" w:color="auto" w:fill="FFFFFF"/>
            <w:vAlign w:val="center"/>
          </w:tcPr>
          <w:p w14:paraId="6D13985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−0.010</w:t>
            </w:r>
          </w:p>
        </w:tc>
        <w:tc>
          <w:tcPr>
            <w:tcW w:w="1097" w:type="pct"/>
            <w:shd w:val="clear" w:color="auto" w:fill="FFFFFF"/>
            <w:vAlign w:val="center"/>
          </w:tcPr>
          <w:p w14:paraId="74964FD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0.204</w:t>
            </w:r>
          </w:p>
        </w:tc>
      </w:tr>
      <w:tr w14:paraId="71E32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3C96995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7C1098D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shd w:val="clear" w:color="auto" w:fill="FFFFFF"/>
            <w:vAlign w:val="center"/>
          </w:tcPr>
          <w:p w14:paraId="295E37A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773" w:type="pct"/>
            <w:shd w:val="clear" w:color="auto" w:fill="FFFFFF"/>
            <w:vAlign w:val="center"/>
          </w:tcPr>
          <w:p w14:paraId="7500F67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(0.061)</w:t>
            </w:r>
          </w:p>
        </w:tc>
        <w:tc>
          <w:tcPr>
            <w:tcW w:w="1097" w:type="pct"/>
            <w:shd w:val="clear" w:color="auto" w:fill="FFFFFF"/>
            <w:vAlign w:val="center"/>
          </w:tcPr>
          <w:p w14:paraId="75A083C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(0.128)</w:t>
            </w:r>
          </w:p>
        </w:tc>
      </w:tr>
      <w:tr w14:paraId="25897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6EEFF50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TechReg × Post</w:t>
            </w:r>
          </w:p>
        </w:tc>
        <w:tc>
          <w:tcPr>
            <w:tcW w:w="811" w:type="pct"/>
            <w:shd w:val="clear" w:color="auto" w:fill="FFFFFF"/>
            <w:vAlign w:val="center"/>
          </w:tcPr>
          <w:p w14:paraId="13A9829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shd w:val="clear" w:color="auto" w:fill="FFFFFF"/>
            <w:vAlign w:val="center"/>
          </w:tcPr>
          <w:p w14:paraId="1529CCB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0.035</w:t>
            </w:r>
          </w:p>
        </w:tc>
        <w:tc>
          <w:tcPr>
            <w:tcW w:w="773" w:type="pct"/>
            <w:shd w:val="clear" w:color="auto" w:fill="FFFFFF"/>
            <w:vAlign w:val="center"/>
          </w:tcPr>
          <w:p w14:paraId="3D214A2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−0.009</w:t>
            </w:r>
          </w:p>
        </w:tc>
        <w:tc>
          <w:tcPr>
            <w:tcW w:w="1097" w:type="pct"/>
            <w:shd w:val="clear" w:color="auto" w:fill="FFFFFF"/>
            <w:vAlign w:val="center"/>
          </w:tcPr>
          <w:p w14:paraId="2890625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0.026</w:t>
            </w:r>
          </w:p>
        </w:tc>
      </w:tr>
      <w:tr w14:paraId="4C69F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02F664D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5CEB52D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shd w:val="clear" w:color="auto" w:fill="FFFFFF"/>
            <w:vAlign w:val="center"/>
          </w:tcPr>
          <w:p w14:paraId="0B56FA6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(0.061)</w:t>
            </w:r>
          </w:p>
        </w:tc>
        <w:tc>
          <w:tcPr>
            <w:tcW w:w="773" w:type="pct"/>
            <w:shd w:val="clear" w:color="auto" w:fill="FFFFFF"/>
            <w:vAlign w:val="center"/>
          </w:tcPr>
          <w:p w14:paraId="72A940B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(0.061)</w:t>
            </w:r>
          </w:p>
        </w:tc>
        <w:tc>
          <w:tcPr>
            <w:tcW w:w="1097" w:type="pct"/>
            <w:shd w:val="clear" w:color="auto" w:fill="FFFFFF"/>
            <w:vAlign w:val="center"/>
          </w:tcPr>
          <w:p w14:paraId="75CF80C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(0.061)</w:t>
            </w:r>
          </w:p>
        </w:tc>
      </w:tr>
      <w:tr w14:paraId="6A471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20D857D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COVID × Post</w:t>
            </w:r>
          </w:p>
        </w:tc>
        <w:tc>
          <w:tcPr>
            <w:tcW w:w="811" w:type="pct"/>
            <w:shd w:val="clear" w:color="auto" w:fill="FFFFFF"/>
            <w:vAlign w:val="center"/>
          </w:tcPr>
          <w:p w14:paraId="44CCD27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shd w:val="clear" w:color="auto" w:fill="FFFFFF"/>
            <w:vAlign w:val="center"/>
          </w:tcPr>
          <w:p w14:paraId="5563040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0.092</w:t>
            </w:r>
          </w:p>
        </w:tc>
        <w:tc>
          <w:tcPr>
            <w:tcW w:w="773" w:type="pct"/>
            <w:shd w:val="clear" w:color="auto" w:fill="FFFFFF"/>
            <w:vAlign w:val="center"/>
          </w:tcPr>
          <w:p w14:paraId="3D20755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0.083</w:t>
            </w:r>
          </w:p>
        </w:tc>
        <w:tc>
          <w:tcPr>
            <w:tcW w:w="1097" w:type="pct"/>
            <w:shd w:val="clear" w:color="auto" w:fill="FFFFFF"/>
            <w:vAlign w:val="center"/>
          </w:tcPr>
          <w:p w14:paraId="66623A5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0.035</w:t>
            </w:r>
          </w:p>
        </w:tc>
      </w:tr>
      <w:tr w14:paraId="364FB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0D424E8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611C1D1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shd w:val="clear" w:color="auto" w:fill="FFFFFF"/>
            <w:vAlign w:val="center"/>
          </w:tcPr>
          <w:p w14:paraId="3449DE6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(0.087)</w:t>
            </w:r>
          </w:p>
        </w:tc>
        <w:tc>
          <w:tcPr>
            <w:tcW w:w="773" w:type="pct"/>
            <w:shd w:val="clear" w:color="auto" w:fill="FFFFFF"/>
            <w:vAlign w:val="center"/>
          </w:tcPr>
          <w:p w14:paraId="5750219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(0.092)</w:t>
            </w:r>
          </w:p>
        </w:tc>
        <w:tc>
          <w:tcPr>
            <w:tcW w:w="1097" w:type="pct"/>
            <w:shd w:val="clear" w:color="auto" w:fill="FFFFFF"/>
            <w:vAlign w:val="center"/>
          </w:tcPr>
          <w:p w14:paraId="08C9C9A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(0.095)</w:t>
            </w:r>
          </w:p>
        </w:tc>
      </w:tr>
      <w:tr w14:paraId="4398D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5ADDD0A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RealEstate × Post</w:t>
            </w:r>
          </w:p>
        </w:tc>
        <w:tc>
          <w:tcPr>
            <w:tcW w:w="811" w:type="pct"/>
            <w:shd w:val="clear" w:color="auto" w:fill="FFFFFF"/>
            <w:vAlign w:val="center"/>
          </w:tcPr>
          <w:p w14:paraId="3D908BE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shd w:val="clear" w:color="auto" w:fill="FFFFFF"/>
            <w:vAlign w:val="center"/>
          </w:tcPr>
          <w:p w14:paraId="3A20C42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−0.039</w:t>
            </w:r>
          </w:p>
        </w:tc>
        <w:tc>
          <w:tcPr>
            <w:tcW w:w="773" w:type="pct"/>
            <w:shd w:val="clear" w:color="auto" w:fill="FFFFFF"/>
            <w:vAlign w:val="center"/>
          </w:tcPr>
          <w:p w14:paraId="7EBA744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−0.054</w:t>
            </w:r>
          </w:p>
        </w:tc>
        <w:tc>
          <w:tcPr>
            <w:tcW w:w="1097" w:type="pct"/>
            <w:shd w:val="clear" w:color="auto" w:fill="FFFFFF"/>
            <w:vAlign w:val="center"/>
          </w:tcPr>
          <w:p w14:paraId="474D171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−0.072</w:t>
            </w:r>
          </w:p>
        </w:tc>
      </w:tr>
      <w:tr w14:paraId="13E24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4095B0B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786F808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1053" w:type="pct"/>
            <w:shd w:val="clear" w:color="auto" w:fill="FFFFFF"/>
            <w:vAlign w:val="center"/>
          </w:tcPr>
          <w:p w14:paraId="01F9A80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(0.109)</w:t>
            </w:r>
          </w:p>
        </w:tc>
        <w:tc>
          <w:tcPr>
            <w:tcW w:w="773" w:type="pct"/>
            <w:shd w:val="clear" w:color="auto" w:fill="FFFFFF"/>
            <w:vAlign w:val="center"/>
          </w:tcPr>
          <w:p w14:paraId="40B09BE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(0.111)</w:t>
            </w:r>
          </w:p>
        </w:tc>
        <w:tc>
          <w:tcPr>
            <w:tcW w:w="1097" w:type="pct"/>
            <w:shd w:val="clear" w:color="auto" w:fill="FFFFFF"/>
            <w:vAlign w:val="center"/>
          </w:tcPr>
          <w:p w14:paraId="55128E9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(0.109)</w:t>
            </w:r>
          </w:p>
        </w:tc>
      </w:tr>
      <w:tr w14:paraId="4FDE0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6F472E8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ln(Population)</w:t>
            </w:r>
          </w:p>
        </w:tc>
        <w:tc>
          <w:tcPr>
            <w:tcW w:w="811" w:type="pct"/>
            <w:shd w:val="clear" w:color="auto" w:fill="FFFFFF"/>
            <w:vAlign w:val="center"/>
          </w:tcPr>
          <w:p w14:paraId="498C0EA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−89.73</w:t>
            </w:r>
          </w:p>
        </w:tc>
        <w:tc>
          <w:tcPr>
            <w:tcW w:w="1053" w:type="pct"/>
            <w:shd w:val="clear" w:color="auto" w:fill="FFFFFF"/>
            <w:vAlign w:val="center"/>
          </w:tcPr>
          <w:p w14:paraId="47BFDB4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−89.45</w:t>
            </w:r>
          </w:p>
        </w:tc>
        <w:tc>
          <w:tcPr>
            <w:tcW w:w="773" w:type="pct"/>
            <w:shd w:val="clear" w:color="auto" w:fill="FFFFFF"/>
            <w:vAlign w:val="center"/>
          </w:tcPr>
          <w:p w14:paraId="2789762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−93.88</w:t>
            </w:r>
          </w:p>
        </w:tc>
        <w:tc>
          <w:tcPr>
            <w:tcW w:w="1097" w:type="pct"/>
            <w:shd w:val="clear" w:color="auto" w:fill="FFFFFF"/>
            <w:vAlign w:val="center"/>
          </w:tcPr>
          <w:p w14:paraId="379A45C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−84.69</w:t>
            </w:r>
          </w:p>
        </w:tc>
      </w:tr>
      <w:tr w14:paraId="0CE81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6960CAE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2B9F0BD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(84.84)</w:t>
            </w:r>
          </w:p>
        </w:tc>
        <w:tc>
          <w:tcPr>
            <w:tcW w:w="1053" w:type="pct"/>
            <w:shd w:val="clear" w:color="auto" w:fill="FFFFFF"/>
            <w:vAlign w:val="center"/>
          </w:tcPr>
          <w:p w14:paraId="187B740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(83.43)</w:t>
            </w:r>
          </w:p>
        </w:tc>
        <w:tc>
          <w:tcPr>
            <w:tcW w:w="773" w:type="pct"/>
            <w:shd w:val="clear" w:color="auto" w:fill="FFFFFF"/>
            <w:vAlign w:val="center"/>
          </w:tcPr>
          <w:p w14:paraId="38B2003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(85.09)</w:t>
            </w:r>
          </w:p>
        </w:tc>
        <w:tc>
          <w:tcPr>
            <w:tcW w:w="1097" w:type="pct"/>
            <w:shd w:val="clear" w:color="auto" w:fill="FFFFFF"/>
            <w:vAlign w:val="center"/>
          </w:tcPr>
          <w:p w14:paraId="459783C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(82.66)</w:t>
            </w:r>
          </w:p>
        </w:tc>
      </w:tr>
      <w:tr w14:paraId="5C7B3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79E9D0B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Nightlight</w:t>
            </w:r>
          </w:p>
        </w:tc>
        <w:tc>
          <w:tcPr>
            <w:tcW w:w="811" w:type="pct"/>
            <w:shd w:val="clear" w:color="auto" w:fill="FFFFFF"/>
            <w:vAlign w:val="center"/>
          </w:tcPr>
          <w:p w14:paraId="0515876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0.190</w:t>
            </w:r>
          </w:p>
        </w:tc>
        <w:tc>
          <w:tcPr>
            <w:tcW w:w="1053" w:type="pct"/>
            <w:shd w:val="clear" w:color="auto" w:fill="FFFFFF"/>
            <w:vAlign w:val="center"/>
          </w:tcPr>
          <w:p w14:paraId="167F4BF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0.180</w:t>
            </w:r>
          </w:p>
        </w:tc>
        <w:tc>
          <w:tcPr>
            <w:tcW w:w="773" w:type="pct"/>
            <w:shd w:val="clear" w:color="auto" w:fill="FFFFFF"/>
            <w:vAlign w:val="center"/>
          </w:tcPr>
          <w:p w14:paraId="3BD5CE3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0.202</w:t>
            </w:r>
          </w:p>
        </w:tc>
        <w:tc>
          <w:tcPr>
            <w:tcW w:w="1097" w:type="pct"/>
            <w:shd w:val="clear" w:color="auto" w:fill="FFFFFF"/>
            <w:vAlign w:val="center"/>
          </w:tcPr>
          <w:p w14:paraId="18E2924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0.171</w:t>
            </w:r>
          </w:p>
        </w:tc>
      </w:tr>
      <w:tr w14:paraId="5C4CE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76C707B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3C74528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(0.383)</w:t>
            </w:r>
          </w:p>
        </w:tc>
        <w:tc>
          <w:tcPr>
            <w:tcW w:w="1053" w:type="pct"/>
            <w:shd w:val="clear" w:color="auto" w:fill="FFFFFF"/>
            <w:vAlign w:val="center"/>
          </w:tcPr>
          <w:p w14:paraId="422C61A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(0.385)</w:t>
            </w:r>
          </w:p>
        </w:tc>
        <w:tc>
          <w:tcPr>
            <w:tcW w:w="773" w:type="pct"/>
            <w:shd w:val="clear" w:color="auto" w:fill="FFFFFF"/>
            <w:vAlign w:val="center"/>
          </w:tcPr>
          <w:p w14:paraId="07D5E52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(0.388)</w:t>
            </w:r>
          </w:p>
        </w:tc>
        <w:tc>
          <w:tcPr>
            <w:tcW w:w="1097" w:type="pct"/>
            <w:shd w:val="clear" w:color="auto" w:fill="FFFFFF"/>
            <w:vAlign w:val="center"/>
          </w:tcPr>
          <w:p w14:paraId="4604055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(0.385)</w:t>
            </w:r>
          </w:p>
        </w:tc>
      </w:tr>
      <w:tr w14:paraId="35AF9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226F684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NDVI (Std.)</w:t>
            </w:r>
          </w:p>
        </w:tc>
        <w:tc>
          <w:tcPr>
            <w:tcW w:w="811" w:type="pct"/>
            <w:shd w:val="clear" w:color="auto" w:fill="FFFFFF"/>
            <w:vAlign w:val="center"/>
          </w:tcPr>
          <w:p w14:paraId="30048BC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−0.006</w:t>
            </w:r>
          </w:p>
        </w:tc>
        <w:tc>
          <w:tcPr>
            <w:tcW w:w="1053" w:type="pct"/>
            <w:shd w:val="clear" w:color="auto" w:fill="FFFFFF"/>
            <w:vAlign w:val="center"/>
          </w:tcPr>
          <w:p w14:paraId="3B63733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0.006</w:t>
            </w:r>
          </w:p>
        </w:tc>
        <w:tc>
          <w:tcPr>
            <w:tcW w:w="773" w:type="pct"/>
            <w:shd w:val="clear" w:color="auto" w:fill="FFFFFF"/>
            <w:vAlign w:val="center"/>
          </w:tcPr>
          <w:p w14:paraId="758AF17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−0.018</w:t>
            </w:r>
          </w:p>
        </w:tc>
        <w:tc>
          <w:tcPr>
            <w:tcW w:w="1097" w:type="pct"/>
            <w:shd w:val="clear" w:color="auto" w:fill="FFFFFF"/>
            <w:vAlign w:val="center"/>
          </w:tcPr>
          <w:p w14:paraId="1603DFE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−0.010</w:t>
            </w:r>
          </w:p>
        </w:tc>
      </w:tr>
      <w:tr w14:paraId="1C54B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2C052EC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2A53067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(0.285)</w:t>
            </w:r>
          </w:p>
        </w:tc>
        <w:tc>
          <w:tcPr>
            <w:tcW w:w="1053" w:type="pct"/>
            <w:shd w:val="clear" w:color="auto" w:fill="FFFFFF"/>
            <w:vAlign w:val="center"/>
          </w:tcPr>
          <w:p w14:paraId="63CA5C2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(0.286)</w:t>
            </w:r>
          </w:p>
        </w:tc>
        <w:tc>
          <w:tcPr>
            <w:tcW w:w="773" w:type="pct"/>
            <w:shd w:val="clear" w:color="auto" w:fill="FFFFFF"/>
            <w:vAlign w:val="center"/>
          </w:tcPr>
          <w:p w14:paraId="26047C4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(0.288)</w:t>
            </w:r>
          </w:p>
        </w:tc>
        <w:tc>
          <w:tcPr>
            <w:tcW w:w="1097" w:type="pct"/>
            <w:shd w:val="clear" w:color="auto" w:fill="FFFFFF"/>
            <w:vAlign w:val="center"/>
          </w:tcPr>
          <w:p w14:paraId="7016B95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(0.285)</w:t>
            </w:r>
          </w:p>
        </w:tc>
      </w:tr>
      <w:tr w14:paraId="70AE9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23D2227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POI Density (Std.)</w:t>
            </w:r>
          </w:p>
        </w:tc>
        <w:tc>
          <w:tcPr>
            <w:tcW w:w="811" w:type="pct"/>
            <w:shd w:val="clear" w:color="auto" w:fill="FFFFFF"/>
            <w:vAlign w:val="center"/>
          </w:tcPr>
          <w:p w14:paraId="52F912F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−0.097*</w:t>
            </w:r>
          </w:p>
        </w:tc>
        <w:tc>
          <w:tcPr>
            <w:tcW w:w="1053" w:type="pct"/>
            <w:shd w:val="clear" w:color="auto" w:fill="FFFFFF"/>
            <w:vAlign w:val="center"/>
          </w:tcPr>
          <w:p w14:paraId="6E9329A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−0.094*</w:t>
            </w:r>
          </w:p>
        </w:tc>
        <w:tc>
          <w:tcPr>
            <w:tcW w:w="773" w:type="pct"/>
            <w:shd w:val="clear" w:color="auto" w:fill="FFFFFF"/>
            <w:vAlign w:val="center"/>
          </w:tcPr>
          <w:p w14:paraId="063B114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−0.091*</w:t>
            </w:r>
          </w:p>
        </w:tc>
        <w:tc>
          <w:tcPr>
            <w:tcW w:w="1097" w:type="pct"/>
            <w:shd w:val="clear" w:color="auto" w:fill="FFFFFF"/>
            <w:vAlign w:val="center"/>
          </w:tcPr>
          <w:p w14:paraId="3F3BCED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−0.094*</w:t>
            </w:r>
          </w:p>
        </w:tc>
      </w:tr>
      <w:tr w14:paraId="7FD2D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1CC8B9D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7ADFCF1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(0.050)</w:t>
            </w:r>
          </w:p>
        </w:tc>
        <w:tc>
          <w:tcPr>
            <w:tcW w:w="1053" w:type="pct"/>
            <w:shd w:val="clear" w:color="auto" w:fill="FFFFFF"/>
            <w:vAlign w:val="center"/>
          </w:tcPr>
          <w:p w14:paraId="7B62E33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(0.050)</w:t>
            </w:r>
          </w:p>
        </w:tc>
        <w:tc>
          <w:tcPr>
            <w:tcW w:w="773" w:type="pct"/>
            <w:shd w:val="clear" w:color="auto" w:fill="FFFFFF"/>
            <w:vAlign w:val="center"/>
          </w:tcPr>
          <w:p w14:paraId="6118537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(0.048)</w:t>
            </w:r>
          </w:p>
        </w:tc>
        <w:tc>
          <w:tcPr>
            <w:tcW w:w="1097" w:type="pct"/>
            <w:shd w:val="clear" w:color="auto" w:fill="FFFFFF"/>
            <w:vAlign w:val="center"/>
          </w:tcPr>
          <w:p w14:paraId="1ED594E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(0.050)</w:t>
            </w:r>
          </w:p>
        </w:tc>
      </w:tr>
      <w:tr w14:paraId="74374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58A41A2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Land Use (Std.)</w:t>
            </w:r>
          </w:p>
        </w:tc>
        <w:tc>
          <w:tcPr>
            <w:tcW w:w="811" w:type="pct"/>
            <w:shd w:val="clear" w:color="auto" w:fill="FFFFFF"/>
            <w:vAlign w:val="center"/>
          </w:tcPr>
          <w:p w14:paraId="5F5FCD8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−1.023</w:t>
            </w:r>
          </w:p>
        </w:tc>
        <w:tc>
          <w:tcPr>
            <w:tcW w:w="1053" w:type="pct"/>
            <w:shd w:val="clear" w:color="auto" w:fill="FFFFFF"/>
            <w:vAlign w:val="center"/>
          </w:tcPr>
          <w:p w14:paraId="642DDBC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−1.035</w:t>
            </w:r>
          </w:p>
        </w:tc>
        <w:tc>
          <w:tcPr>
            <w:tcW w:w="773" w:type="pct"/>
            <w:shd w:val="clear" w:color="auto" w:fill="FFFFFF"/>
            <w:vAlign w:val="center"/>
          </w:tcPr>
          <w:p w14:paraId="02F27BD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−0.985</w:t>
            </w:r>
          </w:p>
        </w:tc>
        <w:tc>
          <w:tcPr>
            <w:tcW w:w="1097" w:type="pct"/>
            <w:shd w:val="clear" w:color="auto" w:fill="FFFFFF"/>
            <w:vAlign w:val="center"/>
          </w:tcPr>
          <w:p w14:paraId="4F23DA4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−0.991</w:t>
            </w:r>
          </w:p>
        </w:tc>
      </w:tr>
      <w:tr w14:paraId="04F53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7EF2C75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p>
        </w:tc>
        <w:tc>
          <w:tcPr>
            <w:tcW w:w="811" w:type="pct"/>
            <w:shd w:val="clear" w:color="auto" w:fill="FFFFFF"/>
            <w:vAlign w:val="center"/>
          </w:tcPr>
          <w:p w14:paraId="7F6CA25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(0.959)</w:t>
            </w:r>
          </w:p>
        </w:tc>
        <w:tc>
          <w:tcPr>
            <w:tcW w:w="1053" w:type="pct"/>
            <w:shd w:val="clear" w:color="auto" w:fill="FFFFFF"/>
            <w:vAlign w:val="center"/>
          </w:tcPr>
          <w:p w14:paraId="77B7CA0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(0.970)</w:t>
            </w:r>
          </w:p>
        </w:tc>
        <w:tc>
          <w:tcPr>
            <w:tcW w:w="773" w:type="pct"/>
            <w:shd w:val="clear" w:color="auto" w:fill="FFFFFF"/>
            <w:vAlign w:val="center"/>
          </w:tcPr>
          <w:p w14:paraId="34B8E3B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(0.968)</w:t>
            </w:r>
          </w:p>
        </w:tc>
        <w:tc>
          <w:tcPr>
            <w:tcW w:w="1097" w:type="pct"/>
            <w:shd w:val="clear" w:color="auto" w:fill="FFFFFF"/>
            <w:vAlign w:val="center"/>
          </w:tcPr>
          <w:p w14:paraId="7FB26D2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(0.961)</w:t>
            </w:r>
          </w:p>
        </w:tc>
      </w:tr>
      <w:tr w14:paraId="27196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3F2017E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Entity FE / Time FE</w:t>
            </w:r>
          </w:p>
        </w:tc>
        <w:tc>
          <w:tcPr>
            <w:tcW w:w="811" w:type="pct"/>
            <w:shd w:val="clear" w:color="auto" w:fill="FFFFFF"/>
            <w:vAlign w:val="center"/>
          </w:tcPr>
          <w:p w14:paraId="3083A5D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Yes / Yes</w:t>
            </w:r>
          </w:p>
        </w:tc>
        <w:tc>
          <w:tcPr>
            <w:tcW w:w="1053" w:type="pct"/>
            <w:shd w:val="clear" w:color="auto" w:fill="FFFFFF"/>
            <w:vAlign w:val="center"/>
          </w:tcPr>
          <w:p w14:paraId="11DBA4B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Yes / Yes</w:t>
            </w:r>
          </w:p>
        </w:tc>
        <w:tc>
          <w:tcPr>
            <w:tcW w:w="773" w:type="pct"/>
            <w:shd w:val="clear" w:color="auto" w:fill="FFFFFF"/>
            <w:vAlign w:val="center"/>
          </w:tcPr>
          <w:p w14:paraId="51F0392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Yes / Yes</w:t>
            </w:r>
          </w:p>
        </w:tc>
        <w:tc>
          <w:tcPr>
            <w:tcW w:w="1097" w:type="pct"/>
            <w:shd w:val="clear" w:color="auto" w:fill="FFFFFF"/>
            <w:vAlign w:val="center"/>
          </w:tcPr>
          <w:p w14:paraId="05FF79B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Yes / Yes</w:t>
            </w:r>
          </w:p>
        </w:tc>
      </w:tr>
      <w:tr w14:paraId="7CB52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169" w:type="pct"/>
            <w:shd w:val="clear" w:color="auto" w:fill="FFFFFF"/>
            <w:vAlign w:val="center"/>
          </w:tcPr>
          <w:p w14:paraId="0EBD9B3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Observations</w:t>
            </w:r>
          </w:p>
        </w:tc>
        <w:tc>
          <w:tcPr>
            <w:tcW w:w="811" w:type="pct"/>
            <w:shd w:val="clear" w:color="auto" w:fill="FFFFFF"/>
            <w:vAlign w:val="center"/>
          </w:tcPr>
          <w:p w14:paraId="43D38D7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6,895</w:t>
            </w:r>
          </w:p>
        </w:tc>
        <w:tc>
          <w:tcPr>
            <w:tcW w:w="1053" w:type="pct"/>
            <w:shd w:val="clear" w:color="auto" w:fill="FFFFFF"/>
            <w:vAlign w:val="center"/>
          </w:tcPr>
          <w:p w14:paraId="3E5795F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6,895</w:t>
            </w:r>
          </w:p>
        </w:tc>
        <w:tc>
          <w:tcPr>
            <w:tcW w:w="773" w:type="pct"/>
            <w:shd w:val="clear" w:color="auto" w:fill="FFFFFF"/>
            <w:vAlign w:val="center"/>
          </w:tcPr>
          <w:p w14:paraId="311B0AB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6,895</w:t>
            </w:r>
          </w:p>
        </w:tc>
        <w:tc>
          <w:tcPr>
            <w:tcW w:w="1097" w:type="pct"/>
            <w:shd w:val="clear" w:color="auto" w:fill="FFFFFF"/>
            <w:vAlign w:val="center"/>
          </w:tcPr>
          <w:p w14:paraId="7FE1CCE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6,895</w:t>
            </w:r>
          </w:p>
        </w:tc>
      </w:tr>
      <w:tr w14:paraId="58D61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shd w:val="clear" w:color="auto" w:fill="FFFFFF"/>
            <w:vAlign w:val="center"/>
          </w:tcPr>
          <w:p w14:paraId="7CF81E4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R² (within)</w:t>
            </w:r>
          </w:p>
        </w:tc>
        <w:tc>
          <w:tcPr>
            <w:tcW w:w="811" w:type="pct"/>
            <w:shd w:val="clear" w:color="auto" w:fill="FFFFFF"/>
            <w:vAlign w:val="center"/>
          </w:tcPr>
          <w:p w14:paraId="049A985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0.0005</w:t>
            </w:r>
          </w:p>
        </w:tc>
        <w:tc>
          <w:tcPr>
            <w:tcW w:w="1053" w:type="pct"/>
            <w:shd w:val="clear" w:color="auto" w:fill="FFFFFF"/>
            <w:vAlign w:val="center"/>
          </w:tcPr>
          <w:p w14:paraId="7C092B4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0.0013</w:t>
            </w:r>
          </w:p>
        </w:tc>
        <w:tc>
          <w:tcPr>
            <w:tcW w:w="773" w:type="pct"/>
            <w:shd w:val="clear" w:color="auto" w:fill="FFFFFF"/>
            <w:vAlign w:val="center"/>
          </w:tcPr>
          <w:p w14:paraId="6B7EAA9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−0.0002</w:t>
            </w:r>
          </w:p>
        </w:tc>
        <w:tc>
          <w:tcPr>
            <w:tcW w:w="1097" w:type="pct"/>
            <w:shd w:val="clear" w:color="auto" w:fill="FFFFFF"/>
            <w:vAlign w:val="center"/>
          </w:tcPr>
          <w:p w14:paraId="229C50A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0.0028</w:t>
            </w:r>
          </w:p>
        </w:tc>
      </w:tr>
      <w:tr w14:paraId="737D1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169" w:type="pct"/>
            <w:tcBorders>
              <w:bottom w:val="single" w:color="000000" w:sz="12" w:space="0"/>
            </w:tcBorders>
            <w:shd w:val="clear" w:color="auto" w:fill="FFFFFF"/>
            <w:vAlign w:val="center"/>
          </w:tcPr>
          <w:p w14:paraId="137B2ED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F-statistic</w:t>
            </w:r>
          </w:p>
        </w:tc>
        <w:tc>
          <w:tcPr>
            <w:tcW w:w="811" w:type="pct"/>
            <w:tcBorders>
              <w:bottom w:val="single" w:color="000000" w:sz="12" w:space="0"/>
            </w:tcBorders>
            <w:shd w:val="clear" w:color="auto" w:fill="FFFFFF"/>
            <w:vAlign w:val="center"/>
          </w:tcPr>
          <w:p w14:paraId="2F29912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2.67**</w:t>
            </w:r>
          </w:p>
        </w:tc>
        <w:tc>
          <w:tcPr>
            <w:tcW w:w="1053" w:type="pct"/>
            <w:tcBorders>
              <w:bottom w:val="single" w:color="000000" w:sz="12" w:space="0"/>
            </w:tcBorders>
            <w:shd w:val="clear" w:color="auto" w:fill="FFFFFF"/>
            <w:vAlign w:val="center"/>
          </w:tcPr>
          <w:p w14:paraId="6E643BC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2.25**</w:t>
            </w:r>
          </w:p>
        </w:tc>
        <w:tc>
          <w:tcPr>
            <w:tcW w:w="773" w:type="pct"/>
            <w:tcBorders>
              <w:bottom w:val="single" w:color="000000" w:sz="12" w:space="0"/>
            </w:tcBorders>
            <w:shd w:val="clear" w:color="auto" w:fill="FFFFFF"/>
            <w:vAlign w:val="center"/>
          </w:tcPr>
          <w:p w14:paraId="6A31F3F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1.36</w:t>
            </w:r>
          </w:p>
        </w:tc>
        <w:tc>
          <w:tcPr>
            <w:tcW w:w="1097" w:type="pct"/>
            <w:tcBorders>
              <w:bottom w:val="single" w:color="000000" w:sz="12" w:space="0"/>
            </w:tcBorders>
            <w:shd w:val="clear" w:color="auto" w:fill="FFFFFF"/>
            <w:vAlign w:val="center"/>
          </w:tcPr>
          <w:p w14:paraId="40FBAB3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bidi="ar"/>
              </w:rPr>
            </w:pPr>
            <w:r>
              <w:rPr>
                <w:rFonts w:hint="default" w:ascii="Times New Roman" w:hAnsi="Times New Roman" w:cs="Times New Roman"/>
                <w:b w:val="0"/>
                <w:color w:val="000000"/>
                <w:kern w:val="0"/>
                <w:sz w:val="21"/>
                <w:szCs w:val="21"/>
                <w:lang w:val="en-US" w:eastAsia="zh-CN" w:bidi="ar"/>
              </w:rPr>
              <w:t>2.69***</w:t>
            </w:r>
          </w:p>
        </w:tc>
      </w:tr>
    </w:tbl>
    <w:p w14:paraId="46FF50CB">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Georgia" w:cs="Times New Roman"/>
          <w:b w:val="0"/>
          <w:bCs w:val="0"/>
          <w:color w:val="374151"/>
          <w:kern w:val="2"/>
          <w:sz w:val="21"/>
          <w:szCs w:val="21"/>
          <w:shd w:val="clear" w:color="auto" w:fill="FFFFFF"/>
          <w:lang w:val="en-US" w:eastAsia="zh-CN" w:bidi="ar-SA"/>
          <w14:ligatures w14:val="standardContextual"/>
        </w:rPr>
      </w:pPr>
      <w:r>
        <w:rPr>
          <w:rFonts w:hint="default" w:ascii="Times New Roman" w:hAnsi="Times New Roman" w:eastAsia="Georgia" w:cs="Times New Roman"/>
          <w:b/>
          <w:bCs/>
          <w:color w:val="374151"/>
          <w:kern w:val="2"/>
          <w:sz w:val="21"/>
          <w:szCs w:val="21"/>
          <w:shd w:val="clear" w:color="auto" w:fill="FFFFFF"/>
          <w:lang w:val="en-US" w:eastAsia="zh-CN" w:bidi="ar-SA"/>
          <w14:ligatures w14:val="standardContextual"/>
        </w:rPr>
        <w:t>Notes.</w:t>
      </w:r>
      <w:r>
        <w:rPr>
          <w:rFonts w:hint="default" w:ascii="Times New Roman" w:hAnsi="Times New Roman" w:eastAsia="Georgia" w:cs="Times New Roman"/>
          <w:b w:val="0"/>
          <w:bCs w:val="0"/>
          <w:color w:val="374151"/>
          <w:kern w:val="2"/>
          <w:sz w:val="21"/>
          <w:szCs w:val="21"/>
          <w:shd w:val="clear" w:color="auto" w:fill="FFFFFF"/>
          <w:lang w:val="en-US" w:eastAsia="zh-CN" w:bidi="ar-SA"/>
          <w14:ligatures w14:val="standardContextual"/>
        </w:rPr>
        <w:t xml:space="preserve"> Standard errors clustered at the </w:t>
      </w:r>
      <w:r>
        <w:rPr>
          <w:rFonts w:hint="eastAsia" w:eastAsia="Georgia" w:cs="Times New Roman"/>
          <w:b w:val="0"/>
          <w:bCs w:val="0"/>
          <w:color w:val="374151"/>
          <w:kern w:val="2"/>
          <w:sz w:val="21"/>
          <w:szCs w:val="21"/>
          <w:shd w:val="clear" w:color="auto" w:fill="FFFFFF"/>
          <w:lang w:val="en-US" w:eastAsia="zh-CN" w:bidi="ar-SA"/>
          <w14:ligatures w14:val="standardContextual"/>
        </w:rPr>
        <w:t>neighborhood</w:t>
      </w:r>
      <w:r>
        <w:rPr>
          <w:rFonts w:hint="default" w:ascii="Times New Roman" w:hAnsi="Times New Roman" w:eastAsia="Georgia" w:cs="Times New Roman"/>
          <w:b w:val="0"/>
          <w:bCs w:val="0"/>
          <w:color w:val="374151"/>
          <w:kern w:val="2"/>
          <w:sz w:val="21"/>
          <w:szCs w:val="21"/>
          <w:shd w:val="clear" w:color="auto" w:fill="FFFFFF"/>
          <w:lang w:val="en-US" w:eastAsia="zh-CN" w:bidi="ar-SA"/>
          <w14:ligatures w14:val="standardContextual"/>
        </w:rPr>
        <w:t xml:space="preserve"> level are in parentheses. Column (3) replaces the pre-determined GenAI exposure with the Bartik shift-share instrument. Column (4) includes both treatment proxies simultaneously. When both are included, the GenAI coefficient roughly doubles in magnitude, suggesting that the Bartik IV captures orthogonal variation that, once partialled out, sharpens the GenAI estimate. *** p &lt; 0.01; ** p &lt; 0.05; * p &lt; 0.1.</w:t>
      </w:r>
    </w:p>
    <w:p w14:paraId="095F6E3C">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Georgia" w:cs="Times New Roman"/>
          <w:b w:val="0"/>
          <w:bCs w:val="0"/>
          <w:color w:val="374151"/>
          <w:kern w:val="2"/>
          <w:sz w:val="21"/>
          <w:szCs w:val="21"/>
          <w:shd w:val="clear" w:color="auto" w:fill="FFFFFF"/>
          <w:lang w:val="en-US" w:eastAsia="zh-CN" w:bidi="ar-SA"/>
          <w14:ligatures w14:val="standardContextual"/>
        </w:rPr>
      </w:pPr>
    </w:p>
    <w:p w14:paraId="3D98B478">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23" w:name="_Toc3378"/>
      <w:r>
        <w:rPr>
          <w:rFonts w:hint="default" w:ascii="Times New Roman" w:hAnsi="Times New Roman" w:cs="Times New Roman"/>
          <w:lang w:val="en-US" w:eastAsia="zh-CN"/>
        </w:rPr>
        <w:t>Supplementary Table S4 | Long-difference instrumental-variables estimation</w:t>
      </w:r>
      <w:bookmarkEnd w:id="23"/>
    </w:p>
    <w:p w14:paraId="235E6E13">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Style w:val="19"/>
          <w:rFonts w:hint="default" w:ascii="Times New Roman" w:hAnsi="Times New Roman" w:cs="Times New Roman"/>
          <w:color w:val="000000"/>
        </w:rPr>
        <w:t>Panel A | First stage — ΔGenAI exposure on Bartik instrument</w:t>
      </w:r>
    </w:p>
    <w:tbl>
      <w:tblPr>
        <w:tblStyle w:val="16"/>
        <w:tblW w:w="4998"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878"/>
        <w:gridCol w:w="2141"/>
        <w:gridCol w:w="1894"/>
        <w:gridCol w:w="1533"/>
      </w:tblGrid>
      <w:tr w14:paraId="17518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2028" w:type="pct"/>
            <w:tcBorders>
              <w:top w:val="single" w:color="000000" w:sz="12" w:space="0"/>
              <w:bottom w:val="single" w:color="000000" w:sz="4" w:space="0"/>
              <w:tl2br w:val="nil"/>
            </w:tcBorders>
            <w:shd w:val="clear" w:color="auto" w:fill="FFFFFF"/>
            <w:vAlign w:val="center"/>
          </w:tcPr>
          <w:p w14:paraId="3E8D8D6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117" w:type="pct"/>
            <w:tcBorders>
              <w:top w:val="single" w:color="000000" w:sz="12" w:space="0"/>
              <w:bottom w:val="single" w:color="000000" w:sz="4" w:space="0"/>
            </w:tcBorders>
            <w:shd w:val="clear" w:color="auto" w:fill="FFFFFF"/>
            <w:vAlign w:val="center"/>
          </w:tcPr>
          <w:p w14:paraId="76FCD1D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Coefficient</w:t>
            </w:r>
          </w:p>
        </w:tc>
        <w:tc>
          <w:tcPr>
            <w:tcW w:w="986" w:type="pct"/>
            <w:tcBorders>
              <w:top w:val="single" w:color="000000" w:sz="12" w:space="0"/>
              <w:bottom w:val="single" w:color="000000" w:sz="4" w:space="0"/>
            </w:tcBorders>
            <w:shd w:val="clear" w:color="auto" w:fill="FFFFFF"/>
            <w:vAlign w:val="center"/>
          </w:tcPr>
          <w:p w14:paraId="08F6014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Std. Error</w:t>
            </w:r>
          </w:p>
        </w:tc>
        <w:tc>
          <w:tcPr>
            <w:tcW w:w="787" w:type="pct"/>
            <w:tcBorders>
              <w:top w:val="single" w:color="000000" w:sz="12" w:space="0"/>
              <w:bottom w:val="single" w:color="000000" w:sz="4" w:space="0"/>
            </w:tcBorders>
            <w:shd w:val="clear" w:color="auto" w:fill="FFFFFF"/>
            <w:vAlign w:val="center"/>
          </w:tcPr>
          <w:p w14:paraId="2DF3161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p-value</w:t>
            </w:r>
          </w:p>
        </w:tc>
      </w:tr>
      <w:tr w14:paraId="30E1D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028" w:type="pct"/>
            <w:tcBorders>
              <w:top w:val="single" w:color="000000" w:sz="4" w:space="0"/>
            </w:tcBorders>
            <w:shd w:val="clear" w:color="auto" w:fill="FFFFFF"/>
            <w:vAlign w:val="center"/>
          </w:tcPr>
          <w:p w14:paraId="7B4B392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Bartik (Std.)</w:t>
            </w:r>
          </w:p>
        </w:tc>
        <w:tc>
          <w:tcPr>
            <w:tcW w:w="1117" w:type="pct"/>
            <w:tcBorders>
              <w:top w:val="single" w:color="000000" w:sz="4" w:space="0"/>
            </w:tcBorders>
            <w:shd w:val="clear" w:color="auto" w:fill="FFFFFF"/>
            <w:vAlign w:val="center"/>
          </w:tcPr>
          <w:p w14:paraId="222D420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−0.022</w:t>
            </w:r>
          </w:p>
        </w:tc>
        <w:tc>
          <w:tcPr>
            <w:tcW w:w="986" w:type="pct"/>
            <w:tcBorders>
              <w:top w:val="single" w:color="000000" w:sz="4" w:space="0"/>
            </w:tcBorders>
            <w:shd w:val="clear" w:color="auto" w:fill="FFFFFF"/>
            <w:vAlign w:val="center"/>
          </w:tcPr>
          <w:p w14:paraId="4D3612C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0.003</w:t>
            </w:r>
          </w:p>
        </w:tc>
        <w:tc>
          <w:tcPr>
            <w:tcW w:w="787" w:type="pct"/>
            <w:tcBorders>
              <w:top w:val="single" w:color="000000" w:sz="4" w:space="0"/>
            </w:tcBorders>
            <w:shd w:val="clear" w:color="auto" w:fill="FFFFFF"/>
            <w:vAlign w:val="center"/>
          </w:tcPr>
          <w:p w14:paraId="711C31E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&lt; 0.001</w:t>
            </w:r>
          </w:p>
        </w:tc>
      </w:tr>
      <w:tr w14:paraId="2E91D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028" w:type="pct"/>
            <w:shd w:val="clear" w:color="auto" w:fill="FFFFFF"/>
            <w:vAlign w:val="center"/>
          </w:tcPr>
          <w:p w14:paraId="1C356B9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Δln(Population)</w:t>
            </w:r>
          </w:p>
        </w:tc>
        <w:tc>
          <w:tcPr>
            <w:tcW w:w="1117" w:type="pct"/>
            <w:shd w:val="clear" w:color="auto" w:fill="FFFFFF"/>
            <w:vAlign w:val="center"/>
          </w:tcPr>
          <w:p w14:paraId="56093D5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−11.293</w:t>
            </w:r>
          </w:p>
        </w:tc>
        <w:tc>
          <w:tcPr>
            <w:tcW w:w="986" w:type="pct"/>
            <w:shd w:val="clear" w:color="auto" w:fill="FFFFFF"/>
            <w:vAlign w:val="center"/>
          </w:tcPr>
          <w:p w14:paraId="1A6EB98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6.537</w:t>
            </w:r>
          </w:p>
        </w:tc>
        <w:tc>
          <w:tcPr>
            <w:tcW w:w="787" w:type="pct"/>
            <w:shd w:val="clear" w:color="auto" w:fill="FFFFFF"/>
            <w:vAlign w:val="center"/>
          </w:tcPr>
          <w:p w14:paraId="40D4A33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0.084</w:t>
            </w:r>
          </w:p>
        </w:tc>
      </w:tr>
      <w:tr w14:paraId="4E335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028" w:type="pct"/>
            <w:shd w:val="clear" w:color="auto" w:fill="FFFFFF"/>
            <w:vAlign w:val="center"/>
          </w:tcPr>
          <w:p w14:paraId="636E5D5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Δln(Nightlight)</w:t>
            </w:r>
          </w:p>
        </w:tc>
        <w:tc>
          <w:tcPr>
            <w:tcW w:w="1117" w:type="pct"/>
            <w:shd w:val="clear" w:color="auto" w:fill="FFFFFF"/>
            <w:vAlign w:val="center"/>
          </w:tcPr>
          <w:p w14:paraId="2523FAB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−0.010</w:t>
            </w:r>
          </w:p>
        </w:tc>
        <w:tc>
          <w:tcPr>
            <w:tcW w:w="986" w:type="pct"/>
            <w:shd w:val="clear" w:color="auto" w:fill="FFFFFF"/>
            <w:vAlign w:val="center"/>
          </w:tcPr>
          <w:p w14:paraId="59C4F8B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0.014</w:t>
            </w:r>
          </w:p>
        </w:tc>
        <w:tc>
          <w:tcPr>
            <w:tcW w:w="787" w:type="pct"/>
            <w:shd w:val="clear" w:color="auto" w:fill="FFFFFF"/>
            <w:vAlign w:val="center"/>
          </w:tcPr>
          <w:p w14:paraId="15B216F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0.482</w:t>
            </w:r>
          </w:p>
        </w:tc>
      </w:tr>
      <w:tr w14:paraId="78DC1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028" w:type="pct"/>
            <w:shd w:val="clear" w:color="auto" w:fill="FFFFFF"/>
            <w:vAlign w:val="center"/>
          </w:tcPr>
          <w:p w14:paraId="0D7B50E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TechReg Exposure</w:t>
            </w:r>
          </w:p>
        </w:tc>
        <w:tc>
          <w:tcPr>
            <w:tcW w:w="1117" w:type="pct"/>
            <w:shd w:val="clear" w:color="auto" w:fill="FFFFFF"/>
            <w:vAlign w:val="center"/>
          </w:tcPr>
          <w:p w14:paraId="41D298D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0.008</w:t>
            </w:r>
          </w:p>
        </w:tc>
        <w:tc>
          <w:tcPr>
            <w:tcW w:w="986" w:type="pct"/>
            <w:shd w:val="clear" w:color="auto" w:fill="FFFFFF"/>
            <w:vAlign w:val="center"/>
          </w:tcPr>
          <w:p w14:paraId="7078AF0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0.031</w:t>
            </w:r>
          </w:p>
        </w:tc>
        <w:tc>
          <w:tcPr>
            <w:tcW w:w="787" w:type="pct"/>
            <w:shd w:val="clear" w:color="auto" w:fill="FFFFFF"/>
            <w:vAlign w:val="center"/>
          </w:tcPr>
          <w:p w14:paraId="434189F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0.787</w:t>
            </w:r>
          </w:p>
        </w:tc>
      </w:tr>
      <w:tr w14:paraId="37E6D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028" w:type="pct"/>
            <w:shd w:val="clear" w:color="auto" w:fill="FFFFFF"/>
            <w:vAlign w:val="center"/>
          </w:tcPr>
          <w:p w14:paraId="5BDECCA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COVID Exposure</w:t>
            </w:r>
          </w:p>
        </w:tc>
        <w:tc>
          <w:tcPr>
            <w:tcW w:w="1117" w:type="pct"/>
            <w:shd w:val="clear" w:color="auto" w:fill="FFFFFF"/>
            <w:vAlign w:val="center"/>
          </w:tcPr>
          <w:p w14:paraId="1BCECCB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0.010</w:t>
            </w:r>
          </w:p>
        </w:tc>
        <w:tc>
          <w:tcPr>
            <w:tcW w:w="986" w:type="pct"/>
            <w:shd w:val="clear" w:color="auto" w:fill="FFFFFF"/>
            <w:vAlign w:val="center"/>
          </w:tcPr>
          <w:p w14:paraId="3C05CB4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0.018</w:t>
            </w:r>
          </w:p>
        </w:tc>
        <w:tc>
          <w:tcPr>
            <w:tcW w:w="787" w:type="pct"/>
            <w:shd w:val="clear" w:color="auto" w:fill="FFFFFF"/>
            <w:vAlign w:val="center"/>
          </w:tcPr>
          <w:p w14:paraId="4ED74C7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0.572</w:t>
            </w:r>
          </w:p>
        </w:tc>
      </w:tr>
      <w:tr w14:paraId="6A0EB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028" w:type="pct"/>
            <w:shd w:val="clear" w:color="auto" w:fill="FFFFFF"/>
            <w:vAlign w:val="center"/>
          </w:tcPr>
          <w:p w14:paraId="669D774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RealEstate Exposure</w:t>
            </w:r>
          </w:p>
        </w:tc>
        <w:tc>
          <w:tcPr>
            <w:tcW w:w="1117" w:type="pct"/>
            <w:shd w:val="clear" w:color="auto" w:fill="FFFFFF"/>
            <w:vAlign w:val="center"/>
          </w:tcPr>
          <w:p w14:paraId="04F9A40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−0.008</w:t>
            </w:r>
          </w:p>
        </w:tc>
        <w:tc>
          <w:tcPr>
            <w:tcW w:w="986" w:type="pct"/>
            <w:shd w:val="clear" w:color="auto" w:fill="FFFFFF"/>
            <w:vAlign w:val="center"/>
          </w:tcPr>
          <w:p w14:paraId="0E6D6CE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0.031</w:t>
            </w:r>
          </w:p>
        </w:tc>
        <w:tc>
          <w:tcPr>
            <w:tcW w:w="787" w:type="pct"/>
            <w:shd w:val="clear" w:color="auto" w:fill="FFFFFF"/>
            <w:vAlign w:val="center"/>
          </w:tcPr>
          <w:p w14:paraId="609F833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0.787</w:t>
            </w:r>
          </w:p>
        </w:tc>
      </w:tr>
      <w:tr w14:paraId="0F66F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028" w:type="pct"/>
            <w:tcBorders>
              <w:bottom w:val="single" w:color="000000" w:sz="12" w:space="0"/>
            </w:tcBorders>
            <w:shd w:val="clear" w:color="auto" w:fill="FFFFFF"/>
            <w:vAlign w:val="center"/>
          </w:tcPr>
          <w:p w14:paraId="343B26F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First-Stage F</w:t>
            </w:r>
          </w:p>
        </w:tc>
        <w:tc>
          <w:tcPr>
            <w:tcW w:w="1117" w:type="pct"/>
            <w:tcBorders>
              <w:bottom w:val="single" w:color="000000" w:sz="12" w:space="0"/>
            </w:tcBorders>
            <w:shd w:val="clear" w:color="auto" w:fill="FFFFFF"/>
            <w:vAlign w:val="center"/>
          </w:tcPr>
          <w:p w14:paraId="73F0A56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53.5</w:t>
            </w:r>
          </w:p>
        </w:tc>
        <w:tc>
          <w:tcPr>
            <w:tcW w:w="986" w:type="pct"/>
            <w:tcBorders>
              <w:bottom w:val="single" w:color="000000" w:sz="12" w:space="0"/>
            </w:tcBorders>
            <w:shd w:val="clear" w:color="auto" w:fill="FFFFFF"/>
            <w:vAlign w:val="center"/>
          </w:tcPr>
          <w:p w14:paraId="5E68F08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787" w:type="pct"/>
            <w:tcBorders>
              <w:bottom w:val="single" w:color="000000" w:sz="12" w:space="0"/>
            </w:tcBorders>
            <w:shd w:val="clear" w:color="auto" w:fill="FFFFFF"/>
            <w:vAlign w:val="center"/>
          </w:tcPr>
          <w:p w14:paraId="4655FA2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r>
    </w:tbl>
    <w:p w14:paraId="6FEACDAE">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Style w:val="19"/>
          <w:rFonts w:hint="default" w:ascii="Times New Roman" w:hAnsi="Times New Roman" w:cs="Times New Roman"/>
          <w:color w:val="000000"/>
        </w:rPr>
      </w:pPr>
    </w:p>
    <w:p w14:paraId="4907849B">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Style w:val="19"/>
          <w:rFonts w:hint="default" w:ascii="Times New Roman" w:hAnsi="Times New Roman" w:cs="Times New Roman"/>
          <w:color w:val="000000"/>
        </w:rPr>
        <w:t>Panel B | Reduced form — Δln(Wage) on Bartik instrument</w:t>
      </w:r>
    </w:p>
    <w:tbl>
      <w:tblPr>
        <w:tblStyle w:val="16"/>
        <w:tblW w:w="4998"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568"/>
        <w:gridCol w:w="2260"/>
        <w:gridCol w:w="2000"/>
        <w:gridCol w:w="1618"/>
      </w:tblGrid>
      <w:tr w14:paraId="4E67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1864" w:type="pct"/>
            <w:tcBorders>
              <w:top w:val="single" w:color="000000" w:sz="12" w:space="0"/>
              <w:bottom w:val="single" w:color="000000" w:sz="4" w:space="0"/>
              <w:tl2br w:val="nil"/>
            </w:tcBorders>
            <w:shd w:val="clear" w:color="auto" w:fill="FFFFFF"/>
            <w:vAlign w:val="center"/>
          </w:tcPr>
          <w:p w14:paraId="664E4BA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180" w:type="pct"/>
            <w:tcBorders>
              <w:top w:val="single" w:color="000000" w:sz="12" w:space="0"/>
              <w:bottom w:val="single" w:color="000000" w:sz="4" w:space="0"/>
            </w:tcBorders>
            <w:shd w:val="clear" w:color="auto" w:fill="FFFFFF"/>
            <w:vAlign w:val="center"/>
          </w:tcPr>
          <w:p w14:paraId="2AC8306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Coefficient</w:t>
            </w:r>
          </w:p>
        </w:tc>
        <w:tc>
          <w:tcPr>
            <w:tcW w:w="1042" w:type="pct"/>
            <w:tcBorders>
              <w:top w:val="single" w:color="000000" w:sz="12" w:space="0"/>
              <w:bottom w:val="single" w:color="000000" w:sz="4" w:space="0"/>
            </w:tcBorders>
            <w:shd w:val="clear" w:color="auto" w:fill="FFFFFF"/>
            <w:vAlign w:val="center"/>
          </w:tcPr>
          <w:p w14:paraId="46B6E92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Std. Error</w:t>
            </w:r>
          </w:p>
        </w:tc>
        <w:tc>
          <w:tcPr>
            <w:tcW w:w="832" w:type="pct"/>
            <w:tcBorders>
              <w:top w:val="single" w:color="000000" w:sz="12" w:space="0"/>
              <w:bottom w:val="single" w:color="000000" w:sz="4" w:space="0"/>
            </w:tcBorders>
            <w:shd w:val="clear" w:color="auto" w:fill="FFFFFF"/>
            <w:vAlign w:val="center"/>
          </w:tcPr>
          <w:p w14:paraId="098BD94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p-value</w:t>
            </w:r>
          </w:p>
        </w:tc>
      </w:tr>
      <w:tr w14:paraId="5B906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864" w:type="pct"/>
            <w:tcBorders>
              <w:top w:val="single" w:color="000000" w:sz="4" w:space="0"/>
            </w:tcBorders>
            <w:shd w:val="clear" w:color="auto" w:fill="FFFFFF"/>
            <w:vAlign w:val="center"/>
          </w:tcPr>
          <w:p w14:paraId="678523E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Bartik (Std.)</w:t>
            </w:r>
          </w:p>
        </w:tc>
        <w:tc>
          <w:tcPr>
            <w:tcW w:w="1180" w:type="pct"/>
            <w:tcBorders>
              <w:top w:val="single" w:color="000000" w:sz="4" w:space="0"/>
            </w:tcBorders>
            <w:shd w:val="clear" w:color="auto" w:fill="FFFFFF"/>
            <w:vAlign w:val="center"/>
          </w:tcPr>
          <w:p w14:paraId="5C64B01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−0.436</w:t>
            </w:r>
          </w:p>
        </w:tc>
        <w:tc>
          <w:tcPr>
            <w:tcW w:w="1042" w:type="pct"/>
            <w:tcBorders>
              <w:top w:val="single" w:color="000000" w:sz="4" w:space="0"/>
            </w:tcBorders>
            <w:shd w:val="clear" w:color="auto" w:fill="FFFFFF"/>
            <w:vAlign w:val="center"/>
          </w:tcPr>
          <w:p w14:paraId="06F0F57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0.067</w:t>
            </w:r>
          </w:p>
        </w:tc>
        <w:tc>
          <w:tcPr>
            <w:tcW w:w="832" w:type="pct"/>
            <w:tcBorders>
              <w:top w:val="single" w:color="000000" w:sz="4" w:space="0"/>
            </w:tcBorders>
            <w:shd w:val="clear" w:color="auto" w:fill="FFFFFF"/>
            <w:vAlign w:val="center"/>
          </w:tcPr>
          <w:p w14:paraId="145115E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&lt; 0.001</w:t>
            </w:r>
          </w:p>
        </w:tc>
      </w:tr>
      <w:tr w14:paraId="417F5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864" w:type="pct"/>
            <w:shd w:val="clear" w:color="auto" w:fill="FFFFFF"/>
            <w:vAlign w:val="center"/>
          </w:tcPr>
          <w:p w14:paraId="3933442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Δln(Population)</w:t>
            </w:r>
          </w:p>
        </w:tc>
        <w:tc>
          <w:tcPr>
            <w:tcW w:w="1180" w:type="pct"/>
            <w:shd w:val="clear" w:color="auto" w:fill="FFFFFF"/>
            <w:vAlign w:val="center"/>
          </w:tcPr>
          <w:p w14:paraId="4AF1E2C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−560.96</w:t>
            </w:r>
          </w:p>
        </w:tc>
        <w:tc>
          <w:tcPr>
            <w:tcW w:w="1042" w:type="pct"/>
            <w:shd w:val="clear" w:color="auto" w:fill="FFFFFF"/>
            <w:vAlign w:val="center"/>
          </w:tcPr>
          <w:p w14:paraId="65025F4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157.06</w:t>
            </w:r>
          </w:p>
        </w:tc>
        <w:tc>
          <w:tcPr>
            <w:tcW w:w="832" w:type="pct"/>
            <w:shd w:val="clear" w:color="auto" w:fill="FFFFFF"/>
            <w:vAlign w:val="center"/>
          </w:tcPr>
          <w:p w14:paraId="0E76236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&lt; 0.001</w:t>
            </w:r>
          </w:p>
        </w:tc>
      </w:tr>
      <w:tr w14:paraId="7F9A9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864" w:type="pct"/>
            <w:tcBorders>
              <w:bottom w:val="single" w:color="000000" w:sz="12" w:space="0"/>
            </w:tcBorders>
            <w:shd w:val="clear" w:color="auto" w:fill="FFFFFF"/>
            <w:vAlign w:val="center"/>
          </w:tcPr>
          <w:p w14:paraId="0D0969E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COVID Exposure</w:t>
            </w:r>
          </w:p>
        </w:tc>
        <w:tc>
          <w:tcPr>
            <w:tcW w:w="1180" w:type="pct"/>
            <w:tcBorders>
              <w:bottom w:val="single" w:color="000000" w:sz="12" w:space="0"/>
            </w:tcBorders>
            <w:shd w:val="clear" w:color="auto" w:fill="FFFFFF"/>
            <w:vAlign w:val="center"/>
          </w:tcPr>
          <w:p w14:paraId="771C099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−0.877</w:t>
            </w:r>
          </w:p>
        </w:tc>
        <w:tc>
          <w:tcPr>
            <w:tcW w:w="1042" w:type="pct"/>
            <w:tcBorders>
              <w:bottom w:val="single" w:color="000000" w:sz="12" w:space="0"/>
            </w:tcBorders>
            <w:shd w:val="clear" w:color="auto" w:fill="FFFFFF"/>
            <w:vAlign w:val="center"/>
          </w:tcPr>
          <w:p w14:paraId="00CC12D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0.367</w:t>
            </w:r>
          </w:p>
        </w:tc>
        <w:tc>
          <w:tcPr>
            <w:tcW w:w="832" w:type="pct"/>
            <w:tcBorders>
              <w:bottom w:val="single" w:color="000000" w:sz="12" w:space="0"/>
            </w:tcBorders>
            <w:shd w:val="clear" w:color="auto" w:fill="FFFFFF"/>
            <w:vAlign w:val="center"/>
          </w:tcPr>
          <w:p w14:paraId="5D10DCC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0.017</w:t>
            </w:r>
          </w:p>
        </w:tc>
      </w:tr>
    </w:tbl>
    <w:p w14:paraId="383900A6">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Style w:val="19"/>
          <w:rFonts w:hint="default" w:ascii="Times New Roman" w:hAnsi="Times New Roman" w:cs="Times New Roman"/>
          <w:color w:val="000000"/>
        </w:rPr>
      </w:pPr>
    </w:p>
    <w:p w14:paraId="6062657C">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Style w:val="19"/>
          <w:rFonts w:hint="default" w:ascii="Times New Roman" w:hAnsi="Times New Roman" w:cs="Times New Roman"/>
          <w:color w:val="000000"/>
        </w:rPr>
        <w:t>Panel C | 2SLS — Δln(Wage) on instrumented ΔGenAI</w:t>
      </w:r>
    </w:p>
    <w:tbl>
      <w:tblPr>
        <w:tblStyle w:val="16"/>
        <w:tblW w:w="4998"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983"/>
        <w:gridCol w:w="1716"/>
        <w:gridCol w:w="1519"/>
        <w:gridCol w:w="1228"/>
      </w:tblGrid>
      <w:tr w14:paraId="4CA27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2613" w:type="pct"/>
            <w:tcBorders>
              <w:top w:val="single" w:color="000000" w:sz="12" w:space="0"/>
              <w:bottom w:val="single" w:color="000000" w:sz="4" w:space="0"/>
              <w:tl2br w:val="nil"/>
            </w:tcBorders>
            <w:shd w:val="clear" w:color="auto" w:fill="FFFFFF"/>
            <w:vAlign w:val="center"/>
          </w:tcPr>
          <w:p w14:paraId="69D7461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p>
        </w:tc>
        <w:tc>
          <w:tcPr>
            <w:tcW w:w="892" w:type="pct"/>
            <w:tcBorders>
              <w:top w:val="single" w:color="000000" w:sz="12" w:space="0"/>
              <w:bottom w:val="single" w:color="000000" w:sz="4" w:space="0"/>
            </w:tcBorders>
            <w:shd w:val="clear" w:color="auto" w:fill="FFFFFF"/>
            <w:vAlign w:val="center"/>
          </w:tcPr>
          <w:p w14:paraId="7F06233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Coefficient</w:t>
            </w:r>
          </w:p>
        </w:tc>
        <w:tc>
          <w:tcPr>
            <w:tcW w:w="788" w:type="pct"/>
            <w:tcBorders>
              <w:top w:val="single" w:color="000000" w:sz="12" w:space="0"/>
              <w:bottom w:val="single" w:color="000000" w:sz="4" w:space="0"/>
            </w:tcBorders>
            <w:shd w:val="clear" w:color="auto" w:fill="FFFFFF"/>
            <w:vAlign w:val="center"/>
          </w:tcPr>
          <w:p w14:paraId="2F1C4D3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Std. Error</w:t>
            </w:r>
          </w:p>
        </w:tc>
        <w:tc>
          <w:tcPr>
            <w:tcW w:w="626" w:type="pct"/>
            <w:tcBorders>
              <w:top w:val="single" w:color="000000" w:sz="12" w:space="0"/>
              <w:bottom w:val="single" w:color="000000" w:sz="4" w:space="0"/>
            </w:tcBorders>
            <w:shd w:val="clear" w:color="auto" w:fill="FFFFFF"/>
            <w:vAlign w:val="center"/>
          </w:tcPr>
          <w:p w14:paraId="3552BF7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p-value</w:t>
            </w:r>
          </w:p>
        </w:tc>
      </w:tr>
      <w:tr w14:paraId="79256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613" w:type="pct"/>
            <w:tcBorders>
              <w:top w:val="single" w:color="000000" w:sz="4" w:space="0"/>
            </w:tcBorders>
            <w:shd w:val="clear" w:color="auto" w:fill="FFFFFF"/>
            <w:vAlign w:val="center"/>
          </w:tcPr>
          <w:p w14:paraId="3689436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ΔGenAI Exposure (instrumented)</w:t>
            </w:r>
          </w:p>
        </w:tc>
        <w:tc>
          <w:tcPr>
            <w:tcW w:w="892" w:type="pct"/>
            <w:tcBorders>
              <w:top w:val="single" w:color="000000" w:sz="4" w:space="0"/>
            </w:tcBorders>
            <w:shd w:val="clear" w:color="auto" w:fill="FFFFFF"/>
            <w:vAlign w:val="center"/>
          </w:tcPr>
          <w:p w14:paraId="1A83473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19.82</w:t>
            </w:r>
          </w:p>
        </w:tc>
        <w:tc>
          <w:tcPr>
            <w:tcW w:w="788" w:type="pct"/>
            <w:tcBorders>
              <w:top w:val="single" w:color="000000" w:sz="4" w:space="0"/>
            </w:tcBorders>
            <w:shd w:val="clear" w:color="auto" w:fill="FFFFFF"/>
            <w:vAlign w:val="center"/>
          </w:tcPr>
          <w:p w14:paraId="34D4F40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2.42</w:t>
            </w:r>
          </w:p>
        </w:tc>
        <w:tc>
          <w:tcPr>
            <w:tcW w:w="626" w:type="pct"/>
            <w:tcBorders>
              <w:top w:val="single" w:color="000000" w:sz="4" w:space="0"/>
            </w:tcBorders>
            <w:shd w:val="clear" w:color="auto" w:fill="FFFFFF"/>
            <w:vAlign w:val="center"/>
          </w:tcPr>
          <w:p w14:paraId="5CD2981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&lt; 0.001</w:t>
            </w:r>
          </w:p>
        </w:tc>
      </w:tr>
      <w:tr w14:paraId="0CB6F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613" w:type="pct"/>
            <w:shd w:val="clear" w:color="auto" w:fill="FFFFFF"/>
            <w:vAlign w:val="center"/>
          </w:tcPr>
          <w:p w14:paraId="06C7D7F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Δln(Population)</w:t>
            </w:r>
          </w:p>
        </w:tc>
        <w:tc>
          <w:tcPr>
            <w:tcW w:w="892" w:type="pct"/>
            <w:shd w:val="clear" w:color="auto" w:fill="FFFFFF"/>
            <w:vAlign w:val="center"/>
          </w:tcPr>
          <w:p w14:paraId="3E35C47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−337.16</w:t>
            </w:r>
          </w:p>
        </w:tc>
        <w:tc>
          <w:tcPr>
            <w:tcW w:w="788" w:type="pct"/>
            <w:shd w:val="clear" w:color="auto" w:fill="FFFFFF"/>
            <w:vAlign w:val="center"/>
          </w:tcPr>
          <w:p w14:paraId="3E338FC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108.42</w:t>
            </w:r>
          </w:p>
        </w:tc>
        <w:tc>
          <w:tcPr>
            <w:tcW w:w="626" w:type="pct"/>
            <w:shd w:val="clear" w:color="auto" w:fill="FFFFFF"/>
            <w:vAlign w:val="center"/>
          </w:tcPr>
          <w:p w14:paraId="333BEB8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0.002</w:t>
            </w:r>
          </w:p>
        </w:tc>
      </w:tr>
      <w:tr w14:paraId="6F9DD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613" w:type="pct"/>
            <w:shd w:val="clear" w:color="auto" w:fill="FFFFFF"/>
            <w:vAlign w:val="center"/>
          </w:tcPr>
          <w:p w14:paraId="6686D70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COVID Exposure</w:t>
            </w:r>
          </w:p>
        </w:tc>
        <w:tc>
          <w:tcPr>
            <w:tcW w:w="892" w:type="pct"/>
            <w:shd w:val="clear" w:color="auto" w:fill="FFFFFF"/>
            <w:vAlign w:val="center"/>
          </w:tcPr>
          <w:p w14:paraId="0D3A58A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−1.077</w:t>
            </w:r>
          </w:p>
        </w:tc>
        <w:tc>
          <w:tcPr>
            <w:tcW w:w="788" w:type="pct"/>
            <w:shd w:val="clear" w:color="auto" w:fill="FFFFFF"/>
            <w:vAlign w:val="center"/>
          </w:tcPr>
          <w:p w14:paraId="4CE60B7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0.304</w:t>
            </w:r>
          </w:p>
        </w:tc>
        <w:tc>
          <w:tcPr>
            <w:tcW w:w="626" w:type="pct"/>
            <w:shd w:val="clear" w:color="auto" w:fill="FFFFFF"/>
            <w:vAlign w:val="center"/>
          </w:tcPr>
          <w:p w14:paraId="57D21DB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&lt; 0.001</w:t>
            </w:r>
          </w:p>
        </w:tc>
      </w:tr>
      <w:tr w14:paraId="2FB93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613" w:type="pct"/>
            <w:shd w:val="clear" w:color="auto" w:fill="FFFFFF"/>
            <w:vAlign w:val="center"/>
          </w:tcPr>
          <w:p w14:paraId="73FF622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N</w:t>
            </w:r>
          </w:p>
        </w:tc>
        <w:tc>
          <w:tcPr>
            <w:tcW w:w="892" w:type="pct"/>
            <w:shd w:val="clear" w:color="auto" w:fill="FFFFFF"/>
            <w:vAlign w:val="center"/>
          </w:tcPr>
          <w:p w14:paraId="63F7DD0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1,383</w:t>
            </w:r>
          </w:p>
        </w:tc>
        <w:tc>
          <w:tcPr>
            <w:tcW w:w="788" w:type="pct"/>
            <w:shd w:val="clear" w:color="auto" w:fill="FFFFFF"/>
            <w:vAlign w:val="center"/>
          </w:tcPr>
          <w:p w14:paraId="6FBFC15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626" w:type="pct"/>
            <w:shd w:val="clear" w:color="auto" w:fill="FFFFFF"/>
            <w:vAlign w:val="center"/>
          </w:tcPr>
          <w:p w14:paraId="105A355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r>
      <w:tr w14:paraId="1FCA2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613" w:type="pct"/>
            <w:tcBorders>
              <w:bottom w:val="single" w:color="000000" w:sz="12" w:space="0"/>
            </w:tcBorders>
            <w:shd w:val="clear" w:color="auto" w:fill="FFFFFF"/>
            <w:vAlign w:val="center"/>
          </w:tcPr>
          <w:p w14:paraId="60C7662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R²</w:t>
            </w:r>
          </w:p>
        </w:tc>
        <w:tc>
          <w:tcPr>
            <w:tcW w:w="892" w:type="pct"/>
            <w:tcBorders>
              <w:bottom w:val="single" w:color="000000" w:sz="12" w:space="0"/>
            </w:tcBorders>
            <w:shd w:val="clear" w:color="auto" w:fill="FFFFFF"/>
            <w:vAlign w:val="center"/>
          </w:tcPr>
          <w:p w14:paraId="1B05370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0.276</w:t>
            </w:r>
          </w:p>
        </w:tc>
        <w:tc>
          <w:tcPr>
            <w:tcW w:w="788" w:type="pct"/>
            <w:tcBorders>
              <w:bottom w:val="single" w:color="000000" w:sz="12" w:space="0"/>
            </w:tcBorders>
            <w:shd w:val="clear" w:color="auto" w:fill="FFFFFF"/>
            <w:vAlign w:val="center"/>
          </w:tcPr>
          <w:p w14:paraId="744AF57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626" w:type="pct"/>
            <w:tcBorders>
              <w:bottom w:val="single" w:color="000000" w:sz="12" w:space="0"/>
            </w:tcBorders>
            <w:shd w:val="clear" w:color="auto" w:fill="FFFFFF"/>
            <w:vAlign w:val="center"/>
          </w:tcPr>
          <w:p w14:paraId="6E5C0E6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r>
    </w:tbl>
    <w:p w14:paraId="08CAA0DA">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Georgia" w:cs="Times New Roman"/>
          <w:b w:val="0"/>
          <w:bCs w:val="0"/>
          <w:color w:val="374151"/>
          <w:kern w:val="2"/>
          <w:sz w:val="21"/>
          <w:szCs w:val="21"/>
          <w:shd w:val="clear" w:color="auto" w:fill="FFFFFF"/>
          <w:lang w:val="en-US" w:eastAsia="zh-CN" w:bidi="ar-SA"/>
          <w14:ligatures w14:val="standardContextual"/>
        </w:rPr>
      </w:pPr>
      <w:r>
        <w:rPr>
          <w:rFonts w:hint="default" w:ascii="Times New Roman" w:hAnsi="Times New Roman" w:eastAsia="Georgia" w:cs="Times New Roman"/>
          <w:b/>
          <w:bCs/>
          <w:color w:val="374151"/>
          <w:kern w:val="2"/>
          <w:sz w:val="21"/>
          <w:szCs w:val="21"/>
          <w:shd w:val="clear" w:color="auto" w:fill="FFFFFF"/>
          <w:lang w:val="en-US" w:eastAsia="zh-CN" w:bidi="ar-SA"/>
          <w14:ligatures w14:val="standardContextual"/>
        </w:rPr>
        <w:t>Notes.</w:t>
      </w:r>
      <w:r>
        <w:rPr>
          <w:rFonts w:hint="default" w:ascii="Times New Roman" w:hAnsi="Times New Roman" w:eastAsia="Georgia" w:cs="Times New Roman"/>
          <w:b w:val="0"/>
          <w:bCs w:val="0"/>
          <w:color w:val="374151"/>
          <w:kern w:val="2"/>
          <w:sz w:val="21"/>
          <w:szCs w:val="21"/>
          <w:shd w:val="clear" w:color="auto" w:fill="FFFFFF"/>
          <w:lang w:val="en-US" w:eastAsia="zh-CN" w:bidi="ar-SA"/>
          <w14:ligatures w14:val="standardContextual"/>
        </w:rPr>
        <w:t xml:space="preserve"> The long-difference is defined as Δ = mean(2023, 2024) − mean(2018, 2019). The IV uses a wider window than the event study to maximize first-stage power. The Bartik instrument is constructed from 2018 industry employment shares and leave-one-out industry-level GenAI exposure. Standard errors are heteroskedasticity-robust. The positive 2SLS coefficient reflects the sign reversal from the negative first stage (see Supplementary Text S6).</w:t>
      </w:r>
    </w:p>
    <w:p w14:paraId="64532B6D">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br w:type="page"/>
      </w:r>
    </w:p>
    <w:p w14:paraId="32C78BC0">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eastAsia="zh-CN"/>
        </w:rPr>
      </w:pPr>
      <w:bookmarkStart w:id="24" w:name="_Toc13206"/>
      <w:r>
        <w:rPr>
          <w:rFonts w:hint="default" w:ascii="Times New Roman" w:hAnsi="Times New Roman" w:cs="Times New Roman"/>
          <w:highlight w:val="none"/>
          <w:lang w:val="en-US" w:eastAsia="zh-CN"/>
        </w:rPr>
        <w:t>Supplementary Text S7 | Triple-DID mechanism analysis</w:t>
      </w:r>
      <w:bookmarkEnd w:id="24"/>
    </w:p>
    <w:p w14:paraId="60F81C2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Supplementary Table S5 reports triple-difference estimates for the de-skilling and crowding mechanisms. For the de-skilling channel, the triple-interaction coefficient is </w:t>
      </w:r>
      <m:oMath>
        <m:sSub>
          <m:sSubPr>
            <m:ctrlPr>
              <w:rPr>
                <w:rFonts w:hint="default" w:ascii="Cambria Math" w:hAnsi="Cambria Math" w:eastAsia="宋体" w:cs="Times New Roman"/>
                <w:sz w:val="24"/>
                <w:highlight w:val="none"/>
              </w:rPr>
            </m:ctrlPr>
          </m:sSubPr>
          <m:e>
            <m:acc>
              <m:accPr>
                <m:ctrlPr>
                  <w:rPr>
                    <w:rFonts w:hint="default" w:ascii="Cambria Math" w:hAnsi="Cambria Math" w:eastAsia="宋体" w:cs="Times New Roman"/>
                    <w:sz w:val="24"/>
                    <w:highlight w:val="none"/>
                  </w:rPr>
                </m:ctrlPr>
              </m:accPr>
              <m:e>
                <m:r>
                  <m:rPr/>
                  <w:rPr>
                    <w:rFonts w:hint="default" w:ascii="Cambria Math" w:hAnsi="Cambria Math" w:eastAsia="宋体" w:cs="Times New Roman"/>
                    <w:sz w:val="24"/>
                    <w:highlight w:val="none"/>
                  </w:rPr>
                  <m:t>δ</m:t>
                </m:r>
                <m:ctrlPr>
                  <w:rPr>
                    <w:rFonts w:hint="default" w:ascii="Cambria Math" w:hAnsi="Cambria Math" w:eastAsia="宋体" w:cs="Times New Roman"/>
                    <w:sz w:val="24"/>
                    <w:highlight w:val="none"/>
                  </w:rPr>
                </m:ctrlPr>
              </m:e>
            </m:acc>
            <m:ctrlPr>
              <w:rPr>
                <w:rFonts w:hint="default" w:ascii="Cambria Math" w:hAnsi="Cambria Math" w:eastAsia="宋体" w:cs="Times New Roman"/>
                <w:sz w:val="24"/>
                <w:highlight w:val="none"/>
              </w:rPr>
            </m:ctrlPr>
          </m:e>
          <m:sub>
            <m:r>
              <m:rPr/>
              <w:rPr>
                <w:rFonts w:hint="default" w:ascii="Cambria Math" w:hAnsi="Cambria Math" w:eastAsia="宋体" w:cs="Times New Roman"/>
                <w:sz w:val="24"/>
                <w:highlight w:val="none"/>
              </w:rPr>
              <m:t>3</m:t>
            </m:r>
            <m:ctrlPr>
              <w:rPr>
                <w:rFonts w:hint="default" w:ascii="Cambria Math" w:hAnsi="Cambria Math" w:eastAsia="宋体" w:cs="Times New Roman"/>
                <w:sz w:val="24"/>
                <w:highlight w:val="none"/>
              </w:rPr>
            </m:ctrlPr>
          </m:sub>
        </m:sSub>
        <m:r>
          <m:rPr/>
          <w:rPr>
            <w:rFonts w:hint="default" w:ascii="Cambria Math" w:hAnsi="Cambria Math" w:eastAsia="宋体" w:cs="Times New Roman"/>
            <w:sz w:val="24"/>
            <w:highlight w:val="none"/>
          </w:rPr>
          <m:t>=−0.135</m:t>
        </m:r>
      </m:oMath>
      <w:r>
        <w:rPr>
          <w:rFonts w:hint="default" w:ascii="Times New Roman" w:hAnsi="Times New Roman" w:cs="Times New Roman"/>
          <w:color w:val="auto"/>
        </w:rPr>
        <w:t xml:space="preserve"> (</w:t>
      </w:r>
      <m:oMath>
        <m:r>
          <m:rPr/>
          <w:rPr>
            <w:rFonts w:hint="default" w:ascii="Cambria Math" w:hAnsi="Cambria Math" w:cs="Times New Roman"/>
            <w:highlight w:val="none"/>
          </w:rPr>
          <m:t>p=0.177</m:t>
        </m:r>
      </m:oMath>
      <w:r>
        <w:rPr>
          <w:rFonts w:hint="default" w:ascii="Times New Roman" w:hAnsi="Times New Roman" w:cs="Times New Roman"/>
          <w:color w:val="auto"/>
        </w:rPr>
        <w:t xml:space="preserve">); the sign is consistent with the de-skilling result in Table 2 of the main text (-1.286, </w:t>
      </w:r>
      <m:oMath>
        <m:r>
          <m:rPr/>
          <w:rPr>
            <w:rFonts w:hint="default" w:ascii="Cambria Math" w:hAnsi="Cambria Math" w:cs="Times New Roman"/>
            <w:highlight w:val="none"/>
          </w:rPr>
          <m:t>p&lt;0.01</m:t>
        </m:r>
      </m:oMath>
      <w:r>
        <w:rPr>
          <w:rFonts w:hint="default" w:ascii="Times New Roman" w:hAnsi="Times New Roman" w:cs="Times New Roman"/>
          <w:color w:val="auto"/>
        </w:rPr>
        <w:t xml:space="preserve">) but does not reach the 5% significance threshold. For the crowding channel, the triple-interaction coefficient is </w:t>
      </w:r>
      <m:oMath>
        <m:sSub>
          <m:sSubPr>
            <m:ctrlPr>
              <w:rPr>
                <w:rFonts w:hint="default" w:ascii="Cambria Math" w:hAnsi="Cambria Math" w:eastAsia="宋体" w:cs="Times New Roman"/>
                <w:sz w:val="24"/>
                <w:highlight w:val="none"/>
              </w:rPr>
            </m:ctrlPr>
          </m:sSubPr>
          <m:e>
            <m:acc>
              <m:accPr>
                <m:ctrlPr>
                  <w:rPr>
                    <w:rFonts w:hint="default" w:ascii="Cambria Math" w:hAnsi="Cambria Math" w:eastAsia="宋体" w:cs="Times New Roman"/>
                    <w:sz w:val="24"/>
                    <w:highlight w:val="none"/>
                  </w:rPr>
                </m:ctrlPr>
              </m:accPr>
              <m:e>
                <m:r>
                  <m:rPr/>
                  <w:rPr>
                    <w:rFonts w:hint="default" w:ascii="Cambria Math" w:hAnsi="Cambria Math" w:eastAsia="宋体" w:cs="Times New Roman"/>
                    <w:sz w:val="24"/>
                    <w:highlight w:val="none"/>
                  </w:rPr>
                  <m:t>δ</m:t>
                </m:r>
                <m:ctrlPr>
                  <w:rPr>
                    <w:rFonts w:hint="default" w:ascii="Cambria Math" w:hAnsi="Cambria Math" w:eastAsia="宋体" w:cs="Times New Roman"/>
                    <w:sz w:val="24"/>
                    <w:highlight w:val="none"/>
                  </w:rPr>
                </m:ctrlPr>
              </m:e>
            </m:acc>
            <m:ctrlPr>
              <w:rPr>
                <w:rFonts w:hint="default" w:ascii="Cambria Math" w:hAnsi="Cambria Math" w:eastAsia="宋体" w:cs="Times New Roman"/>
                <w:sz w:val="24"/>
                <w:highlight w:val="none"/>
              </w:rPr>
            </m:ctrlPr>
          </m:e>
          <m:sub>
            <m:r>
              <m:rPr/>
              <w:rPr>
                <w:rFonts w:hint="default" w:ascii="Cambria Math" w:hAnsi="Cambria Math" w:eastAsia="宋体" w:cs="Times New Roman"/>
                <w:sz w:val="24"/>
                <w:highlight w:val="none"/>
              </w:rPr>
              <m:t>3</m:t>
            </m:r>
            <m:ctrlPr>
              <w:rPr>
                <w:rFonts w:hint="default" w:ascii="Cambria Math" w:hAnsi="Cambria Math" w:eastAsia="宋体" w:cs="Times New Roman"/>
                <w:sz w:val="24"/>
                <w:highlight w:val="none"/>
              </w:rPr>
            </m:ctrlPr>
          </m:sub>
        </m:sSub>
        <m:r>
          <m:rPr/>
          <w:rPr>
            <w:rFonts w:hint="default" w:ascii="Cambria Math" w:hAnsi="Cambria Math" w:eastAsia="宋体" w:cs="Times New Roman"/>
            <w:sz w:val="24"/>
            <w:highlight w:val="none"/>
          </w:rPr>
          <m:t>=−0.063</m:t>
        </m:r>
      </m:oMath>
      <w:r>
        <w:rPr>
          <w:rFonts w:hint="default" w:ascii="Times New Roman" w:hAnsi="Times New Roman" w:cs="Times New Roman"/>
          <w:color w:val="auto"/>
        </w:rPr>
        <w:t xml:space="preserve"> (</w:t>
      </w:r>
      <m:oMath>
        <m:r>
          <m:rPr/>
          <w:rPr>
            <w:rFonts w:hint="default" w:ascii="Cambria Math" w:hAnsi="Cambria Math" w:cs="Times New Roman"/>
            <w:highlight w:val="none"/>
          </w:rPr>
          <m:t>p=0.439</m:t>
        </m:r>
      </m:oMath>
      <w:r>
        <w:rPr>
          <w:rFonts w:hint="default" w:ascii="Times New Roman" w:hAnsi="Times New Roman" w:cs="Times New Roman"/>
          <w:color w:val="auto"/>
        </w:rPr>
        <w:t xml:space="preserve">); again, the sign is consistent with the corresponding main-text result (-1.619, </w:t>
      </w:r>
      <m:oMath>
        <m:r>
          <m:rPr/>
          <w:rPr>
            <w:rFonts w:hint="default" w:ascii="Cambria Math" w:hAnsi="Cambria Math" w:cs="Times New Roman"/>
            <w:highlight w:val="none"/>
          </w:rPr>
          <m:t>p&lt;0.01</m:t>
        </m:r>
      </m:oMath>
      <w:r>
        <w:rPr>
          <w:rFonts w:hint="default" w:ascii="Times New Roman" w:hAnsi="Times New Roman" w:cs="Times New Roman"/>
          <w:color w:val="auto"/>
        </w:rPr>
        <w:t>) but is statistically insignificant.</w:t>
      </w:r>
    </w:p>
    <w:p w14:paraId="221C162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The directional consistency yet weak statistical significance plausibly reflects three factors. First, the post-treatment window is short. With only two post-treatment years (2023–2024), a triple-interaction term must identify a third-order heterogeneous treatment effect over a brief window, severely limiting statistical power. Second, pre-determined moderators may suffer signal attenuation. The triple-DID uses 2018 values of education and job-market heat; by 2023–2024, deviations from contemporaneous values may introduce attenuation bias. Third, the estimated parameters differ conceptually. Table 2 in the main text reports concurrent conditional correlations, whereas the triple-DID identifies the heterogeneity dimension of the causal effect—a parameter with stronger requirements on the temporal stability of the moderating variables.</w:t>
      </w:r>
    </w:p>
    <w:p w14:paraId="02F8695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p>
    <w:p w14:paraId="59DD1EF0">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25" w:name="_Toc26179"/>
      <w:r>
        <w:rPr>
          <w:rFonts w:hint="default" w:ascii="Times New Roman" w:hAnsi="Times New Roman" w:cs="Times New Roman"/>
          <w:lang w:val="en-US" w:eastAsia="zh-CN"/>
        </w:rPr>
        <w:t>Supplementary Table S5 | Triple-DID mechanism estimates</w:t>
      </w:r>
      <w:bookmarkEnd w:id="25"/>
    </w:p>
    <w:tbl>
      <w:tblPr>
        <w:tblStyle w:val="16"/>
        <w:tblW w:w="4998"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777"/>
        <w:gridCol w:w="2322"/>
        <w:gridCol w:w="2347"/>
      </w:tblGrid>
      <w:tr w14:paraId="6EA38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2504" w:type="pct"/>
            <w:tcBorders>
              <w:top w:val="single" w:color="000000" w:sz="12" w:space="0"/>
              <w:bottom w:val="single" w:color="000000" w:sz="4" w:space="0"/>
              <w:tl2br w:val="nil"/>
            </w:tcBorders>
            <w:shd w:val="clear" w:color="auto" w:fill="FFFFFF"/>
            <w:vAlign w:val="center"/>
          </w:tcPr>
          <w:p w14:paraId="24DB939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3" w:type="pct"/>
            <w:tcBorders>
              <w:top w:val="single" w:color="000000" w:sz="12" w:space="0"/>
              <w:bottom w:val="single" w:color="000000" w:sz="4" w:space="0"/>
            </w:tcBorders>
            <w:shd w:val="clear" w:color="auto" w:fill="FFFFFF"/>
            <w:vAlign w:val="center"/>
          </w:tcPr>
          <w:p w14:paraId="5DE4CC9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(1) De-skilling</w:t>
            </w:r>
          </w:p>
        </w:tc>
        <w:tc>
          <w:tcPr>
            <w:tcW w:w="1218" w:type="pct"/>
            <w:tcBorders>
              <w:top w:val="single" w:color="000000" w:sz="12" w:space="0"/>
              <w:bottom w:val="single" w:color="000000" w:sz="4" w:space="0"/>
            </w:tcBorders>
            <w:shd w:val="clear" w:color="auto" w:fill="FFFFFF"/>
            <w:vAlign w:val="center"/>
          </w:tcPr>
          <w:p w14:paraId="207A52E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(2) Crowding</w:t>
            </w:r>
          </w:p>
        </w:tc>
      </w:tr>
      <w:tr w14:paraId="5256C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4" w:type="pct"/>
            <w:tcBorders>
              <w:top w:val="single" w:color="000000" w:sz="4" w:space="0"/>
            </w:tcBorders>
            <w:shd w:val="clear" w:color="auto" w:fill="FFFFFF"/>
            <w:vAlign w:val="center"/>
          </w:tcPr>
          <w:p w14:paraId="00F5943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Dep. Var.: ln(Wage)</w:t>
            </w:r>
          </w:p>
        </w:tc>
        <w:tc>
          <w:tcPr>
            <w:tcW w:w="1213" w:type="pct"/>
            <w:tcBorders>
              <w:top w:val="single" w:color="000000" w:sz="4" w:space="0"/>
            </w:tcBorders>
            <w:shd w:val="clear" w:color="auto" w:fill="FFFFFF"/>
            <w:vAlign w:val="center"/>
          </w:tcPr>
          <w:p w14:paraId="18FBB8F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8" w:type="pct"/>
            <w:tcBorders>
              <w:top w:val="single" w:color="000000" w:sz="4" w:space="0"/>
            </w:tcBorders>
            <w:shd w:val="clear" w:color="auto" w:fill="FFFFFF"/>
            <w:vAlign w:val="center"/>
          </w:tcPr>
          <w:p w14:paraId="73B697F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r>
      <w:tr w14:paraId="64B6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4" w:type="pct"/>
            <w:shd w:val="clear" w:color="auto" w:fill="FFFFFF"/>
            <w:vAlign w:val="center"/>
          </w:tcPr>
          <w:p w14:paraId="7180F75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GenAI₂₀₁₈ × Post</w:t>
            </w:r>
          </w:p>
        </w:tc>
        <w:tc>
          <w:tcPr>
            <w:tcW w:w="1213" w:type="pct"/>
            <w:shd w:val="clear" w:color="auto" w:fill="FFFFFF"/>
            <w:vAlign w:val="center"/>
          </w:tcPr>
          <w:p w14:paraId="46BD628F">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−0.151</w:t>
            </w:r>
          </w:p>
        </w:tc>
        <w:tc>
          <w:tcPr>
            <w:tcW w:w="1218" w:type="pct"/>
            <w:shd w:val="clear" w:color="auto" w:fill="FFFFFF"/>
            <w:vAlign w:val="center"/>
          </w:tcPr>
          <w:p w14:paraId="7C8ABE3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−0.106</w:t>
            </w:r>
          </w:p>
        </w:tc>
      </w:tr>
      <w:tr w14:paraId="0AD51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4" w:type="pct"/>
            <w:shd w:val="clear" w:color="auto" w:fill="FFFFFF"/>
            <w:vAlign w:val="center"/>
          </w:tcPr>
          <w:p w14:paraId="5D13483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3" w:type="pct"/>
            <w:shd w:val="clear" w:color="auto" w:fill="FFFFFF"/>
            <w:vAlign w:val="center"/>
          </w:tcPr>
          <w:p w14:paraId="228EE78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(0.179)</w:t>
            </w:r>
          </w:p>
        </w:tc>
        <w:tc>
          <w:tcPr>
            <w:tcW w:w="1218" w:type="pct"/>
            <w:shd w:val="clear" w:color="auto" w:fill="FFFFFF"/>
            <w:vAlign w:val="center"/>
          </w:tcPr>
          <w:p w14:paraId="3626026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(0.135)</w:t>
            </w:r>
          </w:p>
        </w:tc>
      </w:tr>
      <w:tr w14:paraId="78DC0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4" w:type="pct"/>
            <w:shd w:val="clear" w:color="auto" w:fill="FFFFFF"/>
            <w:vAlign w:val="center"/>
          </w:tcPr>
          <w:p w14:paraId="699A6D3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Education₂₀₁₈ × Post</w:t>
            </w:r>
          </w:p>
        </w:tc>
        <w:tc>
          <w:tcPr>
            <w:tcW w:w="1213" w:type="pct"/>
            <w:shd w:val="clear" w:color="auto" w:fill="FFFFFF"/>
            <w:vAlign w:val="center"/>
          </w:tcPr>
          <w:p w14:paraId="07F04EB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−0.168</w:t>
            </w:r>
          </w:p>
        </w:tc>
        <w:tc>
          <w:tcPr>
            <w:tcW w:w="1218" w:type="pct"/>
            <w:shd w:val="clear" w:color="auto" w:fill="FFFFFF"/>
            <w:vAlign w:val="center"/>
          </w:tcPr>
          <w:p w14:paraId="2EE06D9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r>
      <w:tr w14:paraId="6695A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4" w:type="pct"/>
            <w:shd w:val="clear" w:color="auto" w:fill="FFFFFF"/>
            <w:vAlign w:val="center"/>
          </w:tcPr>
          <w:p w14:paraId="7CE74CC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3" w:type="pct"/>
            <w:shd w:val="clear" w:color="auto" w:fill="FFFFFF"/>
            <w:vAlign w:val="center"/>
          </w:tcPr>
          <w:p w14:paraId="69AC346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(0.187)</w:t>
            </w:r>
          </w:p>
        </w:tc>
        <w:tc>
          <w:tcPr>
            <w:tcW w:w="1218" w:type="pct"/>
            <w:shd w:val="clear" w:color="auto" w:fill="FFFFFF"/>
            <w:vAlign w:val="center"/>
          </w:tcPr>
          <w:p w14:paraId="2B107A1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r>
      <w:tr w14:paraId="1E49A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4" w:type="pct"/>
            <w:shd w:val="clear" w:color="auto" w:fill="FFFFFF"/>
            <w:vAlign w:val="center"/>
          </w:tcPr>
          <w:p w14:paraId="13F886A4">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GenAI₂₀₁₈ × Education₂₀₁₈ × Post</w:t>
            </w:r>
          </w:p>
        </w:tc>
        <w:tc>
          <w:tcPr>
            <w:tcW w:w="1213" w:type="pct"/>
            <w:shd w:val="clear" w:color="auto" w:fill="FFFFFF"/>
            <w:vAlign w:val="center"/>
          </w:tcPr>
          <w:p w14:paraId="3FC91B2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−0.135</w:t>
            </w:r>
          </w:p>
        </w:tc>
        <w:tc>
          <w:tcPr>
            <w:tcW w:w="1218" w:type="pct"/>
            <w:shd w:val="clear" w:color="auto" w:fill="FFFFFF"/>
            <w:vAlign w:val="center"/>
          </w:tcPr>
          <w:p w14:paraId="3FF7630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r>
      <w:tr w14:paraId="302BC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4" w:type="pct"/>
            <w:shd w:val="clear" w:color="auto" w:fill="FFFFFF"/>
            <w:vAlign w:val="center"/>
          </w:tcPr>
          <w:p w14:paraId="1C1D918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3" w:type="pct"/>
            <w:shd w:val="clear" w:color="auto" w:fill="FFFFFF"/>
            <w:vAlign w:val="center"/>
          </w:tcPr>
          <w:p w14:paraId="01B7E38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(0.100)</w:t>
            </w:r>
          </w:p>
        </w:tc>
        <w:tc>
          <w:tcPr>
            <w:tcW w:w="1218" w:type="pct"/>
            <w:shd w:val="clear" w:color="auto" w:fill="FFFFFF"/>
            <w:vAlign w:val="center"/>
          </w:tcPr>
          <w:p w14:paraId="10589AB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r>
      <w:tr w14:paraId="37161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4" w:type="pct"/>
            <w:shd w:val="clear" w:color="auto" w:fill="FFFFFF"/>
            <w:vAlign w:val="center"/>
          </w:tcPr>
          <w:p w14:paraId="74457CF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JobHeat₂₀₁₈ × Post</w:t>
            </w:r>
          </w:p>
        </w:tc>
        <w:tc>
          <w:tcPr>
            <w:tcW w:w="1213" w:type="pct"/>
            <w:shd w:val="clear" w:color="auto" w:fill="FFFFFF"/>
            <w:vAlign w:val="center"/>
          </w:tcPr>
          <w:p w14:paraId="3F501F6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8" w:type="pct"/>
            <w:shd w:val="clear" w:color="auto" w:fill="FFFFFF"/>
            <w:vAlign w:val="center"/>
          </w:tcPr>
          <w:p w14:paraId="2F059C9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−0.152</w:t>
            </w:r>
          </w:p>
        </w:tc>
      </w:tr>
      <w:tr w14:paraId="32CB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4" w:type="pct"/>
            <w:shd w:val="clear" w:color="auto" w:fill="FFFFFF"/>
            <w:vAlign w:val="center"/>
          </w:tcPr>
          <w:p w14:paraId="45C9560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3" w:type="pct"/>
            <w:shd w:val="clear" w:color="auto" w:fill="FFFFFF"/>
            <w:vAlign w:val="center"/>
          </w:tcPr>
          <w:p w14:paraId="5FF2522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8" w:type="pct"/>
            <w:shd w:val="clear" w:color="auto" w:fill="FFFFFF"/>
            <w:vAlign w:val="center"/>
          </w:tcPr>
          <w:p w14:paraId="3BEC7B8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(0.116)</w:t>
            </w:r>
          </w:p>
        </w:tc>
      </w:tr>
      <w:tr w14:paraId="2B54B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4" w:type="pct"/>
            <w:shd w:val="clear" w:color="auto" w:fill="FFFFFF"/>
            <w:vAlign w:val="center"/>
          </w:tcPr>
          <w:p w14:paraId="4FDAEC5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GenAI₂₀₁₈ × JobHeat₂₀₁₈ × Post</w:t>
            </w:r>
          </w:p>
        </w:tc>
        <w:tc>
          <w:tcPr>
            <w:tcW w:w="1213" w:type="pct"/>
            <w:shd w:val="clear" w:color="auto" w:fill="FFFFFF"/>
            <w:vAlign w:val="center"/>
          </w:tcPr>
          <w:p w14:paraId="5AAA9AA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8" w:type="pct"/>
            <w:shd w:val="clear" w:color="auto" w:fill="FFFFFF"/>
            <w:vAlign w:val="center"/>
          </w:tcPr>
          <w:p w14:paraId="6C00CD7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−0.063</w:t>
            </w:r>
          </w:p>
        </w:tc>
      </w:tr>
      <w:tr w14:paraId="63CA0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4" w:type="pct"/>
            <w:shd w:val="clear" w:color="auto" w:fill="FFFFFF"/>
            <w:vAlign w:val="center"/>
          </w:tcPr>
          <w:p w14:paraId="5DF8928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3" w:type="pct"/>
            <w:shd w:val="clear" w:color="auto" w:fill="FFFFFF"/>
            <w:vAlign w:val="center"/>
          </w:tcPr>
          <w:p w14:paraId="263C922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p>
        </w:tc>
        <w:tc>
          <w:tcPr>
            <w:tcW w:w="1218" w:type="pct"/>
            <w:shd w:val="clear" w:color="auto" w:fill="FFFFFF"/>
            <w:vAlign w:val="center"/>
          </w:tcPr>
          <w:p w14:paraId="7B1929AC">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(0.081)</w:t>
            </w:r>
          </w:p>
        </w:tc>
      </w:tr>
      <w:tr w14:paraId="5B9B6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4" w:type="pct"/>
            <w:shd w:val="clear" w:color="auto" w:fill="FFFFFF"/>
            <w:vAlign w:val="center"/>
          </w:tcPr>
          <w:p w14:paraId="6E7D765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Confounder Controls × Post</w:t>
            </w:r>
          </w:p>
        </w:tc>
        <w:tc>
          <w:tcPr>
            <w:tcW w:w="1213" w:type="pct"/>
            <w:shd w:val="clear" w:color="auto" w:fill="FFFFFF"/>
            <w:vAlign w:val="center"/>
          </w:tcPr>
          <w:p w14:paraId="7915E9C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Yes</w:t>
            </w:r>
          </w:p>
        </w:tc>
        <w:tc>
          <w:tcPr>
            <w:tcW w:w="1218" w:type="pct"/>
            <w:shd w:val="clear" w:color="auto" w:fill="FFFFFF"/>
            <w:vAlign w:val="center"/>
          </w:tcPr>
          <w:p w14:paraId="46F46B4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Yes</w:t>
            </w:r>
          </w:p>
        </w:tc>
      </w:tr>
      <w:tr w14:paraId="54231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4" w:type="pct"/>
            <w:shd w:val="clear" w:color="auto" w:fill="FFFFFF"/>
            <w:vAlign w:val="center"/>
          </w:tcPr>
          <w:p w14:paraId="509F651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Controls / Entity FE / Time FE</w:t>
            </w:r>
          </w:p>
        </w:tc>
        <w:tc>
          <w:tcPr>
            <w:tcW w:w="1213" w:type="pct"/>
            <w:shd w:val="clear" w:color="auto" w:fill="FFFFFF"/>
            <w:vAlign w:val="center"/>
          </w:tcPr>
          <w:p w14:paraId="3C5AAFCB">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Yes / Yes / Yes</w:t>
            </w:r>
          </w:p>
        </w:tc>
        <w:tc>
          <w:tcPr>
            <w:tcW w:w="1218" w:type="pct"/>
            <w:shd w:val="clear" w:color="auto" w:fill="FFFFFF"/>
            <w:vAlign w:val="center"/>
          </w:tcPr>
          <w:p w14:paraId="53DAD6C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Yes / Yes / Yes</w:t>
            </w:r>
          </w:p>
        </w:tc>
      </w:tr>
      <w:tr w14:paraId="573D5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2504" w:type="pct"/>
            <w:shd w:val="clear" w:color="auto" w:fill="FFFFFF"/>
            <w:vAlign w:val="center"/>
          </w:tcPr>
          <w:p w14:paraId="7F3D0B8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Observations</w:t>
            </w:r>
          </w:p>
        </w:tc>
        <w:tc>
          <w:tcPr>
            <w:tcW w:w="1213" w:type="pct"/>
            <w:shd w:val="clear" w:color="auto" w:fill="FFFFFF"/>
            <w:vAlign w:val="center"/>
          </w:tcPr>
          <w:p w14:paraId="604A6F5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6,895</w:t>
            </w:r>
          </w:p>
        </w:tc>
        <w:tc>
          <w:tcPr>
            <w:tcW w:w="1218" w:type="pct"/>
            <w:shd w:val="clear" w:color="auto" w:fill="FFFFFF"/>
            <w:vAlign w:val="center"/>
          </w:tcPr>
          <w:p w14:paraId="4119C61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6,895</w:t>
            </w:r>
          </w:p>
        </w:tc>
      </w:tr>
      <w:tr w14:paraId="060E3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2504" w:type="pct"/>
            <w:tcBorders>
              <w:bottom w:val="single" w:color="000000" w:sz="12" w:space="0"/>
            </w:tcBorders>
            <w:shd w:val="clear" w:color="auto" w:fill="FFFFFF"/>
            <w:vAlign w:val="center"/>
          </w:tcPr>
          <w:p w14:paraId="175EDEC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F-statistic</w:t>
            </w:r>
          </w:p>
        </w:tc>
        <w:tc>
          <w:tcPr>
            <w:tcW w:w="1213" w:type="pct"/>
            <w:tcBorders>
              <w:bottom w:val="single" w:color="000000" w:sz="12" w:space="0"/>
            </w:tcBorders>
            <w:shd w:val="clear" w:color="auto" w:fill="FFFFFF"/>
            <w:vAlign w:val="center"/>
          </w:tcPr>
          <w:p w14:paraId="0AFDE15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2.38***</w:t>
            </w:r>
          </w:p>
        </w:tc>
        <w:tc>
          <w:tcPr>
            <w:tcW w:w="1218" w:type="pct"/>
            <w:tcBorders>
              <w:bottom w:val="single" w:color="000000" w:sz="12" w:space="0"/>
            </w:tcBorders>
            <w:shd w:val="clear" w:color="auto" w:fill="FFFFFF"/>
            <w:vAlign w:val="center"/>
          </w:tcPr>
          <w:p w14:paraId="05425E0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color w:val="000000"/>
                <w:kern w:val="0"/>
                <w:sz w:val="21"/>
                <w:szCs w:val="21"/>
                <w:lang w:val="en-US" w:eastAsia="zh-CN" w:bidi="ar"/>
              </w:rPr>
            </w:pPr>
            <w:r>
              <w:rPr>
                <w:rFonts w:hint="default" w:ascii="Times New Roman" w:hAnsi="Times New Roman" w:cs="Times New Roman"/>
                <w:b w:val="0"/>
                <w:color w:val="000000"/>
                <w:kern w:val="0"/>
                <w:sz w:val="21"/>
                <w:szCs w:val="21"/>
                <w:lang w:val="en-US" w:eastAsia="zh-CN" w:bidi="ar"/>
              </w:rPr>
              <w:t>2.34***</w:t>
            </w:r>
          </w:p>
        </w:tc>
      </w:tr>
    </w:tbl>
    <w:p w14:paraId="0527130C">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Georgia" w:cs="Times New Roman"/>
          <w:b w:val="0"/>
          <w:bCs w:val="0"/>
          <w:color w:val="374151"/>
          <w:kern w:val="2"/>
          <w:sz w:val="21"/>
          <w:szCs w:val="21"/>
          <w:shd w:val="clear" w:color="auto" w:fill="FFFFFF"/>
          <w:lang w:val="en-US" w:eastAsia="zh-CN" w:bidi="ar-SA"/>
          <w14:ligatures w14:val="standardContextual"/>
        </w:rPr>
      </w:pPr>
      <w:r>
        <w:rPr>
          <w:rFonts w:hint="default" w:ascii="Times New Roman" w:hAnsi="Times New Roman" w:eastAsia="Georgia" w:cs="Times New Roman"/>
          <w:b/>
          <w:bCs/>
          <w:color w:val="374151"/>
          <w:kern w:val="2"/>
          <w:sz w:val="21"/>
          <w:szCs w:val="21"/>
          <w:shd w:val="clear" w:color="auto" w:fill="FFFFFF"/>
          <w:lang w:val="en-US" w:eastAsia="zh-CN" w:bidi="ar-SA"/>
          <w14:ligatures w14:val="standardContextual"/>
        </w:rPr>
        <w:t>Notes.</w:t>
      </w:r>
      <w:r>
        <w:rPr>
          <w:rFonts w:hint="default" w:ascii="Times New Roman" w:hAnsi="Times New Roman" w:eastAsia="Georgia" w:cs="Times New Roman"/>
          <w:b w:val="0"/>
          <w:bCs w:val="0"/>
          <w:color w:val="374151"/>
          <w:kern w:val="2"/>
          <w:sz w:val="21"/>
          <w:szCs w:val="21"/>
          <w:shd w:val="clear" w:color="auto" w:fill="FFFFFF"/>
          <w:lang w:val="en-US" w:eastAsia="zh-CN" w:bidi="ar-SA"/>
          <w14:ligatures w14:val="standardContextual"/>
        </w:rPr>
        <w:t xml:space="preserve"> All moderating variables are measured at 2018 values to preserve the pre-determined design. The triple-interaction coefficients are directionally consistent with the panel fixed-effects mechanism results in Table 2 of the main text but do not reach conventional significance, likely because of the short post-treatment window.</w:t>
      </w:r>
    </w:p>
    <w:p w14:paraId="768F6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14:paraId="52E23078">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n-US" w:eastAsia="zh-CN"/>
        </w:rPr>
      </w:pPr>
      <w:bookmarkStart w:id="26" w:name="_Toc30945"/>
      <w:r>
        <w:rPr>
          <w:rFonts w:hint="default"/>
          <w:lang w:val="en-US" w:eastAsia="zh-CN"/>
        </w:rPr>
        <w:t>Supplementary Text S8 | Robustness checks</w:t>
      </w:r>
      <w:bookmarkEnd w:id="26"/>
    </w:p>
    <w:p w14:paraId="1301DDAA">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This section reports detailed results for three sets of robustness checks, corresponding to the DID model and the two-way fixed-effects models in the main text.</w:t>
      </w:r>
    </w:p>
    <w:p w14:paraId="79E98E77">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27" w:name="_Toc11403"/>
      <w:r>
        <w:rPr>
          <w:rFonts w:hint="default" w:ascii="Times New Roman" w:hAnsi="Times New Roman" w:cs="Times New Roman"/>
        </w:rPr>
        <w:t>1. Randomization inference for the DID estimate</w:t>
      </w:r>
      <w:bookmarkEnd w:id="27"/>
    </w:p>
    <w:p w14:paraId="34E243D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To evaluate the statistical robustness of the DID estimates without invoking large-sample asymptotics or specific error-structure assumptions, we implemented randomization inference based on Fisher</w:t>
      </w:r>
      <w:r>
        <w:rPr>
          <w:rFonts w:hint="default" w:cs="Times New Roman"/>
          <w:color w:val="auto"/>
          <w:lang w:val="en-US" w:eastAsia="zh-CN"/>
        </w:rPr>
        <w:t>’</w:t>
      </w:r>
      <w:r>
        <w:rPr>
          <w:rFonts w:hint="default" w:ascii="Times New Roman" w:hAnsi="Times New Roman" w:cs="Times New Roman"/>
          <w:color w:val="auto"/>
          <w:lang w:val="en-US" w:eastAsia="zh-CN"/>
        </w:rPr>
        <w:t xml:space="preserve">s exact test (see Methods, </w:t>
      </w:r>
      <w:r>
        <w:rPr>
          <w:rFonts w:hint="default" w:cs="Times New Roman"/>
          <w:color w:val="auto"/>
          <w:lang w:val="en-US" w:eastAsia="zh-CN"/>
        </w:rPr>
        <w:t>“</w:t>
      </w:r>
      <w:r>
        <w:rPr>
          <w:rFonts w:hint="default" w:ascii="Times New Roman" w:hAnsi="Times New Roman" w:cs="Times New Roman"/>
          <w:color w:val="auto"/>
          <w:lang w:val="en-US" w:eastAsia="zh-CN"/>
        </w:rPr>
        <w:t>Randomization inference</w:t>
      </w:r>
      <w:r>
        <w:rPr>
          <w:rFonts w:hint="default" w:cs="Times New Roman"/>
          <w:color w:val="auto"/>
          <w:lang w:val="en-US" w:eastAsia="zh-CN"/>
        </w:rPr>
        <w:t>”</w:t>
      </w:r>
      <w:r>
        <w:rPr>
          <w:rFonts w:hint="default" w:ascii="Times New Roman" w:hAnsi="Times New Roman" w:cs="Times New Roman"/>
          <w:color w:val="auto"/>
          <w:lang w:val="en-US" w:eastAsia="zh-CN"/>
        </w:rPr>
        <w:t xml:space="preserve">). The pre-determined GenAI exposure of the 1,383 </w:t>
      </w:r>
      <w:r>
        <w:rPr>
          <w:rFonts w:hint="eastAsia" w:cs="Times New Roman"/>
          <w:color w:val="auto"/>
          <w:lang w:val="en-US" w:eastAsia="zh-CN"/>
        </w:rPr>
        <w:t>neighborhood</w:t>
      </w:r>
      <w:r>
        <w:rPr>
          <w:rFonts w:hint="default" w:ascii="Times New Roman" w:hAnsi="Times New Roman" w:cs="Times New Roman"/>
          <w:color w:val="auto"/>
          <w:lang w:val="en-US" w:eastAsia="zh-CN"/>
        </w:rPr>
        <w:t xml:space="preserve">s was randomly permuted 500 times; in each iteration, the DID coefficient (with concurrent shock controls) was re-estimated to generate a placebo distribution. Supplementary Fig. S5 shows that the placebo coefficients are tightly </w:t>
      </w:r>
      <w:r>
        <w:rPr>
          <w:rFonts w:hint="eastAsia" w:cs="Times New Roman"/>
          <w:color w:val="auto"/>
          <w:lang w:val="en-US" w:eastAsia="zh-CN"/>
        </w:rPr>
        <w:t>centere</w:t>
      </w:r>
      <w:r>
        <w:rPr>
          <w:rFonts w:hint="default" w:ascii="Times New Roman" w:hAnsi="Times New Roman" w:cs="Times New Roman"/>
          <w:color w:val="auto"/>
          <w:lang w:val="en-US" w:eastAsia="zh-CN"/>
        </w:rPr>
        <w:t>d on zero with an approximately normal distribution (mean = 0.001, standard deviation = 0.058), whereas the true estimate (-0.151, red vertical line) lies in the extreme left tail. The two-sided permutation p-value is 0.004—only 2 of 500 placebo simulations produced a coefficient with absolute value greater than 0.151. The result confirms the statistical significance of the GenAI wage penalty without distributional assumptions and rules out spurious significance arising from data structure or spatial correlation.</w:t>
      </w:r>
    </w:p>
    <w:p w14:paraId="54607045">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p>
    <w:p w14:paraId="1D69203A">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936615" cy="3985895"/>
            <wp:effectExtent l="0" t="0" r="6985" b="5080"/>
            <wp:docPr id="7" name="图片 7" descr="Fig_Permutation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_Permutation_Test"/>
                    <pic:cNvPicPr>
                      <a:picLocks noChangeAspect="1"/>
                    </pic:cNvPicPr>
                  </pic:nvPicPr>
                  <pic:blipFill>
                    <a:blip r:embed="rId12"/>
                    <a:stretch>
                      <a:fillRect/>
                    </a:stretch>
                  </pic:blipFill>
                  <pic:spPr>
                    <a:xfrm>
                      <a:off x="0" y="0"/>
                      <a:ext cx="5936615" cy="3985895"/>
                    </a:xfrm>
                    <a:prstGeom prst="rect">
                      <a:avLst/>
                    </a:prstGeom>
                  </pic:spPr>
                </pic:pic>
              </a:graphicData>
            </a:graphic>
          </wp:inline>
        </w:drawing>
      </w:r>
    </w:p>
    <w:p w14:paraId="7103B537">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n-US" w:eastAsia="zh-CN"/>
        </w:rPr>
      </w:pPr>
      <w:bookmarkStart w:id="28" w:name="_Toc19633"/>
      <w:r>
        <w:rPr>
          <w:rFonts w:hint="default"/>
          <w:lang w:val="en-US" w:eastAsia="zh-CN"/>
        </w:rPr>
        <w:t>Supplementary Fig. S5 | Permutation test — randomization inference for the DID estimate.</w:t>
      </w:r>
      <w:bookmarkEnd w:id="28"/>
    </w:p>
    <w:p w14:paraId="55BB72FA">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Histogram (with overlaid kernel-density curve) of 500 placebo DID coefficients (</w:t>
      </w:r>
      <m:oMath>
        <m:sSub>
          <m:sSubPr>
            <m:ctrlPr>
              <w:rPr>
                <w:rFonts w:hint="default" w:ascii="Cambria Math" w:hAnsi="Cambria Math" w:eastAsia="宋体" w:cs="Times New Roman"/>
                <w:sz w:val="21"/>
              </w:rPr>
            </m:ctrlPr>
          </m:sSubPr>
          <m:e>
            <m:r>
              <m:rPr/>
              <w:rPr>
                <w:rFonts w:hint="default" w:ascii="Cambria Math" w:hAnsi="Cambria Math" w:eastAsia="宋体" w:cs="Times New Roman"/>
                <w:sz w:val="21"/>
              </w:rPr>
              <m:t>GenAI</m:t>
            </m:r>
            <m:ctrlPr>
              <w:rPr>
                <w:rFonts w:hint="default" w:ascii="Cambria Math" w:hAnsi="Cambria Math" w:eastAsia="宋体" w:cs="Times New Roman"/>
                <w:sz w:val="21"/>
              </w:rPr>
            </m:ctrlPr>
          </m:e>
          <m:sub>
            <m:r>
              <m:rPr/>
              <w:rPr>
                <w:rFonts w:hint="default" w:ascii="Cambria Math" w:hAnsi="Cambria Math" w:eastAsia="宋体" w:cs="Times New Roman"/>
                <w:sz w:val="21"/>
              </w:rPr>
              <m:t>pre</m:t>
            </m:r>
            <m:ctrlPr>
              <w:rPr>
                <w:rFonts w:hint="default" w:ascii="Cambria Math" w:hAnsi="Cambria Math" w:eastAsia="宋体" w:cs="Times New Roman"/>
                <w:sz w:val="21"/>
              </w:rPr>
            </m:ctrlPr>
          </m:sub>
        </m:sSub>
        <m:r>
          <m:rPr>
            <m:sty m:val="p"/>
          </m:rPr>
          <w:rPr>
            <w:rFonts w:hint="default" w:ascii="Cambria Math" w:hAnsi="Cambria Math" w:eastAsia="宋体" w:cs="Times New Roman"/>
            <w:sz w:val="21"/>
          </w:rPr>
          <m:t>×</m:t>
        </m:r>
        <m:r>
          <m:rPr/>
          <w:rPr>
            <w:rFonts w:hint="default" w:ascii="Cambria Math" w:hAnsi="Cambria Math" w:eastAsia="宋体" w:cs="Times New Roman"/>
            <w:sz w:val="21"/>
          </w:rPr>
          <m:t>Post</m:t>
        </m:r>
      </m:oMath>
      <w:r>
        <w:rPr>
          <w:rFonts w:hint="default" w:ascii="Times New Roman" w:hAnsi="Times New Roman" w:cs="Times New Roman"/>
          <w:b w:val="0"/>
          <w:bCs w:val="0"/>
          <w:color w:val="auto"/>
          <w:sz w:val="21"/>
          <w:szCs w:val="21"/>
          <w:lang w:val="en-US" w:eastAsia="zh-CN"/>
        </w:rPr>
        <w:t xml:space="preserve">) obtained by randomly shuffling the pre-determined GenAI exposure vector across the 1,383 </w:t>
      </w:r>
      <w:r>
        <w:rPr>
          <w:rFonts w:hint="eastAsia" w:cs="Times New Roman"/>
          <w:b w:val="0"/>
          <w:bCs w:val="0"/>
          <w:color w:val="auto"/>
          <w:sz w:val="21"/>
          <w:szCs w:val="21"/>
          <w:lang w:val="en-US" w:eastAsia="zh-CN"/>
        </w:rPr>
        <w:t>neighborhood</w:t>
      </w:r>
      <w:r>
        <w:rPr>
          <w:rFonts w:hint="default" w:ascii="Times New Roman" w:hAnsi="Times New Roman" w:cs="Times New Roman"/>
          <w:b w:val="0"/>
          <w:bCs w:val="0"/>
          <w:color w:val="auto"/>
          <w:sz w:val="21"/>
          <w:szCs w:val="21"/>
          <w:lang w:val="en-US" w:eastAsia="zh-CN"/>
        </w:rPr>
        <w:t xml:space="preserve"> blocks. The red vertical line marks the true estimate (-0.1512) from the confounder-controlled specification (Table 1, Column 2). The permutation p-value is 0.004, indicating that the observed wage penalty lies far in the left tail of the null distribution.</w:t>
      </w:r>
    </w:p>
    <w:p w14:paraId="6AE73E43">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b w:val="0"/>
          <w:bCs w:val="0"/>
          <w:color w:val="auto"/>
          <w:sz w:val="21"/>
          <w:szCs w:val="21"/>
          <w:lang w:val="en-US" w:eastAsia="zh-CN"/>
        </w:rPr>
      </w:pPr>
    </w:p>
    <w:p w14:paraId="4FE22225">
      <w:pPr>
        <w:pStyle w:val="3"/>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29" w:name="_Toc447"/>
      <w:r>
        <w:rPr>
          <w:rFonts w:hint="default" w:ascii="Times New Roman" w:hAnsi="Times New Roman" w:cs="Times New Roman"/>
        </w:rPr>
        <w:t>2. Placebo tests for the fixed-effects models</w:t>
      </w:r>
      <w:bookmarkEnd w:id="29"/>
    </w:p>
    <w:p w14:paraId="39C0F00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To verify the robustness of the de-skilling effect (GenAI × Education, coefficient = -1.286) and the crowding effect (GenAI × JobMarketHeat, coefficient = -1.619) reported in Table 2 of the main text, we conducted placebo tests for the corresponding two-way fixed-effects specifications (Methods Equations 10–11). Specifically, the GenAI exposure variable was randomly shuffled across </w:t>
      </w:r>
      <w:r>
        <w:rPr>
          <w:rFonts w:hint="eastAsia" w:cs="Times New Roman"/>
          <w:color w:val="auto"/>
          <w:lang w:eastAsia="zh-CN"/>
        </w:rPr>
        <w:t>neighborhood</w:t>
      </w:r>
      <w:r>
        <w:rPr>
          <w:rFonts w:hint="default" w:ascii="Times New Roman" w:hAnsi="Times New Roman" w:cs="Times New Roman"/>
          <w:color w:val="auto"/>
        </w:rPr>
        <w:t>–year observations, and the shuffled variable was used to reconstruct the interaction terms and re-estimate the placebo interaction coefficients. The procedure was repeated 500 times for each mechanism.</w:t>
      </w:r>
    </w:p>
    <w:p w14:paraId="492A8E7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Supplementary Fig. S6a shows the placebo distribution for the de-skilling interaction. The 500 placebo coefficients are tightly clustered around zero (mean ≈ -0.05), and the true coefficient of -1.286 (red vertical line) lies far outside the placebo distribution (empirical p &lt; 0.001$), confirming the statistical reliability of the de-skilling effect.</w:t>
      </w:r>
    </w:p>
    <w:p w14:paraId="5C4862F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Supplementary Fig. S6b reports the analogous distribution for the crowding interaction. The 500 placebo coefficients are tightly clustered around zero (mean ≈ -0.04) and form a standard unimodal distribution. The true coefficient of -1.619 (red vertical line) again lies far outside the placebo distribution (empirical p &lt; 0.001), confirming that the crowding effect is not random noise.</w:t>
      </w:r>
    </w:p>
    <w:p w14:paraId="2C94A1E9">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Together, these tests indicate that the de-skilling and crowding effects identified in this study reflect genuine structural patterns of the Beijing </w:t>
      </w:r>
      <w:r>
        <w:rPr>
          <w:rFonts w:hint="eastAsia" w:cs="Times New Roman"/>
          <w:color w:val="auto"/>
          <w:lang w:eastAsia="zh-CN"/>
        </w:rPr>
        <w:t>labor</w:t>
      </w:r>
      <w:r>
        <w:rPr>
          <w:rFonts w:hint="default" w:ascii="Times New Roman" w:hAnsi="Times New Roman" w:cs="Times New Roman"/>
          <w:color w:val="auto"/>
        </w:rPr>
        <w:t xml:space="preserve"> market rather than artefacts of model specification or data structure.</w:t>
      </w:r>
    </w:p>
    <w:p w14:paraId="0E326355">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20"/>
        <w:jc w:val="both"/>
        <w:textAlignment w:val="auto"/>
        <w:rPr>
          <w:rFonts w:hint="default" w:ascii="Times New Roman" w:hAnsi="Times New Roman" w:cs="Times New Roman"/>
          <w:color w:val="auto"/>
          <w:lang w:val="en-US" w:eastAsia="zh-CN"/>
        </w:rPr>
      </w:pPr>
    </w:p>
    <w:p w14:paraId="794EB3F9">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943600" cy="3917315"/>
            <wp:effectExtent l="0" t="0" r="0" b="6985"/>
            <wp:docPr id="9" name="图片 9" descr="Fig_Placebo_Mech_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_Placebo_Mech_Edu"/>
                    <pic:cNvPicPr>
                      <a:picLocks noChangeAspect="1"/>
                    </pic:cNvPicPr>
                  </pic:nvPicPr>
                  <pic:blipFill>
                    <a:blip r:embed="rId13"/>
                    <a:stretch>
                      <a:fillRect/>
                    </a:stretch>
                  </pic:blipFill>
                  <pic:spPr>
                    <a:xfrm>
                      <a:off x="0" y="0"/>
                      <a:ext cx="5943600" cy="3917315"/>
                    </a:xfrm>
                    <a:prstGeom prst="rect">
                      <a:avLst/>
                    </a:prstGeom>
                  </pic:spPr>
                </pic:pic>
              </a:graphicData>
            </a:graphic>
          </wp:inline>
        </w:drawing>
      </w:r>
      <w:r>
        <w:rPr>
          <w:rFonts w:hint="default" w:ascii="Times New Roman" w:hAnsi="Times New Roman" w:eastAsia="宋体" w:cs="Times New Roman"/>
          <w:color w:val="auto"/>
          <w:lang w:eastAsia="zh-CN"/>
        </w:rPr>
        <w:drawing>
          <wp:inline distT="0" distB="0" distL="114300" distR="114300">
            <wp:extent cx="5943600" cy="3917315"/>
            <wp:effectExtent l="0" t="0" r="0" b="6985"/>
            <wp:docPr id="8" name="图片 8" descr="Fig_Placebo_Mech_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_Placebo_Mech_Job"/>
                    <pic:cNvPicPr>
                      <a:picLocks noChangeAspect="1"/>
                    </pic:cNvPicPr>
                  </pic:nvPicPr>
                  <pic:blipFill>
                    <a:blip r:embed="rId14"/>
                    <a:stretch>
                      <a:fillRect/>
                    </a:stretch>
                  </pic:blipFill>
                  <pic:spPr>
                    <a:xfrm>
                      <a:off x="0" y="0"/>
                      <a:ext cx="5943600" cy="3917315"/>
                    </a:xfrm>
                    <a:prstGeom prst="rect">
                      <a:avLst/>
                    </a:prstGeom>
                  </pic:spPr>
                </pic:pic>
              </a:graphicData>
            </a:graphic>
          </wp:inline>
        </w:drawing>
      </w:r>
    </w:p>
    <w:p w14:paraId="573967F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default"/>
          <w:lang w:val="en-US" w:eastAsia="zh-CN"/>
        </w:rPr>
      </w:pPr>
      <w:bookmarkStart w:id="30" w:name="_Toc3395"/>
      <w:r>
        <w:rPr>
          <w:rFonts w:hint="default"/>
          <w:lang w:val="en-US" w:eastAsia="zh-CN"/>
        </w:rPr>
        <w:t>Supplementary Fig. S6 | Placebo tests for the fixed-effects interaction terms.</w:t>
      </w:r>
      <w:bookmarkEnd w:id="30"/>
    </w:p>
    <w:p w14:paraId="10D0131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a</w:t>
      </w:r>
      <w:r>
        <w:rPr>
          <w:rFonts w:hint="default" w:ascii="Times New Roman" w:hAnsi="Times New Roman" w:cs="Times New Roman"/>
          <w:color w:val="auto"/>
          <w:lang w:val="en-US" w:eastAsia="zh-CN"/>
        </w:rPr>
        <w:t xml:space="preserve">, Distribution of 500 placebo interaction coefficients for GenAI × Education (de-skilling mechanism). The true estimate (-1.286, red line) lies far in the left tail (empirical p &lt; 0.001). </w:t>
      </w:r>
      <w:r>
        <w:rPr>
          <w:rFonts w:hint="default" w:ascii="Times New Roman" w:hAnsi="Times New Roman" w:cs="Times New Roman"/>
          <w:b/>
          <w:bCs/>
          <w:color w:val="auto"/>
          <w:lang w:val="en-US" w:eastAsia="zh-CN"/>
        </w:rPr>
        <w:t>b</w:t>
      </w:r>
      <w:r>
        <w:rPr>
          <w:rFonts w:hint="default" w:ascii="Times New Roman" w:hAnsi="Times New Roman" w:cs="Times New Roman"/>
          <w:color w:val="auto"/>
          <w:lang w:val="en-US" w:eastAsia="zh-CN"/>
        </w:rPr>
        <w:t>, Distribution of 500 placebo interaction coefficients for GenAI × JobIndex (crowding mechanism). The true estimate (-1.619, red line) lies far outside the placebo distribution (empirical p &lt; 0.001). Together, these tests confirm that the observed mechanisms are not artefacts of the data structure.</w:t>
      </w:r>
    </w:p>
    <w:p w14:paraId="255CEFD1">
      <w:pPr>
        <w:pStyle w:val="1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color w:val="auto"/>
        </w:rPr>
      </w:pPr>
      <w:r>
        <w:rPr>
          <w:rFonts w:hint="default" w:ascii="Times New Roman" w:hAnsi="Times New Roman" w:cs="Times New Roman"/>
          <w:color w:val="auto"/>
        </w:rPr>
        <w:br w:type="page"/>
      </w:r>
    </w:p>
    <w:p w14:paraId="14FDD2B3">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31" w:name="_Toc26913"/>
      <w:r>
        <w:rPr>
          <w:rFonts w:hint="default" w:ascii="Times New Roman" w:hAnsi="Times New Roman" w:cs="Times New Roman"/>
        </w:rPr>
        <w:t>References</w:t>
      </w:r>
      <w:bookmarkEnd w:id="31"/>
    </w:p>
    <w:p w14:paraId="0902DE60">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ADDIN EN.REFLIST </w:instrText>
      </w:r>
      <w:r>
        <w:rPr>
          <w:rFonts w:hint="default" w:ascii="Times New Roman" w:hAnsi="Times New Roman" w:cs="Times New Roman"/>
          <w:color w:val="auto"/>
        </w:rPr>
        <w:fldChar w:fldCharType="separate"/>
      </w:r>
      <w:r>
        <w:rPr>
          <w:rFonts w:hint="default" w:ascii="Times New Roman" w:hAnsi="Times New Roman" w:eastAsia="宋体" w:cs="Times New Roman"/>
          <w:kern w:val="2"/>
          <w:sz w:val="24"/>
          <w:szCs w:val="24"/>
          <w:lang w:val="en-US" w:eastAsia="zh-CN" w:bidi="ar-SA"/>
          <w14:ligatures w14:val="standardContextual"/>
        </w:rPr>
        <w:t>1</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Braverman, H. </w:t>
      </w:r>
      <w:r>
        <w:rPr>
          <w:rFonts w:hint="eastAsia" w:cs="Times New Roman"/>
          <w:i/>
          <w:kern w:val="2"/>
          <w:sz w:val="24"/>
          <w:szCs w:val="24"/>
          <w:lang w:val="en-US" w:eastAsia="zh-CN" w:bidi="ar-SA"/>
          <w14:ligatures w14:val="standardContextual"/>
        </w:rPr>
        <w:t>labor</w:t>
      </w:r>
      <w:r>
        <w:rPr>
          <w:rFonts w:hint="default" w:ascii="Times New Roman" w:hAnsi="Times New Roman" w:eastAsia="宋体" w:cs="Times New Roman"/>
          <w:i/>
          <w:kern w:val="2"/>
          <w:sz w:val="24"/>
          <w:szCs w:val="24"/>
          <w:lang w:val="en-US" w:eastAsia="zh-CN" w:bidi="ar-SA"/>
          <w14:ligatures w14:val="standardContextual"/>
        </w:rPr>
        <w:t xml:space="preserve"> and monopoly capital: The degradation of work in the twentieth century</w:t>
      </w:r>
      <w:r>
        <w:rPr>
          <w:rFonts w:hint="default" w:ascii="Times New Roman" w:hAnsi="Times New Roman" w:eastAsia="宋体" w:cs="Times New Roman"/>
          <w:kern w:val="2"/>
          <w:sz w:val="24"/>
          <w:szCs w:val="24"/>
          <w:lang w:val="en-US" w:eastAsia="zh-CN" w:bidi="ar-SA"/>
          <w14:ligatures w14:val="standardContextual"/>
        </w:rPr>
        <w:t>.  (nyu Press, 1998).</w:t>
      </w:r>
    </w:p>
    <w:p w14:paraId="3B7D8637">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Desmet, K. &amp; Fafchamps, M. Changes in the spatial concentration of employment across US counties: a sectoral analysis 1972–2000. </w:t>
      </w:r>
      <w:r>
        <w:rPr>
          <w:rFonts w:hint="default" w:ascii="Times New Roman" w:hAnsi="Times New Roman" w:eastAsia="宋体" w:cs="Times New Roman"/>
          <w:i/>
          <w:kern w:val="2"/>
          <w:sz w:val="24"/>
          <w:szCs w:val="24"/>
          <w:lang w:val="en-US" w:eastAsia="zh-CN" w:bidi="ar-SA"/>
          <w14:ligatures w14:val="standardContextual"/>
        </w:rPr>
        <w:t>Journal of economic geography</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5</w:t>
      </w:r>
      <w:r>
        <w:rPr>
          <w:rFonts w:hint="default" w:ascii="Times New Roman" w:hAnsi="Times New Roman" w:eastAsia="宋体" w:cs="Times New Roman"/>
          <w:kern w:val="2"/>
          <w:sz w:val="24"/>
          <w:szCs w:val="24"/>
          <w:lang w:val="en-US" w:eastAsia="zh-CN" w:bidi="ar-SA"/>
          <w14:ligatures w14:val="standardContextual"/>
        </w:rPr>
        <w:t xml:space="preserve">, 261–284 (2005). </w:t>
      </w:r>
    </w:p>
    <w:p w14:paraId="589AF1F1">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Glaeser, E. L. &amp; Kohlhase, J. E. Cities, regions and the decline of transport costs. </w:t>
      </w:r>
      <w:r>
        <w:rPr>
          <w:rFonts w:hint="default" w:ascii="Times New Roman" w:hAnsi="Times New Roman" w:eastAsia="宋体" w:cs="Times New Roman"/>
          <w:i/>
          <w:kern w:val="2"/>
          <w:sz w:val="24"/>
          <w:szCs w:val="24"/>
          <w:lang w:val="en-US" w:eastAsia="zh-CN" w:bidi="ar-SA"/>
          <w14:ligatures w14:val="standardContextual"/>
        </w:rPr>
        <w:t>Papers in regional Science</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83</w:t>
      </w:r>
      <w:r>
        <w:rPr>
          <w:rFonts w:hint="default" w:ascii="Times New Roman" w:hAnsi="Times New Roman" w:eastAsia="宋体" w:cs="Times New Roman"/>
          <w:kern w:val="2"/>
          <w:sz w:val="24"/>
          <w:szCs w:val="24"/>
          <w:lang w:val="en-US" w:eastAsia="zh-CN" w:bidi="ar-SA"/>
          <w14:ligatures w14:val="standardContextual"/>
        </w:rPr>
        <w:t xml:space="preserve">, 197–228 (2004). </w:t>
      </w:r>
    </w:p>
    <w:p w14:paraId="1EE61AB5">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Katz, L. F. &amp; Murphy, K. M. Changes in relative wages, 1963–1987: supply and demand factors. </w:t>
      </w:r>
      <w:r>
        <w:rPr>
          <w:rFonts w:hint="default" w:ascii="Times New Roman" w:hAnsi="Times New Roman" w:eastAsia="宋体" w:cs="Times New Roman"/>
          <w:i/>
          <w:kern w:val="2"/>
          <w:sz w:val="24"/>
          <w:szCs w:val="24"/>
          <w:lang w:val="en-US" w:eastAsia="zh-CN" w:bidi="ar-SA"/>
          <w14:ligatures w14:val="standardContextual"/>
        </w:rPr>
        <w:t>The quarterly journal of economics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107</w:t>
      </w:r>
      <w:r>
        <w:rPr>
          <w:rFonts w:hint="default" w:ascii="Times New Roman" w:hAnsi="Times New Roman" w:eastAsia="宋体" w:cs="Times New Roman"/>
          <w:kern w:val="2"/>
          <w:sz w:val="24"/>
          <w:szCs w:val="24"/>
          <w:lang w:val="en-US" w:eastAsia="zh-CN" w:bidi="ar-SA"/>
          <w14:ligatures w14:val="standardContextual"/>
        </w:rPr>
        <w:t xml:space="preserve">, 35–78 (1992). </w:t>
      </w:r>
    </w:p>
    <w:p w14:paraId="57BF5C7D">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5</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Cairncross, F. The death of distance: How the communications revolution will change our lives. </w:t>
      </w:r>
      <w:r>
        <w:rPr>
          <w:rFonts w:hint="default" w:ascii="Times New Roman" w:hAnsi="Times New Roman" w:eastAsia="宋体" w:cs="Times New Roman"/>
          <w:i/>
          <w:kern w:val="2"/>
          <w:sz w:val="24"/>
          <w:szCs w:val="24"/>
          <w:lang w:val="en-US" w:eastAsia="zh-CN" w:bidi="ar-SA"/>
          <w14:ligatures w14:val="standardContextual"/>
        </w:rPr>
        <w:t>(No Title)</w:t>
      </w:r>
      <w:r>
        <w:rPr>
          <w:rFonts w:hint="default" w:ascii="Times New Roman" w:hAnsi="Times New Roman" w:eastAsia="宋体" w:cs="Times New Roman"/>
          <w:kern w:val="2"/>
          <w:sz w:val="24"/>
          <w:szCs w:val="24"/>
          <w:lang w:val="en-US" w:eastAsia="zh-CN" w:bidi="ar-SA"/>
          <w14:ligatures w14:val="standardContextual"/>
        </w:rPr>
        <w:t xml:space="preserve"> (1997). </w:t>
      </w:r>
    </w:p>
    <w:p w14:paraId="62A6BE27">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6</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Spitz-Oener, A. Technical change, job tasks, and rising educational demands: Looking outside the wage structure. </w:t>
      </w:r>
      <w:r>
        <w:rPr>
          <w:rFonts w:hint="default" w:ascii="Times New Roman" w:hAnsi="Times New Roman" w:eastAsia="宋体" w:cs="Times New Roman"/>
          <w:i/>
          <w:kern w:val="2"/>
          <w:sz w:val="24"/>
          <w:szCs w:val="24"/>
          <w:lang w:val="en-US" w:eastAsia="zh-CN" w:bidi="ar-SA"/>
          <w14:ligatures w14:val="standardContextual"/>
        </w:rPr>
        <w:t xml:space="preserve">Journal of </w:t>
      </w:r>
      <w:r>
        <w:rPr>
          <w:rFonts w:hint="eastAsia" w:cs="Times New Roman"/>
          <w:i/>
          <w:kern w:val="2"/>
          <w:sz w:val="24"/>
          <w:szCs w:val="24"/>
          <w:lang w:val="en-US" w:eastAsia="zh-CN" w:bidi="ar-SA"/>
          <w14:ligatures w14:val="standardContextual"/>
        </w:rPr>
        <w:t>labor</w:t>
      </w:r>
      <w:r>
        <w:rPr>
          <w:rFonts w:hint="default" w:ascii="Times New Roman" w:hAnsi="Times New Roman" w:eastAsia="宋体" w:cs="Times New Roman"/>
          <w:i/>
          <w:kern w:val="2"/>
          <w:sz w:val="24"/>
          <w:szCs w:val="24"/>
          <w:lang w:val="en-US" w:eastAsia="zh-CN" w:bidi="ar-SA"/>
          <w14:ligatures w14:val="standardContextual"/>
        </w:rPr>
        <w:t xml:space="preserve"> economics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24</w:t>
      </w:r>
      <w:r>
        <w:rPr>
          <w:rFonts w:hint="default" w:ascii="Times New Roman" w:hAnsi="Times New Roman" w:eastAsia="宋体" w:cs="Times New Roman"/>
          <w:kern w:val="2"/>
          <w:sz w:val="24"/>
          <w:szCs w:val="24"/>
          <w:lang w:val="en-US" w:eastAsia="zh-CN" w:bidi="ar-SA"/>
          <w14:ligatures w14:val="standardContextual"/>
        </w:rPr>
        <w:t xml:space="preserve">, 235–270 (2006). </w:t>
      </w:r>
    </w:p>
    <w:p w14:paraId="22B64E33">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7</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Capello, R. &amp; Lenzi, C. Spatial heterogeneity in knowledge, innovation, and economic growth nexus: conceptual reflections and empirical evidence. </w:t>
      </w:r>
      <w:r>
        <w:rPr>
          <w:rFonts w:hint="default" w:ascii="Times New Roman" w:hAnsi="Times New Roman" w:eastAsia="宋体" w:cs="Times New Roman"/>
          <w:i/>
          <w:kern w:val="2"/>
          <w:sz w:val="24"/>
          <w:szCs w:val="24"/>
          <w:lang w:val="en-US" w:eastAsia="zh-CN" w:bidi="ar-SA"/>
          <w14:ligatures w14:val="standardContextual"/>
        </w:rPr>
        <w:t>Journal of Regional Science</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54</w:t>
      </w:r>
      <w:r>
        <w:rPr>
          <w:rFonts w:hint="default" w:ascii="Times New Roman" w:hAnsi="Times New Roman" w:eastAsia="宋体" w:cs="Times New Roman"/>
          <w:kern w:val="2"/>
          <w:sz w:val="24"/>
          <w:szCs w:val="24"/>
          <w:lang w:val="en-US" w:eastAsia="zh-CN" w:bidi="ar-SA"/>
          <w14:ligatures w14:val="standardContextual"/>
        </w:rPr>
        <w:t xml:space="preserve">, 186–214 (2014). </w:t>
      </w:r>
    </w:p>
    <w:p w14:paraId="3D157339">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8</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Gaspar, J. &amp; Glaeser, E. L. Information technology and the future of cities. </w:t>
      </w:r>
      <w:r>
        <w:rPr>
          <w:rFonts w:hint="default" w:ascii="Times New Roman" w:hAnsi="Times New Roman" w:eastAsia="宋体" w:cs="Times New Roman"/>
          <w:i/>
          <w:kern w:val="2"/>
          <w:sz w:val="24"/>
          <w:szCs w:val="24"/>
          <w:lang w:val="en-US" w:eastAsia="zh-CN" w:bidi="ar-SA"/>
          <w14:ligatures w14:val="standardContextual"/>
        </w:rPr>
        <w:t>Journal of urban economics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43</w:t>
      </w:r>
      <w:r>
        <w:rPr>
          <w:rFonts w:hint="default" w:ascii="Times New Roman" w:hAnsi="Times New Roman" w:eastAsia="宋体" w:cs="Times New Roman"/>
          <w:kern w:val="2"/>
          <w:sz w:val="24"/>
          <w:szCs w:val="24"/>
          <w:lang w:val="en-US" w:eastAsia="zh-CN" w:bidi="ar-SA"/>
          <w14:ligatures w14:val="standardContextual"/>
        </w:rPr>
        <w:t xml:space="preserve">, 136–156 (1998). </w:t>
      </w:r>
    </w:p>
    <w:p w14:paraId="5C84D2B4">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9</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Card, D. &amp; DiNardo, J. E. Skill-biased technological change and rising wage inequality: Some problems and puzzles. </w:t>
      </w:r>
      <w:r>
        <w:rPr>
          <w:rFonts w:hint="default" w:ascii="Times New Roman" w:hAnsi="Times New Roman" w:eastAsia="宋体" w:cs="Times New Roman"/>
          <w:i/>
          <w:kern w:val="2"/>
          <w:sz w:val="24"/>
          <w:szCs w:val="24"/>
          <w:lang w:val="en-US" w:eastAsia="zh-CN" w:bidi="ar-SA"/>
          <w14:ligatures w14:val="standardContextual"/>
        </w:rPr>
        <w:t xml:space="preserve">Journal of </w:t>
      </w:r>
      <w:r>
        <w:rPr>
          <w:rFonts w:hint="eastAsia" w:cs="Times New Roman"/>
          <w:i/>
          <w:kern w:val="2"/>
          <w:sz w:val="24"/>
          <w:szCs w:val="24"/>
          <w:lang w:val="en-US" w:eastAsia="zh-CN" w:bidi="ar-SA"/>
          <w14:ligatures w14:val="standardContextual"/>
        </w:rPr>
        <w:t>labor</w:t>
      </w:r>
      <w:r>
        <w:rPr>
          <w:rFonts w:hint="default" w:ascii="Times New Roman" w:hAnsi="Times New Roman" w:eastAsia="宋体" w:cs="Times New Roman"/>
          <w:i/>
          <w:kern w:val="2"/>
          <w:sz w:val="24"/>
          <w:szCs w:val="24"/>
          <w:lang w:val="en-US" w:eastAsia="zh-CN" w:bidi="ar-SA"/>
          <w14:ligatures w14:val="standardContextual"/>
        </w:rPr>
        <w:t xml:space="preserve"> economics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20</w:t>
      </w:r>
      <w:r>
        <w:rPr>
          <w:rFonts w:hint="default" w:ascii="Times New Roman" w:hAnsi="Times New Roman" w:eastAsia="宋体" w:cs="Times New Roman"/>
          <w:kern w:val="2"/>
          <w:sz w:val="24"/>
          <w:szCs w:val="24"/>
          <w:lang w:val="en-US" w:eastAsia="zh-CN" w:bidi="ar-SA"/>
          <w14:ligatures w14:val="standardContextual"/>
        </w:rPr>
        <w:t xml:space="preserve">, 733–783 (2002). </w:t>
      </w:r>
    </w:p>
    <w:p w14:paraId="17C79B05">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10</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Moretti, E. </w:t>
      </w:r>
      <w:r>
        <w:rPr>
          <w:rFonts w:hint="default" w:ascii="Times New Roman" w:hAnsi="Times New Roman" w:eastAsia="宋体" w:cs="Times New Roman"/>
          <w:i/>
          <w:kern w:val="2"/>
          <w:sz w:val="24"/>
          <w:szCs w:val="24"/>
          <w:lang w:val="en-US" w:eastAsia="zh-CN" w:bidi="ar-SA"/>
          <w14:ligatures w14:val="standardContextual"/>
        </w:rPr>
        <w:t>The new geography of jobs</w:t>
      </w:r>
      <w:r>
        <w:rPr>
          <w:rFonts w:hint="default" w:ascii="Times New Roman" w:hAnsi="Times New Roman" w:eastAsia="宋体" w:cs="Times New Roman"/>
          <w:kern w:val="2"/>
          <w:sz w:val="24"/>
          <w:szCs w:val="24"/>
          <w:lang w:val="en-US" w:eastAsia="zh-CN" w:bidi="ar-SA"/>
          <w14:ligatures w14:val="standardContextual"/>
        </w:rPr>
        <w:t>.  (Houghton Mifflin Harcourt, 2012).</w:t>
      </w:r>
    </w:p>
    <w:p w14:paraId="109AA6D2">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11</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Bárány, Z. L. &amp; Siegel, C. Job polarization and structural change. </w:t>
      </w:r>
      <w:r>
        <w:rPr>
          <w:rFonts w:hint="default" w:ascii="Times New Roman" w:hAnsi="Times New Roman" w:eastAsia="宋体" w:cs="Times New Roman"/>
          <w:i/>
          <w:kern w:val="2"/>
          <w:sz w:val="24"/>
          <w:szCs w:val="24"/>
          <w:lang w:val="en-US" w:eastAsia="zh-CN" w:bidi="ar-SA"/>
          <w14:ligatures w14:val="standardContextual"/>
        </w:rPr>
        <w:t>American Economic Journal: Macroeconomics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10</w:t>
      </w:r>
      <w:r>
        <w:rPr>
          <w:rFonts w:hint="default" w:ascii="Times New Roman" w:hAnsi="Times New Roman" w:eastAsia="宋体" w:cs="Times New Roman"/>
          <w:kern w:val="2"/>
          <w:sz w:val="24"/>
          <w:szCs w:val="24"/>
          <w:lang w:val="en-US" w:eastAsia="zh-CN" w:bidi="ar-SA"/>
          <w14:ligatures w14:val="standardContextual"/>
        </w:rPr>
        <w:t xml:space="preserve">, 57–89 (2018). </w:t>
      </w:r>
    </w:p>
    <w:p w14:paraId="231EECF9">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12</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Autor, D. H. in </w:t>
      </w:r>
      <w:r>
        <w:rPr>
          <w:rFonts w:hint="default" w:ascii="Times New Roman" w:hAnsi="Times New Roman" w:eastAsia="宋体" w:cs="Times New Roman"/>
          <w:i/>
          <w:kern w:val="2"/>
          <w:sz w:val="24"/>
          <w:szCs w:val="24"/>
          <w:lang w:val="en-US" w:eastAsia="zh-CN" w:bidi="ar-SA"/>
          <w14:ligatures w14:val="standardContextual"/>
        </w:rPr>
        <w:t>AEA Papers and Proceedings.</w:t>
      </w:r>
      <w:r>
        <w:rPr>
          <w:rFonts w:hint="default" w:ascii="Times New Roman" w:hAnsi="Times New Roman" w:eastAsia="宋体" w:cs="Times New Roman"/>
          <w:kern w:val="2"/>
          <w:sz w:val="24"/>
          <w:szCs w:val="24"/>
          <w:lang w:val="en-US" w:eastAsia="zh-CN" w:bidi="ar-SA"/>
          <w14:ligatures w14:val="standardContextual"/>
        </w:rPr>
        <w:t xml:space="preserve">  1–32 (American Economic Association 2014 Broadway, Suite 305, Nashville, TN 37203).</w:t>
      </w:r>
    </w:p>
    <w:p w14:paraId="759A9B9F">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13</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Acemoglu, D. &amp; Autor, D. in </w:t>
      </w:r>
      <w:r>
        <w:rPr>
          <w:rFonts w:hint="default" w:ascii="Times New Roman" w:hAnsi="Times New Roman" w:eastAsia="宋体" w:cs="Times New Roman"/>
          <w:i/>
          <w:kern w:val="2"/>
          <w:sz w:val="24"/>
          <w:szCs w:val="24"/>
          <w:lang w:val="en-US" w:eastAsia="zh-CN" w:bidi="ar-SA"/>
          <w14:ligatures w14:val="standardContextual"/>
        </w:rPr>
        <w:t xml:space="preserve">Handbook of </w:t>
      </w:r>
      <w:r>
        <w:rPr>
          <w:rFonts w:hint="eastAsia" w:cs="Times New Roman"/>
          <w:i/>
          <w:kern w:val="2"/>
          <w:sz w:val="24"/>
          <w:szCs w:val="24"/>
          <w:lang w:val="en-US" w:eastAsia="zh-CN" w:bidi="ar-SA"/>
          <w14:ligatures w14:val="standardContextual"/>
        </w:rPr>
        <w:t>labor</w:t>
      </w:r>
      <w:r>
        <w:rPr>
          <w:rFonts w:hint="default" w:ascii="Times New Roman" w:hAnsi="Times New Roman" w:eastAsia="宋体" w:cs="Times New Roman"/>
          <w:i/>
          <w:kern w:val="2"/>
          <w:sz w:val="24"/>
          <w:szCs w:val="24"/>
          <w:lang w:val="en-US" w:eastAsia="zh-CN" w:bidi="ar-SA"/>
          <w14:ligatures w14:val="standardContextual"/>
        </w:rPr>
        <w:t xml:space="preserve"> economics</w:t>
      </w:r>
      <w:r>
        <w:rPr>
          <w:rFonts w:hint="default" w:ascii="Times New Roman" w:hAnsi="Times New Roman" w:eastAsia="宋体" w:cs="Times New Roman"/>
          <w:kern w:val="2"/>
          <w:sz w:val="24"/>
          <w:szCs w:val="24"/>
          <w:lang w:val="en-US" w:eastAsia="zh-CN" w:bidi="ar-SA"/>
          <w14:ligatures w14:val="standardContextual"/>
        </w:rPr>
        <w:t xml:space="preserve"> Vol. 4    1043–1171 (Elsevier, 2011).</w:t>
      </w:r>
    </w:p>
    <w:p w14:paraId="49668705">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14</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Autor, D. H., Levy, F. &amp; Murnane, R. J. The skill content of recent technological change: An empirical exploration. </w:t>
      </w:r>
      <w:r>
        <w:rPr>
          <w:rFonts w:hint="default" w:ascii="Times New Roman" w:hAnsi="Times New Roman" w:eastAsia="宋体" w:cs="Times New Roman"/>
          <w:i/>
          <w:kern w:val="2"/>
          <w:sz w:val="24"/>
          <w:szCs w:val="24"/>
          <w:lang w:val="en-US" w:eastAsia="zh-CN" w:bidi="ar-SA"/>
          <w14:ligatures w14:val="standardContextual"/>
        </w:rPr>
        <w:t>The Quarterly journal of economics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118</w:t>
      </w:r>
      <w:r>
        <w:rPr>
          <w:rFonts w:hint="default" w:ascii="Times New Roman" w:hAnsi="Times New Roman" w:eastAsia="宋体" w:cs="Times New Roman"/>
          <w:kern w:val="2"/>
          <w:sz w:val="24"/>
          <w:szCs w:val="24"/>
          <w:lang w:val="en-US" w:eastAsia="zh-CN" w:bidi="ar-SA"/>
          <w14:ligatures w14:val="standardContextual"/>
        </w:rPr>
        <w:t xml:space="preserve">, 1279–1333 (2003). </w:t>
      </w:r>
    </w:p>
    <w:p w14:paraId="04ED9301">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15</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Goos, M. &amp; Manning, A. Lousy and lovely jobs: The rising polarization of work in Britain. </w:t>
      </w:r>
      <w:r>
        <w:rPr>
          <w:rFonts w:hint="default" w:ascii="Times New Roman" w:hAnsi="Times New Roman" w:eastAsia="宋体" w:cs="Times New Roman"/>
          <w:i/>
          <w:kern w:val="2"/>
          <w:sz w:val="24"/>
          <w:szCs w:val="24"/>
          <w:lang w:val="en-US" w:eastAsia="zh-CN" w:bidi="ar-SA"/>
          <w14:ligatures w14:val="standardContextual"/>
        </w:rPr>
        <w:t>The review of economics and statistics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89</w:t>
      </w:r>
      <w:r>
        <w:rPr>
          <w:rFonts w:hint="default" w:ascii="Times New Roman" w:hAnsi="Times New Roman" w:eastAsia="宋体" w:cs="Times New Roman"/>
          <w:kern w:val="2"/>
          <w:sz w:val="24"/>
          <w:szCs w:val="24"/>
          <w:lang w:val="en-US" w:eastAsia="zh-CN" w:bidi="ar-SA"/>
          <w14:ligatures w14:val="standardContextual"/>
        </w:rPr>
        <w:t xml:space="preserve">, 118–133 (2007). </w:t>
      </w:r>
    </w:p>
    <w:p w14:paraId="268528EA">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16</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Autor, D. H. &amp; Dorn, D. The growth of low-skill service jobs and the polarization of the US </w:t>
      </w:r>
      <w:r>
        <w:rPr>
          <w:rFonts w:hint="eastAsia" w:cs="Times New Roman"/>
          <w:kern w:val="2"/>
          <w:sz w:val="24"/>
          <w:szCs w:val="24"/>
          <w:lang w:val="en-US" w:eastAsia="zh-CN" w:bidi="ar-SA"/>
          <w14:ligatures w14:val="standardContextual"/>
        </w:rPr>
        <w:t>labor</w:t>
      </w:r>
      <w:r>
        <w:rPr>
          <w:rFonts w:hint="default" w:ascii="Times New Roman" w:hAnsi="Times New Roman" w:eastAsia="宋体" w:cs="Times New Roman"/>
          <w:kern w:val="2"/>
          <w:sz w:val="24"/>
          <w:szCs w:val="24"/>
          <w:lang w:val="en-US" w:eastAsia="zh-CN" w:bidi="ar-SA"/>
          <w14:ligatures w14:val="standardContextual"/>
        </w:rPr>
        <w:t xml:space="preserve"> market. </w:t>
      </w:r>
      <w:r>
        <w:rPr>
          <w:rFonts w:hint="default" w:ascii="Times New Roman" w:hAnsi="Times New Roman" w:eastAsia="宋体" w:cs="Times New Roman"/>
          <w:i/>
          <w:kern w:val="2"/>
          <w:sz w:val="24"/>
          <w:szCs w:val="24"/>
          <w:lang w:val="en-US" w:eastAsia="zh-CN" w:bidi="ar-SA"/>
          <w14:ligatures w14:val="standardContextual"/>
        </w:rPr>
        <w:t>American economic review</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103</w:t>
      </w:r>
      <w:r>
        <w:rPr>
          <w:rFonts w:hint="default" w:ascii="Times New Roman" w:hAnsi="Times New Roman" w:eastAsia="宋体" w:cs="Times New Roman"/>
          <w:kern w:val="2"/>
          <w:sz w:val="24"/>
          <w:szCs w:val="24"/>
          <w:lang w:val="en-US" w:eastAsia="zh-CN" w:bidi="ar-SA"/>
          <w14:ligatures w14:val="standardContextual"/>
        </w:rPr>
        <w:t xml:space="preserve">, 1553–1597 (2013). </w:t>
      </w:r>
    </w:p>
    <w:p w14:paraId="03218EBA">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17</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Dingel, J. I. &amp; Neiman, B. How many jobs can be done at home? </w:t>
      </w:r>
      <w:r>
        <w:rPr>
          <w:rFonts w:hint="default" w:ascii="Times New Roman" w:hAnsi="Times New Roman" w:eastAsia="宋体" w:cs="Times New Roman"/>
          <w:i/>
          <w:kern w:val="2"/>
          <w:sz w:val="24"/>
          <w:szCs w:val="24"/>
          <w:lang w:val="en-US" w:eastAsia="zh-CN" w:bidi="ar-SA"/>
          <w14:ligatures w14:val="standardContextual"/>
        </w:rPr>
        <w:t>Journal of public economics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189</w:t>
      </w:r>
      <w:r>
        <w:rPr>
          <w:rFonts w:hint="default" w:ascii="Times New Roman" w:hAnsi="Times New Roman" w:eastAsia="宋体" w:cs="Times New Roman"/>
          <w:kern w:val="2"/>
          <w:sz w:val="24"/>
          <w:szCs w:val="24"/>
          <w:lang w:val="en-US" w:eastAsia="zh-CN" w:bidi="ar-SA"/>
          <w14:ligatures w14:val="standardContextual"/>
        </w:rPr>
        <w:t xml:space="preserve">, 104235 (2020). </w:t>
      </w:r>
    </w:p>
    <w:p w14:paraId="10F2153C">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18</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Ramani, A., Alcedo, J. &amp; Bloom, N. How working from home reshapes cities. </w:t>
      </w:r>
      <w:r>
        <w:rPr>
          <w:rFonts w:hint="default" w:ascii="Times New Roman" w:hAnsi="Times New Roman" w:eastAsia="宋体" w:cs="Times New Roman"/>
          <w:i/>
          <w:kern w:val="2"/>
          <w:sz w:val="24"/>
          <w:szCs w:val="24"/>
          <w:lang w:val="en-US" w:eastAsia="zh-CN" w:bidi="ar-SA"/>
          <w14:ligatures w14:val="standardContextual"/>
        </w:rPr>
        <w:t>Proceedings of the National Academy of Sciences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121</w:t>
      </w:r>
      <w:r>
        <w:rPr>
          <w:rFonts w:hint="default" w:ascii="Times New Roman" w:hAnsi="Times New Roman" w:eastAsia="宋体" w:cs="Times New Roman"/>
          <w:kern w:val="2"/>
          <w:sz w:val="24"/>
          <w:szCs w:val="24"/>
          <w:lang w:val="en-US" w:eastAsia="zh-CN" w:bidi="ar-SA"/>
          <w14:ligatures w14:val="standardContextual"/>
        </w:rPr>
        <w:t xml:space="preserve">, e2408930121 (2024). </w:t>
      </w:r>
    </w:p>
    <w:p w14:paraId="544C39C5">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19</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Agrawal, A., Gans, J. S. &amp; Goldfarb, A. Artificial intelligence: the ambiguous </w:t>
      </w:r>
      <w:r>
        <w:rPr>
          <w:rFonts w:hint="eastAsia" w:cs="Times New Roman"/>
          <w:kern w:val="2"/>
          <w:sz w:val="24"/>
          <w:szCs w:val="24"/>
          <w:lang w:val="en-US" w:eastAsia="zh-CN" w:bidi="ar-SA"/>
          <w14:ligatures w14:val="standardContextual"/>
        </w:rPr>
        <w:t>labor</w:t>
      </w:r>
      <w:r>
        <w:rPr>
          <w:rFonts w:hint="default" w:ascii="Times New Roman" w:hAnsi="Times New Roman" w:eastAsia="宋体" w:cs="Times New Roman"/>
          <w:kern w:val="2"/>
          <w:sz w:val="24"/>
          <w:szCs w:val="24"/>
          <w:lang w:val="en-US" w:eastAsia="zh-CN" w:bidi="ar-SA"/>
          <w14:ligatures w14:val="standardContextual"/>
        </w:rPr>
        <w:t xml:space="preserve"> market impact of automating prediction. </w:t>
      </w:r>
      <w:r>
        <w:rPr>
          <w:rFonts w:hint="default" w:ascii="Times New Roman" w:hAnsi="Times New Roman" w:eastAsia="宋体" w:cs="Times New Roman"/>
          <w:i/>
          <w:kern w:val="2"/>
          <w:sz w:val="24"/>
          <w:szCs w:val="24"/>
          <w:lang w:val="en-US" w:eastAsia="zh-CN" w:bidi="ar-SA"/>
          <w14:ligatures w14:val="standardContextual"/>
        </w:rPr>
        <w:t>Journal of Economic Perspectives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33</w:t>
      </w:r>
      <w:r>
        <w:rPr>
          <w:rFonts w:hint="default" w:ascii="Times New Roman" w:hAnsi="Times New Roman" w:eastAsia="宋体" w:cs="Times New Roman"/>
          <w:kern w:val="2"/>
          <w:sz w:val="24"/>
          <w:szCs w:val="24"/>
          <w:lang w:val="en-US" w:eastAsia="zh-CN" w:bidi="ar-SA"/>
          <w14:ligatures w14:val="standardContextual"/>
        </w:rPr>
        <w:t xml:space="preserve">, 31–50 (2019). </w:t>
      </w:r>
    </w:p>
    <w:p w14:paraId="00A86A6A">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20</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Yang, C.-H. How artificial intelligence technology affects productivity and employment: Firm-level evidence from Taiwan. </w:t>
      </w:r>
      <w:r>
        <w:rPr>
          <w:rFonts w:hint="default" w:ascii="Times New Roman" w:hAnsi="Times New Roman" w:eastAsia="宋体" w:cs="Times New Roman"/>
          <w:i/>
          <w:kern w:val="2"/>
          <w:sz w:val="24"/>
          <w:szCs w:val="24"/>
          <w:lang w:val="en-US" w:eastAsia="zh-CN" w:bidi="ar-SA"/>
          <w14:ligatures w14:val="standardContextual"/>
        </w:rPr>
        <w:t>Research Policy</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51</w:t>
      </w:r>
      <w:r>
        <w:rPr>
          <w:rFonts w:hint="default" w:ascii="Times New Roman" w:hAnsi="Times New Roman" w:eastAsia="宋体" w:cs="Times New Roman"/>
          <w:kern w:val="2"/>
          <w:sz w:val="24"/>
          <w:szCs w:val="24"/>
          <w:lang w:val="en-US" w:eastAsia="zh-CN" w:bidi="ar-SA"/>
          <w14:ligatures w14:val="standardContextual"/>
        </w:rPr>
        <w:t xml:space="preserve">, 104536 (2022). </w:t>
      </w:r>
    </w:p>
    <w:p w14:paraId="3F7616AD">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21</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Brynjolfsson, E. &amp; Mitchell, T. What can machine learning do? Workforce implications. </w:t>
      </w:r>
      <w:r>
        <w:rPr>
          <w:rFonts w:hint="default" w:ascii="Times New Roman" w:hAnsi="Times New Roman" w:eastAsia="宋体" w:cs="Times New Roman"/>
          <w:i/>
          <w:kern w:val="2"/>
          <w:sz w:val="24"/>
          <w:szCs w:val="24"/>
          <w:lang w:val="en-US" w:eastAsia="zh-CN" w:bidi="ar-SA"/>
          <w14:ligatures w14:val="standardContextual"/>
        </w:rPr>
        <w:t>Science</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358</w:t>
      </w:r>
      <w:r>
        <w:rPr>
          <w:rFonts w:hint="default" w:ascii="Times New Roman" w:hAnsi="Times New Roman" w:eastAsia="宋体" w:cs="Times New Roman"/>
          <w:kern w:val="2"/>
          <w:sz w:val="24"/>
          <w:szCs w:val="24"/>
          <w:lang w:val="en-US" w:eastAsia="zh-CN" w:bidi="ar-SA"/>
          <w14:ligatures w14:val="standardContextual"/>
        </w:rPr>
        <w:t xml:space="preserve">, 1530–1534 (2017). </w:t>
      </w:r>
    </w:p>
    <w:p w14:paraId="69FA7D07">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22</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Brynjolfsson, E., Mitchell, T. &amp; Rock, D. in </w:t>
      </w:r>
      <w:r>
        <w:rPr>
          <w:rFonts w:hint="default" w:ascii="Times New Roman" w:hAnsi="Times New Roman" w:eastAsia="宋体" w:cs="Times New Roman"/>
          <w:i/>
          <w:kern w:val="2"/>
          <w:sz w:val="24"/>
          <w:szCs w:val="24"/>
          <w:lang w:val="en-US" w:eastAsia="zh-CN" w:bidi="ar-SA"/>
          <w14:ligatures w14:val="standardContextual"/>
        </w:rPr>
        <w:t>AEA papers and proceedings.</w:t>
      </w:r>
      <w:r>
        <w:rPr>
          <w:rFonts w:hint="default" w:ascii="Times New Roman" w:hAnsi="Times New Roman" w:eastAsia="宋体" w:cs="Times New Roman"/>
          <w:kern w:val="2"/>
          <w:sz w:val="24"/>
          <w:szCs w:val="24"/>
          <w:lang w:val="en-US" w:eastAsia="zh-CN" w:bidi="ar-SA"/>
          <w14:ligatures w14:val="standardContextual"/>
        </w:rPr>
        <w:t xml:space="preserve">  43–47 (American Economic Association 2014 Broadway, Suite 305, Nashville, TN 37203).</w:t>
      </w:r>
    </w:p>
    <w:p w14:paraId="4EEDA293">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23</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Tolan, S.</w:t>
      </w:r>
      <w:r>
        <w:rPr>
          <w:rFonts w:hint="default" w:ascii="Times New Roman" w:hAnsi="Times New Roman" w:eastAsia="宋体" w:cs="Times New Roman"/>
          <w:i/>
          <w:kern w:val="2"/>
          <w:sz w:val="24"/>
          <w:szCs w:val="24"/>
          <w:lang w:val="en-US" w:eastAsia="zh-CN" w:bidi="ar-SA"/>
          <w14:ligatures w14:val="standardContextual"/>
        </w:rPr>
        <w:t xml:space="preserve"> et al.</w:t>
      </w:r>
      <w:r>
        <w:rPr>
          <w:rFonts w:hint="default" w:ascii="Times New Roman" w:hAnsi="Times New Roman" w:eastAsia="宋体" w:cs="Times New Roman"/>
          <w:kern w:val="2"/>
          <w:sz w:val="24"/>
          <w:szCs w:val="24"/>
          <w:lang w:val="en-US" w:eastAsia="zh-CN" w:bidi="ar-SA"/>
          <w14:ligatures w14:val="standardContextual"/>
        </w:rPr>
        <w:t xml:space="preserve"> Measuring the occupational impact of AI: tasks, cognitive abilities and AI benchmarks. </w:t>
      </w:r>
      <w:r>
        <w:rPr>
          <w:rFonts w:hint="default" w:ascii="Times New Roman" w:hAnsi="Times New Roman" w:eastAsia="宋体" w:cs="Times New Roman"/>
          <w:i/>
          <w:kern w:val="2"/>
          <w:sz w:val="24"/>
          <w:szCs w:val="24"/>
          <w:lang w:val="en-US" w:eastAsia="zh-CN" w:bidi="ar-SA"/>
          <w14:ligatures w14:val="standardContextual"/>
        </w:rPr>
        <w:t>Journal of Artificial Intelligence Research</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71</w:t>
      </w:r>
      <w:r>
        <w:rPr>
          <w:rFonts w:hint="default" w:ascii="Times New Roman" w:hAnsi="Times New Roman" w:eastAsia="宋体" w:cs="Times New Roman"/>
          <w:kern w:val="2"/>
          <w:sz w:val="24"/>
          <w:szCs w:val="24"/>
          <w:lang w:val="en-US" w:eastAsia="zh-CN" w:bidi="ar-SA"/>
          <w14:ligatures w14:val="standardContextual"/>
        </w:rPr>
        <w:t xml:space="preserve">, 191–236 (2021). </w:t>
      </w:r>
    </w:p>
    <w:p w14:paraId="547290E8">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24</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Acemoglu, D. &amp; Restrepo, P. Tasks, automation, and the rise in US wage inequality. </w:t>
      </w:r>
      <w:r>
        <w:rPr>
          <w:rFonts w:hint="default" w:ascii="Times New Roman" w:hAnsi="Times New Roman" w:eastAsia="宋体" w:cs="Times New Roman"/>
          <w:i/>
          <w:kern w:val="2"/>
          <w:sz w:val="24"/>
          <w:szCs w:val="24"/>
          <w:lang w:val="en-US" w:eastAsia="zh-CN" w:bidi="ar-SA"/>
          <w14:ligatures w14:val="standardContextual"/>
        </w:rPr>
        <w:t>Econometrica</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90</w:t>
      </w:r>
      <w:r>
        <w:rPr>
          <w:rFonts w:hint="default" w:ascii="Times New Roman" w:hAnsi="Times New Roman" w:eastAsia="宋体" w:cs="Times New Roman"/>
          <w:kern w:val="2"/>
          <w:sz w:val="24"/>
          <w:szCs w:val="24"/>
          <w:lang w:val="en-US" w:eastAsia="zh-CN" w:bidi="ar-SA"/>
          <w14:ligatures w14:val="standardContextual"/>
        </w:rPr>
        <w:t xml:space="preserve">, 1973–2016 (2022). </w:t>
      </w:r>
    </w:p>
    <w:p w14:paraId="3B055C00">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25</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Webb, M. The impact of artificial intelligence on the </w:t>
      </w:r>
      <w:r>
        <w:rPr>
          <w:rFonts w:hint="eastAsia" w:cs="Times New Roman"/>
          <w:kern w:val="2"/>
          <w:sz w:val="24"/>
          <w:szCs w:val="24"/>
          <w:lang w:val="en-US" w:eastAsia="zh-CN" w:bidi="ar-SA"/>
          <w14:ligatures w14:val="standardContextual"/>
        </w:rPr>
        <w:t>labor</w:t>
      </w:r>
      <w:r>
        <w:rPr>
          <w:rFonts w:hint="default" w:ascii="Times New Roman" w:hAnsi="Times New Roman" w:eastAsia="宋体" w:cs="Times New Roman"/>
          <w:kern w:val="2"/>
          <w:sz w:val="24"/>
          <w:szCs w:val="24"/>
          <w:lang w:val="en-US" w:eastAsia="zh-CN" w:bidi="ar-SA"/>
          <w14:ligatures w14:val="standardContextual"/>
        </w:rPr>
        <w:t xml:space="preserve"> market. </w:t>
      </w:r>
      <w:r>
        <w:rPr>
          <w:rFonts w:hint="default" w:ascii="Times New Roman" w:hAnsi="Times New Roman" w:eastAsia="宋体" w:cs="Times New Roman"/>
          <w:i/>
          <w:kern w:val="2"/>
          <w:sz w:val="24"/>
          <w:szCs w:val="24"/>
          <w:lang w:val="en-US" w:eastAsia="zh-CN" w:bidi="ar-SA"/>
          <w14:ligatures w14:val="standardContextual"/>
        </w:rPr>
        <w:t>Available at SSRN 3482150</w:t>
      </w:r>
      <w:r>
        <w:rPr>
          <w:rFonts w:hint="default" w:ascii="Times New Roman" w:hAnsi="Times New Roman" w:eastAsia="宋体" w:cs="Times New Roman"/>
          <w:kern w:val="2"/>
          <w:sz w:val="24"/>
          <w:szCs w:val="24"/>
          <w:lang w:val="en-US" w:eastAsia="zh-CN" w:bidi="ar-SA"/>
          <w14:ligatures w14:val="standardContextual"/>
        </w:rPr>
        <w:t xml:space="preserve"> (2019). </w:t>
      </w:r>
    </w:p>
    <w:p w14:paraId="5C201632">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26</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Felten, E. W., Raj, M. &amp; Seamans, R. in </w:t>
      </w:r>
      <w:r>
        <w:rPr>
          <w:rFonts w:hint="default" w:ascii="Times New Roman" w:hAnsi="Times New Roman" w:eastAsia="宋体" w:cs="Times New Roman"/>
          <w:i/>
          <w:kern w:val="2"/>
          <w:sz w:val="24"/>
          <w:szCs w:val="24"/>
          <w:lang w:val="en-US" w:eastAsia="zh-CN" w:bidi="ar-SA"/>
          <w14:ligatures w14:val="standardContextual"/>
        </w:rPr>
        <w:t>AEA Papers and proceedings.</w:t>
      </w:r>
      <w:r>
        <w:rPr>
          <w:rFonts w:hint="default" w:ascii="Times New Roman" w:hAnsi="Times New Roman" w:eastAsia="宋体" w:cs="Times New Roman"/>
          <w:kern w:val="2"/>
          <w:sz w:val="24"/>
          <w:szCs w:val="24"/>
          <w:lang w:val="en-US" w:eastAsia="zh-CN" w:bidi="ar-SA"/>
          <w14:ligatures w14:val="standardContextual"/>
        </w:rPr>
        <w:t xml:space="preserve">  54–57 (American Economic Association 2014 Broadway, Suite 305, Nashville, TN 37203).</w:t>
      </w:r>
    </w:p>
    <w:p w14:paraId="4604561D">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27</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Deming, D. J. The growing importance of social skills in the </w:t>
      </w:r>
      <w:r>
        <w:rPr>
          <w:rFonts w:hint="eastAsia" w:cs="Times New Roman"/>
          <w:kern w:val="2"/>
          <w:sz w:val="24"/>
          <w:szCs w:val="24"/>
          <w:lang w:val="en-US" w:eastAsia="zh-CN" w:bidi="ar-SA"/>
          <w14:ligatures w14:val="standardContextual"/>
        </w:rPr>
        <w:t>labor</w:t>
      </w:r>
      <w:r>
        <w:rPr>
          <w:rFonts w:hint="default" w:ascii="Times New Roman" w:hAnsi="Times New Roman" w:eastAsia="宋体" w:cs="Times New Roman"/>
          <w:kern w:val="2"/>
          <w:sz w:val="24"/>
          <w:szCs w:val="24"/>
          <w:lang w:val="en-US" w:eastAsia="zh-CN" w:bidi="ar-SA"/>
          <w14:ligatures w14:val="standardContextual"/>
        </w:rPr>
        <w:t xml:space="preserve"> market. </w:t>
      </w:r>
      <w:r>
        <w:rPr>
          <w:rFonts w:hint="default" w:ascii="Times New Roman" w:hAnsi="Times New Roman" w:eastAsia="宋体" w:cs="Times New Roman"/>
          <w:i/>
          <w:kern w:val="2"/>
          <w:sz w:val="24"/>
          <w:szCs w:val="24"/>
          <w:lang w:val="en-US" w:eastAsia="zh-CN" w:bidi="ar-SA"/>
          <w14:ligatures w14:val="standardContextual"/>
        </w:rPr>
        <w:t>The quarterly journal of economics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132</w:t>
      </w:r>
      <w:r>
        <w:rPr>
          <w:rFonts w:hint="default" w:ascii="Times New Roman" w:hAnsi="Times New Roman" w:eastAsia="宋体" w:cs="Times New Roman"/>
          <w:kern w:val="2"/>
          <w:sz w:val="24"/>
          <w:szCs w:val="24"/>
          <w:lang w:val="en-US" w:eastAsia="zh-CN" w:bidi="ar-SA"/>
          <w14:ligatures w14:val="standardContextual"/>
        </w:rPr>
        <w:t xml:space="preserve">, 1593–1640 (2017). </w:t>
      </w:r>
    </w:p>
    <w:p w14:paraId="103A4947">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28</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Gmyrek, P., Berg, J. &amp; Bescond, D. Generative AI and jobs: A global analysis of potential effects on job quantity and quality.  (2023). </w:t>
      </w:r>
    </w:p>
    <w:p w14:paraId="32FD40D5">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29</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Eloundou, T., Manning, S., Mishkin, P. &amp; Rock, D. GPTs are GPTs: </w:t>
      </w:r>
      <w:r>
        <w:rPr>
          <w:rFonts w:hint="eastAsia" w:cs="Times New Roman"/>
          <w:kern w:val="2"/>
          <w:sz w:val="24"/>
          <w:szCs w:val="24"/>
          <w:lang w:val="en-US" w:eastAsia="zh-CN" w:bidi="ar-SA"/>
          <w14:ligatures w14:val="standardContextual"/>
        </w:rPr>
        <w:t>labor</w:t>
      </w:r>
      <w:r>
        <w:rPr>
          <w:rFonts w:hint="default" w:ascii="Times New Roman" w:hAnsi="Times New Roman" w:eastAsia="宋体" w:cs="Times New Roman"/>
          <w:kern w:val="2"/>
          <w:sz w:val="24"/>
          <w:szCs w:val="24"/>
          <w:lang w:val="en-US" w:eastAsia="zh-CN" w:bidi="ar-SA"/>
          <w14:ligatures w14:val="standardContextual"/>
        </w:rPr>
        <w:t xml:space="preserve"> market impact potential of LLMs. </w:t>
      </w:r>
      <w:r>
        <w:rPr>
          <w:rFonts w:hint="default" w:ascii="Times New Roman" w:hAnsi="Times New Roman" w:eastAsia="宋体" w:cs="Times New Roman"/>
          <w:i/>
          <w:kern w:val="2"/>
          <w:sz w:val="24"/>
          <w:szCs w:val="24"/>
          <w:lang w:val="en-US" w:eastAsia="zh-CN" w:bidi="ar-SA"/>
          <w14:ligatures w14:val="standardContextual"/>
        </w:rPr>
        <w:t>Science</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384</w:t>
      </w:r>
      <w:r>
        <w:rPr>
          <w:rFonts w:hint="default" w:ascii="Times New Roman" w:hAnsi="Times New Roman" w:eastAsia="宋体" w:cs="Times New Roman"/>
          <w:kern w:val="2"/>
          <w:sz w:val="24"/>
          <w:szCs w:val="24"/>
          <w:lang w:val="en-US" w:eastAsia="zh-CN" w:bidi="ar-SA"/>
          <w14:ligatures w14:val="standardContextual"/>
        </w:rPr>
        <w:t xml:space="preserve">, 1306–1308 (2024). </w:t>
      </w:r>
    </w:p>
    <w:p w14:paraId="05F020DB">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30</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Manyika, J.</w:t>
      </w:r>
      <w:r>
        <w:rPr>
          <w:rFonts w:hint="default" w:ascii="Times New Roman" w:hAnsi="Times New Roman" w:eastAsia="宋体" w:cs="Times New Roman"/>
          <w:i/>
          <w:kern w:val="2"/>
          <w:sz w:val="24"/>
          <w:szCs w:val="24"/>
          <w:lang w:val="en-US" w:eastAsia="zh-CN" w:bidi="ar-SA"/>
          <w14:ligatures w14:val="standardContextual"/>
        </w:rPr>
        <w:t xml:space="preserve"> et al.</w:t>
      </w:r>
      <w:r>
        <w:rPr>
          <w:rFonts w:hint="default" w:ascii="Times New Roman" w:hAnsi="Times New Roman" w:eastAsia="宋体" w:cs="Times New Roman"/>
          <w:kern w:val="2"/>
          <w:sz w:val="24"/>
          <w:szCs w:val="24"/>
          <w:lang w:val="en-US" w:eastAsia="zh-CN" w:bidi="ar-SA"/>
          <w14:ligatures w14:val="standardContextual"/>
        </w:rPr>
        <w:t xml:space="preserve"> A future that works: AI, automation, employment, and productivity. </w:t>
      </w:r>
      <w:r>
        <w:rPr>
          <w:rFonts w:hint="default" w:ascii="Times New Roman" w:hAnsi="Times New Roman" w:eastAsia="宋体" w:cs="Times New Roman"/>
          <w:i/>
          <w:kern w:val="2"/>
          <w:sz w:val="24"/>
          <w:szCs w:val="24"/>
          <w:lang w:val="en-US" w:eastAsia="zh-CN" w:bidi="ar-SA"/>
          <w14:ligatures w14:val="standardContextual"/>
        </w:rPr>
        <w:t>McKinsey Global Institute Research, Tech. Rep</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60</w:t>
      </w:r>
      <w:r>
        <w:rPr>
          <w:rFonts w:hint="default" w:ascii="Times New Roman" w:hAnsi="Times New Roman" w:eastAsia="宋体" w:cs="Times New Roman"/>
          <w:kern w:val="2"/>
          <w:sz w:val="24"/>
          <w:szCs w:val="24"/>
          <w:lang w:val="en-US" w:eastAsia="zh-CN" w:bidi="ar-SA"/>
          <w14:ligatures w14:val="standardContextual"/>
        </w:rPr>
        <w:t xml:space="preserve">, 1–135 (2017). </w:t>
      </w:r>
    </w:p>
    <w:p w14:paraId="15306184">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31</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Georgieff, A. &amp; Hyee, R. Artificial intelligence and employment: New cross-country evidence. </w:t>
      </w:r>
      <w:r>
        <w:rPr>
          <w:rFonts w:hint="default" w:ascii="Times New Roman" w:hAnsi="Times New Roman" w:eastAsia="宋体" w:cs="Times New Roman"/>
          <w:i/>
          <w:kern w:val="2"/>
          <w:sz w:val="24"/>
          <w:szCs w:val="24"/>
          <w:lang w:val="en-US" w:eastAsia="zh-CN" w:bidi="ar-SA"/>
          <w14:ligatures w14:val="standardContextual"/>
        </w:rPr>
        <w:t>OECD Social, Employment, and Migration Working Papers</w:t>
      </w:r>
      <w:r>
        <w:rPr>
          <w:rFonts w:hint="default" w:ascii="Times New Roman" w:hAnsi="Times New Roman" w:eastAsia="宋体" w:cs="Times New Roman"/>
          <w:kern w:val="2"/>
          <w:sz w:val="24"/>
          <w:szCs w:val="24"/>
          <w:lang w:val="en-US" w:eastAsia="zh-CN" w:bidi="ar-SA"/>
          <w14:ligatures w14:val="standardContextual"/>
        </w:rPr>
        <w:t xml:space="preserve">, 0_1–60 (2021). </w:t>
      </w:r>
    </w:p>
    <w:p w14:paraId="32DED1E3">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32</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Hatzius, J. The potentially large effects of artificial intelligence on economic growth (Briggs/Kodnani). </w:t>
      </w:r>
      <w:r>
        <w:rPr>
          <w:rFonts w:hint="default" w:ascii="Times New Roman" w:hAnsi="Times New Roman" w:eastAsia="宋体" w:cs="Times New Roman"/>
          <w:i/>
          <w:kern w:val="2"/>
          <w:sz w:val="24"/>
          <w:szCs w:val="24"/>
          <w:lang w:val="en-US" w:eastAsia="zh-CN" w:bidi="ar-SA"/>
          <w14:ligatures w14:val="standardContextual"/>
        </w:rPr>
        <w:t>Goldman Sachs</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w:t>
      </w:r>
      <w:r>
        <w:rPr>
          <w:rFonts w:hint="default" w:ascii="Times New Roman" w:hAnsi="Times New Roman" w:eastAsia="宋体" w:cs="Times New Roman"/>
          <w:kern w:val="2"/>
          <w:sz w:val="24"/>
          <w:szCs w:val="24"/>
          <w:lang w:val="en-US" w:eastAsia="zh-CN" w:bidi="ar-SA"/>
          <w14:ligatures w14:val="standardContextual"/>
        </w:rPr>
        <w:t xml:space="preserve">, 268–296 (2023). </w:t>
      </w:r>
    </w:p>
    <w:p w14:paraId="0CBA2F93">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33</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Svanberg, M., Li, W., Fleming, M., Goehring, B. &amp; Thompson, N. Beyond AI exposure: which tasks are cost-effective to automate with computer vision? </w:t>
      </w:r>
      <w:r>
        <w:rPr>
          <w:rFonts w:hint="default" w:ascii="Times New Roman" w:hAnsi="Times New Roman" w:eastAsia="宋体" w:cs="Times New Roman"/>
          <w:i/>
          <w:kern w:val="2"/>
          <w:sz w:val="24"/>
          <w:szCs w:val="24"/>
          <w:lang w:val="en-US" w:eastAsia="zh-CN" w:bidi="ar-SA"/>
          <w14:ligatures w14:val="standardContextual"/>
        </w:rPr>
        <w:t>Available at SSRN 4700751</w:t>
      </w:r>
      <w:r>
        <w:rPr>
          <w:rFonts w:hint="default" w:ascii="Times New Roman" w:hAnsi="Times New Roman" w:eastAsia="宋体" w:cs="Times New Roman"/>
          <w:kern w:val="2"/>
          <w:sz w:val="24"/>
          <w:szCs w:val="24"/>
          <w:lang w:val="en-US" w:eastAsia="zh-CN" w:bidi="ar-SA"/>
          <w14:ligatures w14:val="standardContextual"/>
        </w:rPr>
        <w:t xml:space="preserve"> (2024). </w:t>
      </w:r>
    </w:p>
    <w:p w14:paraId="552DF8F5">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34</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Microsoft, L. 2024 Annual Work Trend Index. (2024).</w:t>
      </w:r>
    </w:p>
    <w:p w14:paraId="2365BE92">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35</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Yusuf, S. The Macroeconomic Consequences of AI.  (2025). </w:t>
      </w:r>
    </w:p>
    <w:p w14:paraId="285D3C80">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36</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Jaumotte, M. F.</w:t>
      </w:r>
      <w:r>
        <w:rPr>
          <w:rFonts w:hint="default" w:ascii="Times New Roman" w:hAnsi="Times New Roman" w:eastAsia="宋体" w:cs="Times New Roman"/>
          <w:i/>
          <w:kern w:val="2"/>
          <w:sz w:val="24"/>
          <w:szCs w:val="24"/>
          <w:lang w:val="en-US" w:eastAsia="zh-CN" w:bidi="ar-SA"/>
          <w14:ligatures w14:val="standardContextual"/>
        </w:rPr>
        <w:t xml:space="preserve"> et al.</w:t>
      </w:r>
      <w:r>
        <w:rPr>
          <w:rFonts w:hint="default" w:ascii="Times New Roman" w:hAnsi="Times New Roman" w:eastAsia="宋体" w:cs="Times New Roman"/>
          <w:kern w:val="2"/>
          <w:sz w:val="24"/>
          <w:szCs w:val="24"/>
          <w:lang w:val="en-US" w:eastAsia="zh-CN" w:bidi="ar-SA"/>
          <w14:ligatures w14:val="standardContextual"/>
        </w:rPr>
        <w:t xml:space="preserve"> Bridging Skill Gaps for the Future: New Jobs Creation in the AI Age. (International Monetary Fund, 2026).</w:t>
      </w:r>
    </w:p>
    <w:p w14:paraId="336B3A2E">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37</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Kochhar, R. </w:t>
      </w:r>
      <w:r>
        <w:rPr>
          <w:rFonts w:hint="default" w:ascii="Times New Roman" w:hAnsi="Times New Roman" w:eastAsia="宋体" w:cs="Times New Roman"/>
          <w:i/>
          <w:kern w:val="2"/>
          <w:sz w:val="24"/>
          <w:szCs w:val="24"/>
          <w:lang w:val="en-US" w:eastAsia="zh-CN" w:bidi="ar-SA"/>
          <w14:ligatures w14:val="standardContextual"/>
        </w:rPr>
        <w:t>Which US workers are more exposed to AI on their jobs?</w:t>
      </w:r>
      <w:r>
        <w:rPr>
          <w:rFonts w:hint="default" w:ascii="Times New Roman" w:hAnsi="Times New Roman" w:eastAsia="宋体" w:cs="Times New Roman"/>
          <w:kern w:val="2"/>
          <w:sz w:val="24"/>
          <w:szCs w:val="24"/>
          <w:lang w:val="en-US" w:eastAsia="zh-CN" w:bidi="ar-SA"/>
          <w14:ligatures w14:val="standardContextual"/>
        </w:rPr>
        <w:t xml:space="preserve"> ,  (Pew Research Center Washington, DC, 2023).</w:t>
      </w:r>
    </w:p>
    <w:p w14:paraId="463C2055">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38</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Ellingrud, K.</w:t>
      </w:r>
      <w:r>
        <w:rPr>
          <w:rFonts w:hint="default" w:ascii="Times New Roman" w:hAnsi="Times New Roman" w:eastAsia="宋体" w:cs="Times New Roman"/>
          <w:i/>
          <w:kern w:val="2"/>
          <w:sz w:val="24"/>
          <w:szCs w:val="24"/>
          <w:lang w:val="en-US" w:eastAsia="zh-CN" w:bidi="ar-SA"/>
          <w14:ligatures w14:val="standardContextual"/>
        </w:rPr>
        <w:t xml:space="preserve"> et al.</w:t>
      </w:r>
      <w:r>
        <w:rPr>
          <w:rFonts w:hint="default" w:ascii="Times New Roman" w:hAnsi="Times New Roman" w:eastAsia="宋体" w:cs="Times New Roman"/>
          <w:kern w:val="2"/>
          <w:sz w:val="24"/>
          <w:szCs w:val="24"/>
          <w:lang w:val="en-US" w:eastAsia="zh-CN" w:bidi="ar-SA"/>
          <w14:ligatures w14:val="standardContextual"/>
        </w:rPr>
        <w:t xml:space="preserve"> Generative AI and the future of work in America.  (2023). </w:t>
      </w:r>
    </w:p>
    <w:p w14:paraId="09A57CD0">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39</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Cazzaniga, M.</w:t>
      </w:r>
      <w:r>
        <w:rPr>
          <w:rFonts w:hint="default" w:ascii="Times New Roman" w:hAnsi="Times New Roman" w:eastAsia="宋体" w:cs="Times New Roman"/>
          <w:i/>
          <w:kern w:val="2"/>
          <w:sz w:val="24"/>
          <w:szCs w:val="24"/>
          <w:lang w:val="en-US" w:eastAsia="zh-CN" w:bidi="ar-SA"/>
          <w14:ligatures w14:val="standardContextual"/>
        </w:rPr>
        <w:t xml:space="preserve"> et al.</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i/>
          <w:kern w:val="2"/>
          <w:sz w:val="24"/>
          <w:szCs w:val="24"/>
          <w:lang w:val="en-US" w:eastAsia="zh-CN" w:bidi="ar-SA"/>
          <w14:ligatures w14:val="standardContextual"/>
        </w:rPr>
        <w:t>Gen-AI: Artificial intelligence and the future of work</w:t>
      </w:r>
      <w:r>
        <w:rPr>
          <w:rFonts w:hint="default" w:ascii="Times New Roman" w:hAnsi="Times New Roman" w:eastAsia="宋体" w:cs="Times New Roman"/>
          <w:kern w:val="2"/>
          <w:sz w:val="24"/>
          <w:szCs w:val="24"/>
          <w:lang w:val="en-US" w:eastAsia="zh-CN" w:bidi="ar-SA"/>
          <w14:ligatures w14:val="standardContextual"/>
        </w:rPr>
        <w:t>.  (International Monetary Fund, 2024).</w:t>
      </w:r>
    </w:p>
    <w:p w14:paraId="4C8139FD">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40</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Demombynes, G., Langbein, J. &amp; Weber, M. </w:t>
      </w:r>
      <w:r>
        <w:rPr>
          <w:rFonts w:hint="default" w:ascii="Times New Roman" w:hAnsi="Times New Roman" w:eastAsia="宋体" w:cs="Times New Roman"/>
          <w:i/>
          <w:kern w:val="2"/>
          <w:sz w:val="24"/>
          <w:szCs w:val="24"/>
          <w:lang w:val="en-US" w:eastAsia="zh-CN" w:bidi="ar-SA"/>
          <w14:ligatures w14:val="standardContextual"/>
        </w:rPr>
        <w:t>The exposure of workers to Artificial Intelligence in low-and middle-income countries</w:t>
      </w:r>
      <w:r>
        <w:rPr>
          <w:rFonts w:hint="default" w:ascii="Times New Roman" w:hAnsi="Times New Roman" w:eastAsia="宋体" w:cs="Times New Roman"/>
          <w:kern w:val="2"/>
          <w:sz w:val="24"/>
          <w:szCs w:val="24"/>
          <w:lang w:val="en-US" w:eastAsia="zh-CN" w:bidi="ar-SA"/>
          <w14:ligatures w14:val="standardContextual"/>
        </w:rPr>
        <w:t>.  (World Bank, 2025).</w:t>
      </w:r>
    </w:p>
    <w:p w14:paraId="5BF58F0D">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41</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Top, G. Strategic Technology Trends for 2020. </w:t>
      </w:r>
      <w:r>
        <w:rPr>
          <w:rFonts w:hint="default" w:ascii="Times New Roman" w:hAnsi="Times New Roman" w:eastAsia="宋体" w:cs="Times New Roman"/>
          <w:i/>
          <w:kern w:val="2"/>
          <w:sz w:val="24"/>
          <w:szCs w:val="24"/>
          <w:lang w:val="en-US" w:eastAsia="zh-CN" w:bidi="ar-SA"/>
          <w14:ligatures w14:val="standardContextual"/>
        </w:rPr>
        <w:t xml:space="preserve">URL: </w:t>
      </w:r>
      <w:r>
        <w:rPr>
          <w:rFonts w:hint="default" w:ascii="Times New Roman" w:hAnsi="Times New Roman" w:eastAsia="宋体" w:cs="Times New Roman"/>
          <w:i/>
          <w:kern w:val="2"/>
          <w:sz w:val="24"/>
          <w:szCs w:val="24"/>
          <w:lang w:val="en-US" w:eastAsia="zh-CN" w:bidi="ar-SA"/>
          <w14:ligatures w14:val="standardContextual"/>
        </w:rPr>
        <w:fldChar w:fldCharType="begin"/>
      </w:r>
      <w:r>
        <w:rPr>
          <w:rFonts w:hint="default" w:ascii="Times New Roman" w:hAnsi="Times New Roman" w:eastAsia="宋体" w:cs="Times New Roman"/>
          <w:i/>
          <w:kern w:val="2"/>
          <w:sz w:val="24"/>
          <w:szCs w:val="24"/>
          <w:lang w:val="en-US" w:eastAsia="zh-CN" w:bidi="ar-SA"/>
          <w14:ligatures w14:val="standardContextual"/>
        </w:rPr>
        <w:instrText xml:space="preserve"> HYPERLINK "https://www" </w:instrText>
      </w:r>
      <w:r>
        <w:rPr>
          <w:rFonts w:hint="default" w:ascii="Times New Roman" w:hAnsi="Times New Roman" w:eastAsia="宋体" w:cs="Times New Roman"/>
          <w:i/>
          <w:kern w:val="2"/>
          <w:sz w:val="24"/>
          <w:szCs w:val="24"/>
          <w:lang w:val="en-US" w:eastAsia="zh-CN" w:bidi="ar-SA"/>
          <w14:ligatures w14:val="standardContextual"/>
        </w:rPr>
        <w:fldChar w:fldCharType="separate"/>
      </w:r>
      <w:r>
        <w:rPr>
          <w:rStyle w:val="23"/>
          <w:rFonts w:hint="default" w:ascii="Times New Roman" w:hAnsi="Times New Roman" w:eastAsia="宋体" w:cs="Times New Roman"/>
          <w:i/>
          <w:kern w:val="2"/>
          <w:sz w:val="24"/>
          <w:szCs w:val="24"/>
          <w:lang w:val="en-US" w:eastAsia="zh-CN" w:bidi="ar-SA"/>
          <w14:ligatures w14:val="standardContextual"/>
        </w:rPr>
        <w:t>https://www</w:t>
      </w:r>
      <w:r>
        <w:rPr>
          <w:rFonts w:hint="default" w:ascii="Times New Roman" w:hAnsi="Times New Roman" w:eastAsia="宋体" w:cs="Times New Roman"/>
          <w:i/>
          <w:kern w:val="2"/>
          <w:sz w:val="24"/>
          <w:szCs w:val="24"/>
          <w:lang w:val="en-US" w:eastAsia="zh-CN" w:bidi="ar-SA"/>
          <w14:ligatures w14:val="standardContextual"/>
        </w:rPr>
        <w:fldChar w:fldCharType="end"/>
      </w:r>
      <w:r>
        <w:rPr>
          <w:rFonts w:hint="default" w:ascii="Times New Roman" w:hAnsi="Times New Roman" w:eastAsia="宋体" w:cs="Times New Roman"/>
          <w:i/>
          <w:kern w:val="2"/>
          <w:sz w:val="24"/>
          <w:szCs w:val="24"/>
          <w:lang w:val="en-US" w:eastAsia="zh-CN" w:bidi="ar-SA"/>
          <w14:ligatures w14:val="standardContextual"/>
        </w:rPr>
        <w:t>. gartner. com/smarterwithgartner/gartner-top-10-strategic-technology-trends-for-2020</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10</w:t>
      </w:r>
      <w:r>
        <w:rPr>
          <w:rFonts w:hint="default" w:ascii="Times New Roman" w:hAnsi="Times New Roman" w:eastAsia="宋体" w:cs="Times New Roman"/>
          <w:kern w:val="2"/>
          <w:sz w:val="24"/>
          <w:szCs w:val="24"/>
          <w:lang w:val="en-US" w:eastAsia="zh-CN" w:bidi="ar-SA"/>
          <w14:ligatures w14:val="standardContextual"/>
        </w:rPr>
        <w:t xml:space="preserve">  </w:t>
      </w:r>
    </w:p>
    <w:p w14:paraId="05717666">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42</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OpenAI. The state of enterprise AI. (2025).</w:t>
      </w:r>
    </w:p>
    <w:p w14:paraId="3018694B">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43</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Teng Liu, T. M., and Gabby Burlacu In-Demand Skills 2026: A Market View of Skills Demand in an AI Economy. (2026).</w:t>
      </w:r>
    </w:p>
    <w:p w14:paraId="3FA47A1C">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44</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McCrory, M. M. a. P. </w:t>
      </w:r>
      <w:r>
        <w:rPr>
          <w:rFonts w:hint="eastAsia" w:cs="Times New Roman"/>
          <w:kern w:val="2"/>
          <w:sz w:val="24"/>
          <w:szCs w:val="24"/>
          <w:lang w:val="en-US" w:eastAsia="zh-CN" w:bidi="ar-SA"/>
          <w14:ligatures w14:val="standardContextual"/>
        </w:rPr>
        <w:t>labor</w:t>
      </w:r>
      <w:r>
        <w:rPr>
          <w:rFonts w:hint="default" w:ascii="Times New Roman" w:hAnsi="Times New Roman" w:eastAsia="宋体" w:cs="Times New Roman"/>
          <w:kern w:val="2"/>
          <w:sz w:val="24"/>
          <w:szCs w:val="24"/>
          <w:lang w:val="en-US" w:eastAsia="zh-CN" w:bidi="ar-SA"/>
          <w14:ligatures w14:val="standardContextual"/>
        </w:rPr>
        <w:t xml:space="preserve"> market impacts of AI: A new measure and early evidence. (2026).</w:t>
      </w:r>
    </w:p>
    <w:p w14:paraId="70E280CA">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45</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Chen, Q., Ge, J., Xie, H., Xu, X. &amp; Yang, Y. Large language models at work in China’s </w:t>
      </w:r>
      <w:r>
        <w:rPr>
          <w:rFonts w:hint="eastAsia" w:cs="Times New Roman"/>
          <w:kern w:val="2"/>
          <w:sz w:val="24"/>
          <w:szCs w:val="24"/>
          <w:lang w:val="en-US" w:eastAsia="zh-CN" w:bidi="ar-SA"/>
          <w14:ligatures w14:val="standardContextual"/>
        </w:rPr>
        <w:t>labor</w:t>
      </w:r>
      <w:r>
        <w:rPr>
          <w:rFonts w:hint="default" w:ascii="Times New Roman" w:hAnsi="Times New Roman" w:eastAsia="宋体" w:cs="Times New Roman"/>
          <w:kern w:val="2"/>
          <w:sz w:val="24"/>
          <w:szCs w:val="24"/>
          <w:lang w:val="en-US" w:eastAsia="zh-CN" w:bidi="ar-SA"/>
          <w14:ligatures w14:val="standardContextual"/>
        </w:rPr>
        <w:t xml:space="preserve"> market. </w:t>
      </w:r>
      <w:r>
        <w:rPr>
          <w:rFonts w:hint="default" w:ascii="Times New Roman" w:hAnsi="Times New Roman" w:eastAsia="宋体" w:cs="Times New Roman"/>
          <w:i/>
          <w:kern w:val="2"/>
          <w:sz w:val="24"/>
          <w:szCs w:val="24"/>
          <w:lang w:val="en-US" w:eastAsia="zh-CN" w:bidi="ar-SA"/>
          <w14:ligatures w14:val="standardContextual"/>
        </w:rPr>
        <w:t>China Economic Review</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92</w:t>
      </w:r>
      <w:r>
        <w:rPr>
          <w:rFonts w:hint="default" w:ascii="Times New Roman" w:hAnsi="Times New Roman" w:eastAsia="宋体" w:cs="Times New Roman"/>
          <w:kern w:val="2"/>
          <w:sz w:val="24"/>
          <w:szCs w:val="24"/>
          <w:lang w:val="en-US" w:eastAsia="zh-CN" w:bidi="ar-SA"/>
          <w14:ligatures w14:val="standardContextual"/>
        </w:rPr>
        <w:t xml:space="preserve">, 102413 (2025). </w:t>
      </w:r>
    </w:p>
    <w:p w14:paraId="3C367BDF">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46</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Yang, J. &amp; Huang, X. The 30 m annual land cover dataset and its dynamics in China from 1990 to 2019. </w:t>
      </w:r>
      <w:r>
        <w:rPr>
          <w:rFonts w:hint="default" w:ascii="Times New Roman" w:hAnsi="Times New Roman" w:eastAsia="宋体" w:cs="Times New Roman"/>
          <w:i/>
          <w:kern w:val="2"/>
          <w:sz w:val="24"/>
          <w:szCs w:val="24"/>
          <w:lang w:val="en-US" w:eastAsia="zh-CN" w:bidi="ar-SA"/>
          <w14:ligatures w14:val="standardContextual"/>
        </w:rPr>
        <w:t>Earth System Science Data</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13</w:t>
      </w:r>
      <w:r>
        <w:rPr>
          <w:rFonts w:hint="default" w:ascii="Times New Roman" w:hAnsi="Times New Roman" w:eastAsia="宋体" w:cs="Times New Roman"/>
          <w:kern w:val="2"/>
          <w:sz w:val="24"/>
          <w:szCs w:val="24"/>
          <w:lang w:val="en-US" w:eastAsia="zh-CN" w:bidi="ar-SA"/>
          <w14:ligatures w14:val="standardContextual"/>
        </w:rPr>
        <w:t xml:space="preserve">, 3907–3925 (2021). </w:t>
      </w:r>
    </w:p>
    <w:p w14:paraId="635BC52B">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47</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Elvidge, C. D., Baugh, K., Zhizhin, M., Hsu, F. C. &amp; Ghosh, T. in </w:t>
      </w:r>
      <w:r>
        <w:rPr>
          <w:rFonts w:hint="default" w:ascii="Times New Roman" w:hAnsi="Times New Roman" w:eastAsia="宋体" w:cs="Times New Roman"/>
          <w:i/>
          <w:kern w:val="2"/>
          <w:sz w:val="24"/>
          <w:szCs w:val="24"/>
          <w:lang w:val="en-US" w:eastAsia="zh-CN" w:bidi="ar-SA"/>
          <w14:ligatures w14:val="standardContextual"/>
        </w:rPr>
        <w:t>Remote Sensing of Night-time Light</w:t>
      </w:r>
      <w:r>
        <w:rPr>
          <w:rFonts w:hint="default" w:ascii="Times New Roman" w:hAnsi="Times New Roman" w:eastAsia="宋体" w:cs="Times New Roman"/>
          <w:kern w:val="2"/>
          <w:sz w:val="24"/>
          <w:szCs w:val="24"/>
          <w:lang w:val="en-US" w:eastAsia="zh-CN" w:bidi="ar-SA"/>
          <w14:ligatures w14:val="standardContextual"/>
        </w:rPr>
        <w:t xml:space="preserve">     6–25 (Routledge, 2021).</w:t>
      </w:r>
    </w:p>
    <w:p w14:paraId="5D1B06CB">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48</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 xml:space="preserve">Tatem, A. J. WorldPop, open data for spatial demography. </w:t>
      </w:r>
      <w:r>
        <w:rPr>
          <w:rFonts w:hint="default" w:ascii="Times New Roman" w:hAnsi="Times New Roman" w:eastAsia="宋体" w:cs="Times New Roman"/>
          <w:i/>
          <w:kern w:val="2"/>
          <w:sz w:val="24"/>
          <w:szCs w:val="24"/>
          <w:lang w:val="en-US" w:eastAsia="zh-CN" w:bidi="ar-SA"/>
          <w14:ligatures w14:val="standardContextual"/>
        </w:rPr>
        <w:t>Scientific data</w:t>
      </w:r>
      <w:r>
        <w:rPr>
          <w:rFonts w:hint="default" w:ascii="Times New Roman" w:hAnsi="Times New Roman" w:eastAsia="宋体" w:cs="Times New Roman"/>
          <w:kern w:val="2"/>
          <w:sz w:val="24"/>
          <w:szCs w:val="24"/>
          <w:lang w:val="en-US" w:eastAsia="zh-CN" w:bidi="ar-SA"/>
          <w14:ligatures w14:val="standardContextual"/>
        </w:rPr>
        <w:t xml:space="preserve"> </w:t>
      </w:r>
      <w:r>
        <w:rPr>
          <w:rFonts w:hint="default" w:ascii="Times New Roman" w:hAnsi="Times New Roman" w:eastAsia="宋体" w:cs="Times New Roman"/>
          <w:b/>
          <w:kern w:val="2"/>
          <w:sz w:val="24"/>
          <w:szCs w:val="24"/>
          <w:lang w:val="en-US" w:eastAsia="zh-CN" w:bidi="ar-SA"/>
          <w14:ligatures w14:val="standardContextual"/>
        </w:rPr>
        <w:t>4</w:t>
      </w:r>
      <w:r>
        <w:rPr>
          <w:rFonts w:hint="default" w:ascii="Times New Roman" w:hAnsi="Times New Roman" w:eastAsia="宋体" w:cs="Times New Roman"/>
          <w:kern w:val="2"/>
          <w:sz w:val="24"/>
          <w:szCs w:val="24"/>
          <w:lang w:val="en-US" w:eastAsia="zh-CN" w:bidi="ar-SA"/>
          <w14:ligatures w14:val="standardContextual"/>
        </w:rPr>
        <w:t xml:space="preserve">, 170004 (2017). </w:t>
      </w:r>
    </w:p>
    <w:p w14:paraId="6A8BA5F7">
      <w:pPr>
        <w:pStyle w:val="35"/>
        <w:keepNext w:val="0"/>
        <w:keepLines w:val="0"/>
        <w:pageBreakBefore w:val="0"/>
        <w:widowControl/>
        <w:kinsoku/>
        <w:wordWrap/>
        <w:overflowPunct/>
        <w:topLinePunct w:val="0"/>
        <w:autoSpaceDE/>
        <w:autoSpaceDN/>
        <w:bidi w:val="0"/>
        <w:adjustRightInd/>
        <w:snapToGrid/>
        <w:spacing w:line="360" w:lineRule="auto"/>
        <w:ind w:left="720" w:hanging="720"/>
        <w:textAlignment w:val="auto"/>
        <w:rPr>
          <w:rFonts w:hint="default" w:ascii="Times New Roman" w:hAnsi="Times New Roman" w:eastAsia="宋体" w:cs="Times New Roman"/>
          <w:kern w:val="2"/>
          <w:sz w:val="24"/>
          <w:szCs w:val="24"/>
          <w:lang w:val="en-US" w:eastAsia="zh-CN" w:bidi="ar-SA"/>
          <w14:ligatures w14:val="standardContextual"/>
        </w:rPr>
      </w:pPr>
      <w:r>
        <w:rPr>
          <w:rFonts w:hint="default" w:ascii="Times New Roman" w:hAnsi="Times New Roman" w:eastAsia="宋体" w:cs="Times New Roman"/>
          <w:kern w:val="2"/>
          <w:sz w:val="24"/>
          <w:szCs w:val="24"/>
          <w:lang w:val="en-US" w:eastAsia="zh-CN" w:bidi="ar-SA"/>
          <w14:ligatures w14:val="standardContextual"/>
        </w:rPr>
        <w:t>49</w:t>
      </w:r>
      <w:r>
        <w:rPr>
          <w:rFonts w:hint="default" w:ascii="Times New Roman" w:hAnsi="Times New Roman" w:eastAsia="宋体" w:cs="Times New Roman"/>
          <w:kern w:val="2"/>
          <w:sz w:val="24"/>
          <w:szCs w:val="24"/>
          <w:lang w:val="en-US" w:eastAsia="zh-CN" w:bidi="ar-SA"/>
          <w14:ligatures w14:val="standardContextual"/>
        </w:rPr>
        <w:tab/>
      </w:r>
      <w:r>
        <w:rPr>
          <w:rFonts w:hint="default" w:ascii="Times New Roman" w:hAnsi="Times New Roman" w:eastAsia="宋体" w:cs="Times New Roman"/>
          <w:kern w:val="2"/>
          <w:sz w:val="24"/>
          <w:szCs w:val="24"/>
          <w:lang w:val="en-US" w:eastAsia="zh-CN" w:bidi="ar-SA"/>
          <w14:ligatures w14:val="standardContextual"/>
        </w:rPr>
        <w:t>Stock, J. H. &amp; Yogo, M.     (National Bureau of Economic Research Cambridge, Mass., USA, 2002).</w:t>
      </w:r>
    </w:p>
    <w:p w14:paraId="1C0EB3B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end"/>
      </w:r>
    </w:p>
    <w:sectPr>
      <w:footerReference r:id="rId5" w:type="default"/>
      <w:footerReference r:id="rId6" w:type="even"/>
      <w:pgSz w:w="12240" w:h="15840"/>
      <w:pgMar w:top="1440" w:right="1440" w:bottom="1440" w:left="1440" w:header="720" w:footer="720" w:gutter="0"/>
      <w:lnNumType w:countBy="1" w:restart="continuou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AppleSystemUIFon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Pr>
      <w:id w:val="-408609121"/>
    </w:sdtPr>
    <w:sdtEndPr>
      <w:rPr>
        <w:rStyle w:val="20"/>
      </w:rPr>
    </w:sdtEndPr>
    <w:sdtContent>
      <w:p w14:paraId="7F81080E">
        <w:pPr>
          <w:pStyle w:val="9"/>
          <w:jc w:val="center"/>
          <w:rPr>
            <w:rStyle w:val="20"/>
          </w:rPr>
        </w:pPr>
        <w:r>
          <w:rPr>
            <w:rStyle w:val="20"/>
          </w:rPr>
          <w:fldChar w:fldCharType="begin"/>
        </w:r>
        <w:r>
          <w:rPr>
            <w:rStyle w:val="20"/>
          </w:rPr>
          <w:instrText xml:space="preserve"> PAGE </w:instrText>
        </w:r>
        <w:r>
          <w:rPr>
            <w:rStyle w:val="20"/>
          </w:rPr>
          <w:fldChar w:fldCharType="separate"/>
        </w:r>
        <w:r>
          <w:rPr>
            <w:rStyle w:val="20"/>
          </w:rPr>
          <w:t>3</w:t>
        </w:r>
        <w:r>
          <w:rPr>
            <w:rStyle w:val="20"/>
          </w:rPr>
          <w:fldChar w:fldCharType="end"/>
        </w:r>
      </w:p>
    </w:sdtContent>
  </w:sdt>
  <w:p w14:paraId="141F0364"/>
  <w:p w14:paraId="04D1C2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Pr>
      <w:id w:val="-1219742421"/>
    </w:sdtPr>
    <w:sdtEndPr>
      <w:rPr>
        <w:rStyle w:val="20"/>
      </w:rPr>
    </w:sdtEndPr>
    <w:sdtContent>
      <w:p w14:paraId="1BB5A96A">
        <w:pPr>
          <w:pStyle w:val="9"/>
          <w:rPr>
            <w:rStyle w:val="20"/>
          </w:rPr>
        </w:pPr>
        <w:r>
          <w:rPr>
            <w:rStyle w:val="20"/>
          </w:rPr>
          <w:fldChar w:fldCharType="begin"/>
        </w:r>
        <w:r>
          <w:rPr>
            <w:rStyle w:val="20"/>
          </w:rPr>
          <w:instrText xml:space="preserve"> PAGE </w:instrText>
        </w:r>
        <w:r>
          <w:rPr>
            <w:rStyle w:val="20"/>
          </w:rPr>
          <w:fldChar w:fldCharType="separate"/>
        </w:r>
        <w:r>
          <w:rPr>
            <w:rStyle w:val="20"/>
          </w:rPr>
          <w:t>7</w:t>
        </w:r>
        <w:r>
          <w:rPr>
            <w:rStyle w:val="20"/>
          </w:rPr>
          <w:fldChar w:fldCharType="end"/>
        </w:r>
      </w:p>
    </w:sdtContent>
  </w:sdt>
  <w:p w14:paraId="23311669">
    <w:pPr>
      <w:pStyle w:val="9"/>
      <w:rPr>
        <w:rStyle w:val="20"/>
      </w:rPr>
    </w:pPr>
  </w:p>
  <w:p w14:paraId="2D3577E3">
    <w:pPr>
      <w:pStyle w:val="9"/>
    </w:pPr>
  </w:p>
  <w:p w14:paraId="77450CB6"/>
  <w:p w14:paraId="2F05AC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EF02B5"/>
    <w:multiLevelType w:val="multilevel"/>
    <w:tmpl w:val="17EF02B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518D1555"/>
    <w:multiLevelType w:val="multilevel"/>
    <w:tmpl w:val="518D155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wx2x2e2txxsheffsnxee2m5esz0zzsxztf&quot;&gt;My EndNote Library npj urban sustainability&lt;record-ids&gt;&lt;item&gt;2&lt;/item&gt;&lt;item&gt;6&lt;/item&gt;&lt;item&gt;9&lt;/item&gt;&lt;item&gt;13&lt;/item&gt;&lt;item&gt;15&lt;/item&gt;&lt;item&gt;16&lt;/item&gt;&lt;item&gt;18&lt;/item&gt;&lt;item&gt;20&lt;/item&gt;&lt;item&gt;21&lt;/item&gt;&lt;item&gt;23&lt;/item&gt;&lt;item&gt;25&lt;/item&gt;&lt;item&gt;26&lt;/item&gt;&lt;item&gt;28&lt;/item&gt;&lt;item&gt;30&lt;/item&gt;&lt;item&gt;31&lt;/item&gt;&lt;item&gt;33&lt;/item&gt;&lt;item&gt;35&lt;/item&gt;&lt;item&gt;36&lt;/item&gt;&lt;item&gt;37&lt;/item&gt;&lt;item&gt;39&lt;/item&gt;&lt;item&gt;40&lt;/item&gt;&lt;item&gt;41&lt;/item&gt;&lt;item&gt;42&lt;/item&gt;&lt;item&gt;46&lt;/item&gt;&lt;item&gt;48&lt;/item&gt;&lt;item&gt;49&lt;/item&gt;&lt;item&gt;52&lt;/item&gt;&lt;item&gt;55&lt;/item&gt;&lt;item&gt;58&lt;/item&gt;&lt;item&gt;59&lt;/item&gt;&lt;item&gt;60&lt;/item&gt;&lt;item&gt;61&lt;/item&gt;&lt;item&gt;68&lt;/item&gt;&lt;item&gt;69&lt;/item&gt;&lt;item&gt;75&lt;/item&gt;&lt;item&gt;77&lt;/item&gt;&lt;item&gt;80&lt;/item&gt;&lt;item&gt;81&lt;/item&gt;&lt;item&gt;83&lt;/item&gt;&lt;item&gt;84&lt;/item&gt;&lt;item&gt;86&lt;/item&gt;&lt;item&gt;88&lt;/item&gt;&lt;item&gt;89&lt;/item&gt;&lt;item&gt;91&lt;/item&gt;&lt;item&gt;92&lt;/item&gt;&lt;item&gt;93&lt;/item&gt;&lt;item&gt;94&lt;/item&gt;&lt;item&gt;95&lt;/item&gt;&lt;item&gt;126&lt;/item&gt;&lt;/record-ids&gt;&lt;/item&gt;&lt;/Libraries&gt;"/>
    <w:docVar w:name="EN.UseJSCitationFormat" w:val="False"/>
  </w:docVars>
  <w:rsids>
    <w:rsidRoot w:val="003C01D8"/>
    <w:rsid w:val="00001B9B"/>
    <w:rsid w:val="0000565D"/>
    <w:rsid w:val="00011D6B"/>
    <w:rsid w:val="00012854"/>
    <w:rsid w:val="00014428"/>
    <w:rsid w:val="00014D89"/>
    <w:rsid w:val="00023722"/>
    <w:rsid w:val="000332FD"/>
    <w:rsid w:val="00036C5F"/>
    <w:rsid w:val="00045097"/>
    <w:rsid w:val="00045176"/>
    <w:rsid w:val="00045496"/>
    <w:rsid w:val="00045B8E"/>
    <w:rsid w:val="000468C5"/>
    <w:rsid w:val="00050433"/>
    <w:rsid w:val="00052368"/>
    <w:rsid w:val="00061521"/>
    <w:rsid w:val="00066049"/>
    <w:rsid w:val="000675CF"/>
    <w:rsid w:val="00067BEB"/>
    <w:rsid w:val="00071296"/>
    <w:rsid w:val="00071817"/>
    <w:rsid w:val="000718EF"/>
    <w:rsid w:val="00076595"/>
    <w:rsid w:val="00076708"/>
    <w:rsid w:val="00076C52"/>
    <w:rsid w:val="00082AD3"/>
    <w:rsid w:val="00084003"/>
    <w:rsid w:val="00090368"/>
    <w:rsid w:val="0009232C"/>
    <w:rsid w:val="000929BC"/>
    <w:rsid w:val="000939F7"/>
    <w:rsid w:val="00096939"/>
    <w:rsid w:val="000A1C32"/>
    <w:rsid w:val="000A433F"/>
    <w:rsid w:val="000A5F9A"/>
    <w:rsid w:val="000A6E66"/>
    <w:rsid w:val="000B4A9A"/>
    <w:rsid w:val="000B5A94"/>
    <w:rsid w:val="000C2887"/>
    <w:rsid w:val="000C2F13"/>
    <w:rsid w:val="000C386B"/>
    <w:rsid w:val="000D2DA2"/>
    <w:rsid w:val="000D45E3"/>
    <w:rsid w:val="000D465B"/>
    <w:rsid w:val="000D4C29"/>
    <w:rsid w:val="000E01AA"/>
    <w:rsid w:val="000E6C30"/>
    <w:rsid w:val="000F0923"/>
    <w:rsid w:val="000F3BFA"/>
    <w:rsid w:val="000F5289"/>
    <w:rsid w:val="000F758B"/>
    <w:rsid w:val="001019F1"/>
    <w:rsid w:val="00102533"/>
    <w:rsid w:val="001064D5"/>
    <w:rsid w:val="0010718B"/>
    <w:rsid w:val="0011247F"/>
    <w:rsid w:val="001146C8"/>
    <w:rsid w:val="00115B8F"/>
    <w:rsid w:val="00121417"/>
    <w:rsid w:val="001304F7"/>
    <w:rsid w:val="00140399"/>
    <w:rsid w:val="00140E03"/>
    <w:rsid w:val="0014336E"/>
    <w:rsid w:val="001459D7"/>
    <w:rsid w:val="001474B5"/>
    <w:rsid w:val="00147B75"/>
    <w:rsid w:val="00151496"/>
    <w:rsid w:val="00151F13"/>
    <w:rsid w:val="001533AD"/>
    <w:rsid w:val="0016606B"/>
    <w:rsid w:val="00166860"/>
    <w:rsid w:val="0018147E"/>
    <w:rsid w:val="0018150B"/>
    <w:rsid w:val="00183A52"/>
    <w:rsid w:val="00187C1D"/>
    <w:rsid w:val="00190E12"/>
    <w:rsid w:val="001921E2"/>
    <w:rsid w:val="00194BD1"/>
    <w:rsid w:val="0019523F"/>
    <w:rsid w:val="001B0FF7"/>
    <w:rsid w:val="001B2639"/>
    <w:rsid w:val="001B4069"/>
    <w:rsid w:val="001B50BF"/>
    <w:rsid w:val="001B5FAE"/>
    <w:rsid w:val="001B5FB4"/>
    <w:rsid w:val="001B79BC"/>
    <w:rsid w:val="001C791E"/>
    <w:rsid w:val="001C7C9A"/>
    <w:rsid w:val="001D0FD0"/>
    <w:rsid w:val="001D5ED7"/>
    <w:rsid w:val="001D7D84"/>
    <w:rsid w:val="001E102C"/>
    <w:rsid w:val="001E3B8F"/>
    <w:rsid w:val="001E4C89"/>
    <w:rsid w:val="001E6554"/>
    <w:rsid w:val="001E7A9A"/>
    <w:rsid w:val="001F1881"/>
    <w:rsid w:val="001F3371"/>
    <w:rsid w:val="001F40DD"/>
    <w:rsid w:val="001F5476"/>
    <w:rsid w:val="00201799"/>
    <w:rsid w:val="0020235D"/>
    <w:rsid w:val="00202364"/>
    <w:rsid w:val="00203595"/>
    <w:rsid w:val="00204A68"/>
    <w:rsid w:val="002054FB"/>
    <w:rsid w:val="00217B76"/>
    <w:rsid w:val="002216EB"/>
    <w:rsid w:val="00221E9E"/>
    <w:rsid w:val="002321D1"/>
    <w:rsid w:val="002334AB"/>
    <w:rsid w:val="00233EAC"/>
    <w:rsid w:val="00237A50"/>
    <w:rsid w:val="0024422A"/>
    <w:rsid w:val="002453C9"/>
    <w:rsid w:val="00250C14"/>
    <w:rsid w:val="00250ECE"/>
    <w:rsid w:val="00251967"/>
    <w:rsid w:val="0025235A"/>
    <w:rsid w:val="00255BF0"/>
    <w:rsid w:val="00256959"/>
    <w:rsid w:val="002575C4"/>
    <w:rsid w:val="0027211D"/>
    <w:rsid w:val="00277F4E"/>
    <w:rsid w:val="0028113E"/>
    <w:rsid w:val="00281DAE"/>
    <w:rsid w:val="002848A7"/>
    <w:rsid w:val="00285745"/>
    <w:rsid w:val="00286205"/>
    <w:rsid w:val="002866FD"/>
    <w:rsid w:val="00296984"/>
    <w:rsid w:val="002A29C2"/>
    <w:rsid w:val="002A573A"/>
    <w:rsid w:val="002A6992"/>
    <w:rsid w:val="002B1BB6"/>
    <w:rsid w:val="002B260D"/>
    <w:rsid w:val="002B3B19"/>
    <w:rsid w:val="002B51B5"/>
    <w:rsid w:val="002B62E1"/>
    <w:rsid w:val="002B7C1E"/>
    <w:rsid w:val="002C07CD"/>
    <w:rsid w:val="002D03D5"/>
    <w:rsid w:val="002D0D08"/>
    <w:rsid w:val="002D2B7F"/>
    <w:rsid w:val="002D4E0C"/>
    <w:rsid w:val="002D5995"/>
    <w:rsid w:val="002E1A4F"/>
    <w:rsid w:val="002E1D5B"/>
    <w:rsid w:val="002E1DA9"/>
    <w:rsid w:val="002E322C"/>
    <w:rsid w:val="002E7B3F"/>
    <w:rsid w:val="002E7FA9"/>
    <w:rsid w:val="002F0BF1"/>
    <w:rsid w:val="002F1EBD"/>
    <w:rsid w:val="002F6ED3"/>
    <w:rsid w:val="00301BFF"/>
    <w:rsid w:val="003059E7"/>
    <w:rsid w:val="00306A0F"/>
    <w:rsid w:val="0031460F"/>
    <w:rsid w:val="00321D78"/>
    <w:rsid w:val="00326A03"/>
    <w:rsid w:val="00330E2F"/>
    <w:rsid w:val="003425E0"/>
    <w:rsid w:val="00347577"/>
    <w:rsid w:val="0035493B"/>
    <w:rsid w:val="00356076"/>
    <w:rsid w:val="0035631D"/>
    <w:rsid w:val="003566FD"/>
    <w:rsid w:val="003567EC"/>
    <w:rsid w:val="00356CC8"/>
    <w:rsid w:val="00360470"/>
    <w:rsid w:val="0036475C"/>
    <w:rsid w:val="00372006"/>
    <w:rsid w:val="00376CCE"/>
    <w:rsid w:val="00381784"/>
    <w:rsid w:val="00381A40"/>
    <w:rsid w:val="00381A73"/>
    <w:rsid w:val="00381D0E"/>
    <w:rsid w:val="00385DF3"/>
    <w:rsid w:val="00386B15"/>
    <w:rsid w:val="00387B37"/>
    <w:rsid w:val="00387F57"/>
    <w:rsid w:val="00390C17"/>
    <w:rsid w:val="00393247"/>
    <w:rsid w:val="00393D5F"/>
    <w:rsid w:val="00395AC5"/>
    <w:rsid w:val="003979D8"/>
    <w:rsid w:val="003A2A26"/>
    <w:rsid w:val="003A3C4E"/>
    <w:rsid w:val="003A45B2"/>
    <w:rsid w:val="003A7117"/>
    <w:rsid w:val="003B016A"/>
    <w:rsid w:val="003B2704"/>
    <w:rsid w:val="003B4C85"/>
    <w:rsid w:val="003B6382"/>
    <w:rsid w:val="003B6725"/>
    <w:rsid w:val="003C01D8"/>
    <w:rsid w:val="003C1083"/>
    <w:rsid w:val="003C24DF"/>
    <w:rsid w:val="003C57A2"/>
    <w:rsid w:val="003C615F"/>
    <w:rsid w:val="003C745D"/>
    <w:rsid w:val="003D0250"/>
    <w:rsid w:val="003D16A0"/>
    <w:rsid w:val="003D2142"/>
    <w:rsid w:val="003E16C4"/>
    <w:rsid w:val="003E2576"/>
    <w:rsid w:val="003E3306"/>
    <w:rsid w:val="003E5F9A"/>
    <w:rsid w:val="003F31F9"/>
    <w:rsid w:val="00400EDD"/>
    <w:rsid w:val="0040166B"/>
    <w:rsid w:val="00404359"/>
    <w:rsid w:val="00407980"/>
    <w:rsid w:val="00410952"/>
    <w:rsid w:val="00411CA3"/>
    <w:rsid w:val="00411E09"/>
    <w:rsid w:val="00411FE0"/>
    <w:rsid w:val="004123A4"/>
    <w:rsid w:val="004150D9"/>
    <w:rsid w:val="00422CB1"/>
    <w:rsid w:val="00422F7B"/>
    <w:rsid w:val="004239FA"/>
    <w:rsid w:val="004316EC"/>
    <w:rsid w:val="0043724F"/>
    <w:rsid w:val="0044194A"/>
    <w:rsid w:val="004437EC"/>
    <w:rsid w:val="00444F2C"/>
    <w:rsid w:val="00445770"/>
    <w:rsid w:val="00446888"/>
    <w:rsid w:val="004476BB"/>
    <w:rsid w:val="004547AB"/>
    <w:rsid w:val="00460363"/>
    <w:rsid w:val="004667D5"/>
    <w:rsid w:val="0047184B"/>
    <w:rsid w:val="00473885"/>
    <w:rsid w:val="00482042"/>
    <w:rsid w:val="00482F28"/>
    <w:rsid w:val="00485765"/>
    <w:rsid w:val="0049327A"/>
    <w:rsid w:val="00495B3E"/>
    <w:rsid w:val="00496665"/>
    <w:rsid w:val="004966EA"/>
    <w:rsid w:val="0049761C"/>
    <w:rsid w:val="004A0BB2"/>
    <w:rsid w:val="004A18E3"/>
    <w:rsid w:val="004A1E5D"/>
    <w:rsid w:val="004A2D98"/>
    <w:rsid w:val="004A3B66"/>
    <w:rsid w:val="004A7669"/>
    <w:rsid w:val="004A7683"/>
    <w:rsid w:val="004A796B"/>
    <w:rsid w:val="004B1045"/>
    <w:rsid w:val="004B2A5A"/>
    <w:rsid w:val="004B3473"/>
    <w:rsid w:val="004B6E59"/>
    <w:rsid w:val="004B725E"/>
    <w:rsid w:val="004C354A"/>
    <w:rsid w:val="004C4189"/>
    <w:rsid w:val="004C50B6"/>
    <w:rsid w:val="004C52DB"/>
    <w:rsid w:val="004C5BAE"/>
    <w:rsid w:val="004C5E58"/>
    <w:rsid w:val="004C696B"/>
    <w:rsid w:val="004C6DDD"/>
    <w:rsid w:val="004D1948"/>
    <w:rsid w:val="004D38EF"/>
    <w:rsid w:val="004D3EFD"/>
    <w:rsid w:val="004D43F4"/>
    <w:rsid w:val="004D659F"/>
    <w:rsid w:val="004E023E"/>
    <w:rsid w:val="004E0352"/>
    <w:rsid w:val="004F03C4"/>
    <w:rsid w:val="004F2B35"/>
    <w:rsid w:val="004F4B02"/>
    <w:rsid w:val="004F604B"/>
    <w:rsid w:val="004F71BB"/>
    <w:rsid w:val="00502F4F"/>
    <w:rsid w:val="00511CA7"/>
    <w:rsid w:val="00514C9E"/>
    <w:rsid w:val="00514CC7"/>
    <w:rsid w:val="00515CFB"/>
    <w:rsid w:val="005166FE"/>
    <w:rsid w:val="00521904"/>
    <w:rsid w:val="005224D8"/>
    <w:rsid w:val="00525119"/>
    <w:rsid w:val="00530F19"/>
    <w:rsid w:val="005322F1"/>
    <w:rsid w:val="005328D0"/>
    <w:rsid w:val="0053302E"/>
    <w:rsid w:val="005337D2"/>
    <w:rsid w:val="00533C2B"/>
    <w:rsid w:val="00535B0E"/>
    <w:rsid w:val="00536863"/>
    <w:rsid w:val="00544773"/>
    <w:rsid w:val="0055043A"/>
    <w:rsid w:val="005519A1"/>
    <w:rsid w:val="0055317C"/>
    <w:rsid w:val="00554534"/>
    <w:rsid w:val="00555775"/>
    <w:rsid w:val="00555D12"/>
    <w:rsid w:val="00556579"/>
    <w:rsid w:val="005567D2"/>
    <w:rsid w:val="0056294D"/>
    <w:rsid w:val="005708FE"/>
    <w:rsid w:val="00570909"/>
    <w:rsid w:val="00574001"/>
    <w:rsid w:val="00574C3C"/>
    <w:rsid w:val="00581441"/>
    <w:rsid w:val="00584282"/>
    <w:rsid w:val="00587B52"/>
    <w:rsid w:val="00590CD3"/>
    <w:rsid w:val="00595D9A"/>
    <w:rsid w:val="005A0E0C"/>
    <w:rsid w:val="005B1827"/>
    <w:rsid w:val="005B28B4"/>
    <w:rsid w:val="005B4EC7"/>
    <w:rsid w:val="005B77CA"/>
    <w:rsid w:val="005C1994"/>
    <w:rsid w:val="005C2D73"/>
    <w:rsid w:val="005D2E8F"/>
    <w:rsid w:val="005D3865"/>
    <w:rsid w:val="005E03BB"/>
    <w:rsid w:val="005E25AE"/>
    <w:rsid w:val="005E46C3"/>
    <w:rsid w:val="005E7244"/>
    <w:rsid w:val="005E7C99"/>
    <w:rsid w:val="005F0990"/>
    <w:rsid w:val="005F6DF0"/>
    <w:rsid w:val="005F711B"/>
    <w:rsid w:val="005F752D"/>
    <w:rsid w:val="006014B3"/>
    <w:rsid w:val="00605D49"/>
    <w:rsid w:val="00606C79"/>
    <w:rsid w:val="006135E3"/>
    <w:rsid w:val="006165AB"/>
    <w:rsid w:val="006169C8"/>
    <w:rsid w:val="00626FE0"/>
    <w:rsid w:val="00632831"/>
    <w:rsid w:val="00636197"/>
    <w:rsid w:val="00644F6B"/>
    <w:rsid w:val="00645952"/>
    <w:rsid w:val="00646673"/>
    <w:rsid w:val="00650FD9"/>
    <w:rsid w:val="006631FA"/>
    <w:rsid w:val="00667250"/>
    <w:rsid w:val="006676F1"/>
    <w:rsid w:val="0067003B"/>
    <w:rsid w:val="00670A85"/>
    <w:rsid w:val="00672367"/>
    <w:rsid w:val="00680B16"/>
    <w:rsid w:val="006873A8"/>
    <w:rsid w:val="006912F9"/>
    <w:rsid w:val="006955EA"/>
    <w:rsid w:val="006A181B"/>
    <w:rsid w:val="006A5104"/>
    <w:rsid w:val="006B0AFB"/>
    <w:rsid w:val="006B16B6"/>
    <w:rsid w:val="006B5570"/>
    <w:rsid w:val="006B6614"/>
    <w:rsid w:val="006B67D6"/>
    <w:rsid w:val="006C18A8"/>
    <w:rsid w:val="006C51D3"/>
    <w:rsid w:val="006C6942"/>
    <w:rsid w:val="006D01DB"/>
    <w:rsid w:val="006D18AA"/>
    <w:rsid w:val="006D4281"/>
    <w:rsid w:val="006D4E73"/>
    <w:rsid w:val="006D66DB"/>
    <w:rsid w:val="006E34C1"/>
    <w:rsid w:val="006E7AD7"/>
    <w:rsid w:val="006F05B2"/>
    <w:rsid w:val="006F3AD3"/>
    <w:rsid w:val="006F619E"/>
    <w:rsid w:val="006F775E"/>
    <w:rsid w:val="00700014"/>
    <w:rsid w:val="007002DD"/>
    <w:rsid w:val="007006B3"/>
    <w:rsid w:val="007018DF"/>
    <w:rsid w:val="00702C1F"/>
    <w:rsid w:val="007051F7"/>
    <w:rsid w:val="007079A3"/>
    <w:rsid w:val="0071017D"/>
    <w:rsid w:val="007115BA"/>
    <w:rsid w:val="00711E63"/>
    <w:rsid w:val="00711FB0"/>
    <w:rsid w:val="00712EAD"/>
    <w:rsid w:val="0071444B"/>
    <w:rsid w:val="007223F4"/>
    <w:rsid w:val="00722EAC"/>
    <w:rsid w:val="00723E63"/>
    <w:rsid w:val="0072526F"/>
    <w:rsid w:val="00725544"/>
    <w:rsid w:val="00737CC3"/>
    <w:rsid w:val="00740468"/>
    <w:rsid w:val="00741004"/>
    <w:rsid w:val="007414C4"/>
    <w:rsid w:val="007417C5"/>
    <w:rsid w:val="00743D0F"/>
    <w:rsid w:val="0074587C"/>
    <w:rsid w:val="00745E48"/>
    <w:rsid w:val="00746198"/>
    <w:rsid w:val="0075160B"/>
    <w:rsid w:val="0075173A"/>
    <w:rsid w:val="007544E4"/>
    <w:rsid w:val="0076250F"/>
    <w:rsid w:val="007649FB"/>
    <w:rsid w:val="00765825"/>
    <w:rsid w:val="00767831"/>
    <w:rsid w:val="00770499"/>
    <w:rsid w:val="0077257E"/>
    <w:rsid w:val="00776644"/>
    <w:rsid w:val="00780C5E"/>
    <w:rsid w:val="00785603"/>
    <w:rsid w:val="00786805"/>
    <w:rsid w:val="007947A0"/>
    <w:rsid w:val="00795B13"/>
    <w:rsid w:val="007A0F1B"/>
    <w:rsid w:val="007A4CC1"/>
    <w:rsid w:val="007A5DC2"/>
    <w:rsid w:val="007B17F2"/>
    <w:rsid w:val="007B2C8B"/>
    <w:rsid w:val="007B7EEC"/>
    <w:rsid w:val="007C0422"/>
    <w:rsid w:val="007C35CE"/>
    <w:rsid w:val="007C7D2E"/>
    <w:rsid w:val="007D3790"/>
    <w:rsid w:val="007D3A4B"/>
    <w:rsid w:val="007D7C9C"/>
    <w:rsid w:val="007E45C4"/>
    <w:rsid w:val="007E47B3"/>
    <w:rsid w:val="007E47E7"/>
    <w:rsid w:val="007F0233"/>
    <w:rsid w:val="007F0558"/>
    <w:rsid w:val="007F0A88"/>
    <w:rsid w:val="008015DD"/>
    <w:rsid w:val="00801C89"/>
    <w:rsid w:val="00802B61"/>
    <w:rsid w:val="0080327D"/>
    <w:rsid w:val="00810B61"/>
    <w:rsid w:val="00810FB2"/>
    <w:rsid w:val="008129C9"/>
    <w:rsid w:val="0081792C"/>
    <w:rsid w:val="00817EBD"/>
    <w:rsid w:val="00823580"/>
    <w:rsid w:val="008243F1"/>
    <w:rsid w:val="00825085"/>
    <w:rsid w:val="00826673"/>
    <w:rsid w:val="0082776F"/>
    <w:rsid w:val="008301BB"/>
    <w:rsid w:val="00837806"/>
    <w:rsid w:val="00842F14"/>
    <w:rsid w:val="00846502"/>
    <w:rsid w:val="0086046A"/>
    <w:rsid w:val="008610B5"/>
    <w:rsid w:val="0086279A"/>
    <w:rsid w:val="00866B4E"/>
    <w:rsid w:val="00871468"/>
    <w:rsid w:val="008725E3"/>
    <w:rsid w:val="00885BA2"/>
    <w:rsid w:val="008921EF"/>
    <w:rsid w:val="00897370"/>
    <w:rsid w:val="008B19D8"/>
    <w:rsid w:val="008B492F"/>
    <w:rsid w:val="008B50F2"/>
    <w:rsid w:val="008B5661"/>
    <w:rsid w:val="008B65F1"/>
    <w:rsid w:val="008B6898"/>
    <w:rsid w:val="008B75D3"/>
    <w:rsid w:val="008C23B5"/>
    <w:rsid w:val="008C4CD4"/>
    <w:rsid w:val="008C4EE7"/>
    <w:rsid w:val="008C59A2"/>
    <w:rsid w:val="008C6EDE"/>
    <w:rsid w:val="008C76F0"/>
    <w:rsid w:val="008C78DD"/>
    <w:rsid w:val="008D7F67"/>
    <w:rsid w:val="008E2689"/>
    <w:rsid w:val="008E2E90"/>
    <w:rsid w:val="008E543F"/>
    <w:rsid w:val="008E5AA0"/>
    <w:rsid w:val="008E5C08"/>
    <w:rsid w:val="008F1DE3"/>
    <w:rsid w:val="008F6FFE"/>
    <w:rsid w:val="0090673E"/>
    <w:rsid w:val="009172A9"/>
    <w:rsid w:val="009209E0"/>
    <w:rsid w:val="00923FCA"/>
    <w:rsid w:val="009240B1"/>
    <w:rsid w:val="009248DC"/>
    <w:rsid w:val="00925052"/>
    <w:rsid w:val="009263A0"/>
    <w:rsid w:val="0093315C"/>
    <w:rsid w:val="009335B0"/>
    <w:rsid w:val="00933BF2"/>
    <w:rsid w:val="00946FFD"/>
    <w:rsid w:val="00951A07"/>
    <w:rsid w:val="009520C9"/>
    <w:rsid w:val="00953ACF"/>
    <w:rsid w:val="00955DE6"/>
    <w:rsid w:val="0095770E"/>
    <w:rsid w:val="009607DF"/>
    <w:rsid w:val="00961271"/>
    <w:rsid w:val="0096187C"/>
    <w:rsid w:val="0096500C"/>
    <w:rsid w:val="0097259B"/>
    <w:rsid w:val="00972D98"/>
    <w:rsid w:val="00974904"/>
    <w:rsid w:val="0098014A"/>
    <w:rsid w:val="00981BF8"/>
    <w:rsid w:val="00984CE8"/>
    <w:rsid w:val="00986862"/>
    <w:rsid w:val="009872BF"/>
    <w:rsid w:val="00991359"/>
    <w:rsid w:val="009951C0"/>
    <w:rsid w:val="0099589B"/>
    <w:rsid w:val="009969BF"/>
    <w:rsid w:val="009A2993"/>
    <w:rsid w:val="009A5133"/>
    <w:rsid w:val="009A5318"/>
    <w:rsid w:val="009A6526"/>
    <w:rsid w:val="009B2506"/>
    <w:rsid w:val="009B3107"/>
    <w:rsid w:val="009C1A13"/>
    <w:rsid w:val="009C6EF3"/>
    <w:rsid w:val="009C6FDB"/>
    <w:rsid w:val="009C7E01"/>
    <w:rsid w:val="009D2CBD"/>
    <w:rsid w:val="009D48E5"/>
    <w:rsid w:val="009D4C65"/>
    <w:rsid w:val="009E09B0"/>
    <w:rsid w:val="009E3672"/>
    <w:rsid w:val="009E6CAB"/>
    <w:rsid w:val="009F041D"/>
    <w:rsid w:val="009F44B8"/>
    <w:rsid w:val="009F6692"/>
    <w:rsid w:val="00A03BCB"/>
    <w:rsid w:val="00A0490B"/>
    <w:rsid w:val="00A04D55"/>
    <w:rsid w:val="00A06739"/>
    <w:rsid w:val="00A1141E"/>
    <w:rsid w:val="00A14C3F"/>
    <w:rsid w:val="00A16095"/>
    <w:rsid w:val="00A16AAD"/>
    <w:rsid w:val="00A21702"/>
    <w:rsid w:val="00A247F7"/>
    <w:rsid w:val="00A322B3"/>
    <w:rsid w:val="00A343E6"/>
    <w:rsid w:val="00A37268"/>
    <w:rsid w:val="00A4006A"/>
    <w:rsid w:val="00A42724"/>
    <w:rsid w:val="00A42F2E"/>
    <w:rsid w:val="00A43A59"/>
    <w:rsid w:val="00A4457B"/>
    <w:rsid w:val="00A46848"/>
    <w:rsid w:val="00A5096C"/>
    <w:rsid w:val="00A51F94"/>
    <w:rsid w:val="00A54CC5"/>
    <w:rsid w:val="00A57A85"/>
    <w:rsid w:val="00A61922"/>
    <w:rsid w:val="00A64221"/>
    <w:rsid w:val="00A66DD5"/>
    <w:rsid w:val="00A76403"/>
    <w:rsid w:val="00A7657B"/>
    <w:rsid w:val="00A8307C"/>
    <w:rsid w:val="00A90F26"/>
    <w:rsid w:val="00A912CB"/>
    <w:rsid w:val="00A91407"/>
    <w:rsid w:val="00A92C0C"/>
    <w:rsid w:val="00A93A2A"/>
    <w:rsid w:val="00AA081E"/>
    <w:rsid w:val="00AA77F4"/>
    <w:rsid w:val="00AC2529"/>
    <w:rsid w:val="00AC2C7B"/>
    <w:rsid w:val="00AC56E4"/>
    <w:rsid w:val="00AC6807"/>
    <w:rsid w:val="00AC78B5"/>
    <w:rsid w:val="00AD0D3D"/>
    <w:rsid w:val="00AD7C62"/>
    <w:rsid w:val="00AE4294"/>
    <w:rsid w:val="00AF08CC"/>
    <w:rsid w:val="00AF5045"/>
    <w:rsid w:val="00AF5407"/>
    <w:rsid w:val="00AF7149"/>
    <w:rsid w:val="00AF754F"/>
    <w:rsid w:val="00B02211"/>
    <w:rsid w:val="00B02EFB"/>
    <w:rsid w:val="00B064AB"/>
    <w:rsid w:val="00B1021D"/>
    <w:rsid w:val="00B1329B"/>
    <w:rsid w:val="00B1628E"/>
    <w:rsid w:val="00B163FB"/>
    <w:rsid w:val="00B16971"/>
    <w:rsid w:val="00B22811"/>
    <w:rsid w:val="00B2408A"/>
    <w:rsid w:val="00B26503"/>
    <w:rsid w:val="00B2664B"/>
    <w:rsid w:val="00B30912"/>
    <w:rsid w:val="00B30E85"/>
    <w:rsid w:val="00B32980"/>
    <w:rsid w:val="00B37593"/>
    <w:rsid w:val="00B47B1E"/>
    <w:rsid w:val="00B51536"/>
    <w:rsid w:val="00B56D16"/>
    <w:rsid w:val="00B60618"/>
    <w:rsid w:val="00B66C46"/>
    <w:rsid w:val="00B703B8"/>
    <w:rsid w:val="00B737FA"/>
    <w:rsid w:val="00B7433A"/>
    <w:rsid w:val="00B747A9"/>
    <w:rsid w:val="00B8190D"/>
    <w:rsid w:val="00B848EF"/>
    <w:rsid w:val="00B865C9"/>
    <w:rsid w:val="00B86722"/>
    <w:rsid w:val="00B91AFB"/>
    <w:rsid w:val="00B928B9"/>
    <w:rsid w:val="00B92AF7"/>
    <w:rsid w:val="00B93CA9"/>
    <w:rsid w:val="00B94117"/>
    <w:rsid w:val="00B94331"/>
    <w:rsid w:val="00BA27DE"/>
    <w:rsid w:val="00BA360C"/>
    <w:rsid w:val="00BB1F68"/>
    <w:rsid w:val="00BB7C2C"/>
    <w:rsid w:val="00BC235C"/>
    <w:rsid w:val="00BC5F44"/>
    <w:rsid w:val="00BD0CE3"/>
    <w:rsid w:val="00BD29EF"/>
    <w:rsid w:val="00BD2E85"/>
    <w:rsid w:val="00BD333F"/>
    <w:rsid w:val="00BD597F"/>
    <w:rsid w:val="00BE007D"/>
    <w:rsid w:val="00BF0EA0"/>
    <w:rsid w:val="00BF10A5"/>
    <w:rsid w:val="00BF1F9D"/>
    <w:rsid w:val="00BF2079"/>
    <w:rsid w:val="00BF656F"/>
    <w:rsid w:val="00C013F9"/>
    <w:rsid w:val="00C0516A"/>
    <w:rsid w:val="00C07B86"/>
    <w:rsid w:val="00C14BAC"/>
    <w:rsid w:val="00C22F3B"/>
    <w:rsid w:val="00C24895"/>
    <w:rsid w:val="00C317BA"/>
    <w:rsid w:val="00C33F88"/>
    <w:rsid w:val="00C348CB"/>
    <w:rsid w:val="00C34F87"/>
    <w:rsid w:val="00C350C9"/>
    <w:rsid w:val="00C3592D"/>
    <w:rsid w:val="00C35FDB"/>
    <w:rsid w:val="00C40FA1"/>
    <w:rsid w:val="00C42BBE"/>
    <w:rsid w:val="00C437DA"/>
    <w:rsid w:val="00C44AB3"/>
    <w:rsid w:val="00C53C15"/>
    <w:rsid w:val="00C6012B"/>
    <w:rsid w:val="00C612CD"/>
    <w:rsid w:val="00C639C6"/>
    <w:rsid w:val="00C666D0"/>
    <w:rsid w:val="00C71788"/>
    <w:rsid w:val="00C733F4"/>
    <w:rsid w:val="00C7479C"/>
    <w:rsid w:val="00C81E13"/>
    <w:rsid w:val="00C82BC2"/>
    <w:rsid w:val="00C8647B"/>
    <w:rsid w:val="00C87EB3"/>
    <w:rsid w:val="00C902D2"/>
    <w:rsid w:val="00C9440F"/>
    <w:rsid w:val="00CA1BC2"/>
    <w:rsid w:val="00CA2F57"/>
    <w:rsid w:val="00CB1752"/>
    <w:rsid w:val="00CB27B1"/>
    <w:rsid w:val="00CC17A3"/>
    <w:rsid w:val="00CC5A85"/>
    <w:rsid w:val="00CC5D52"/>
    <w:rsid w:val="00CC6A0F"/>
    <w:rsid w:val="00CD3B86"/>
    <w:rsid w:val="00CD4A29"/>
    <w:rsid w:val="00CD55D9"/>
    <w:rsid w:val="00CD6536"/>
    <w:rsid w:val="00CE4F08"/>
    <w:rsid w:val="00CE75C2"/>
    <w:rsid w:val="00CF3C56"/>
    <w:rsid w:val="00CF3EEF"/>
    <w:rsid w:val="00CF547F"/>
    <w:rsid w:val="00D04778"/>
    <w:rsid w:val="00D16113"/>
    <w:rsid w:val="00D25C18"/>
    <w:rsid w:val="00D2675D"/>
    <w:rsid w:val="00D35740"/>
    <w:rsid w:val="00D43307"/>
    <w:rsid w:val="00D50FE4"/>
    <w:rsid w:val="00D561E3"/>
    <w:rsid w:val="00D6239E"/>
    <w:rsid w:val="00D623E1"/>
    <w:rsid w:val="00D6346B"/>
    <w:rsid w:val="00D7086E"/>
    <w:rsid w:val="00D72D0D"/>
    <w:rsid w:val="00D76191"/>
    <w:rsid w:val="00D800B6"/>
    <w:rsid w:val="00D813DE"/>
    <w:rsid w:val="00D839F7"/>
    <w:rsid w:val="00D84A2F"/>
    <w:rsid w:val="00D8763E"/>
    <w:rsid w:val="00D907E7"/>
    <w:rsid w:val="00D91F32"/>
    <w:rsid w:val="00DA1DCD"/>
    <w:rsid w:val="00DA421B"/>
    <w:rsid w:val="00DA488B"/>
    <w:rsid w:val="00DA5B83"/>
    <w:rsid w:val="00DA65DB"/>
    <w:rsid w:val="00DA69B9"/>
    <w:rsid w:val="00DB00E7"/>
    <w:rsid w:val="00DB50CB"/>
    <w:rsid w:val="00DC33F2"/>
    <w:rsid w:val="00DC4B56"/>
    <w:rsid w:val="00DD521A"/>
    <w:rsid w:val="00DD5E3B"/>
    <w:rsid w:val="00DE03CF"/>
    <w:rsid w:val="00DE0C77"/>
    <w:rsid w:val="00DE1453"/>
    <w:rsid w:val="00DE39AD"/>
    <w:rsid w:val="00DE49F2"/>
    <w:rsid w:val="00DE7C58"/>
    <w:rsid w:val="00DF0A4C"/>
    <w:rsid w:val="00DF1EAF"/>
    <w:rsid w:val="00DF2771"/>
    <w:rsid w:val="00DF2903"/>
    <w:rsid w:val="00E01076"/>
    <w:rsid w:val="00E010C6"/>
    <w:rsid w:val="00E038C0"/>
    <w:rsid w:val="00E03C72"/>
    <w:rsid w:val="00E123C6"/>
    <w:rsid w:val="00E17810"/>
    <w:rsid w:val="00E20169"/>
    <w:rsid w:val="00E21446"/>
    <w:rsid w:val="00E218E1"/>
    <w:rsid w:val="00E233E0"/>
    <w:rsid w:val="00E24283"/>
    <w:rsid w:val="00E24D4B"/>
    <w:rsid w:val="00E25CCC"/>
    <w:rsid w:val="00E276AD"/>
    <w:rsid w:val="00E3128A"/>
    <w:rsid w:val="00E31706"/>
    <w:rsid w:val="00E31887"/>
    <w:rsid w:val="00E31F42"/>
    <w:rsid w:val="00E3311B"/>
    <w:rsid w:val="00E36CBB"/>
    <w:rsid w:val="00E4322F"/>
    <w:rsid w:val="00E449E5"/>
    <w:rsid w:val="00E44EA6"/>
    <w:rsid w:val="00E44F22"/>
    <w:rsid w:val="00E467FD"/>
    <w:rsid w:val="00E47314"/>
    <w:rsid w:val="00E53C55"/>
    <w:rsid w:val="00E55578"/>
    <w:rsid w:val="00E57B07"/>
    <w:rsid w:val="00E60749"/>
    <w:rsid w:val="00E66987"/>
    <w:rsid w:val="00E7165C"/>
    <w:rsid w:val="00E755A5"/>
    <w:rsid w:val="00E764F9"/>
    <w:rsid w:val="00E80BA5"/>
    <w:rsid w:val="00E81270"/>
    <w:rsid w:val="00E83429"/>
    <w:rsid w:val="00E84235"/>
    <w:rsid w:val="00E84D93"/>
    <w:rsid w:val="00E863B6"/>
    <w:rsid w:val="00E87FB4"/>
    <w:rsid w:val="00E94322"/>
    <w:rsid w:val="00E94FBC"/>
    <w:rsid w:val="00E973A7"/>
    <w:rsid w:val="00EA471E"/>
    <w:rsid w:val="00EA55FA"/>
    <w:rsid w:val="00EA676A"/>
    <w:rsid w:val="00EA73F1"/>
    <w:rsid w:val="00EA750F"/>
    <w:rsid w:val="00EB0676"/>
    <w:rsid w:val="00EB24E7"/>
    <w:rsid w:val="00EB4E6B"/>
    <w:rsid w:val="00EC01B4"/>
    <w:rsid w:val="00EC06DB"/>
    <w:rsid w:val="00EC34C0"/>
    <w:rsid w:val="00ED0F0A"/>
    <w:rsid w:val="00ED3FAD"/>
    <w:rsid w:val="00EE37CB"/>
    <w:rsid w:val="00EE4360"/>
    <w:rsid w:val="00EE595C"/>
    <w:rsid w:val="00EF38FE"/>
    <w:rsid w:val="00EF4D67"/>
    <w:rsid w:val="00EF5C38"/>
    <w:rsid w:val="00F00FB6"/>
    <w:rsid w:val="00F013B1"/>
    <w:rsid w:val="00F04A71"/>
    <w:rsid w:val="00F1432C"/>
    <w:rsid w:val="00F149DB"/>
    <w:rsid w:val="00F152C2"/>
    <w:rsid w:val="00F17481"/>
    <w:rsid w:val="00F25EFF"/>
    <w:rsid w:val="00F26536"/>
    <w:rsid w:val="00F3310E"/>
    <w:rsid w:val="00F33A5D"/>
    <w:rsid w:val="00F4463A"/>
    <w:rsid w:val="00F457F4"/>
    <w:rsid w:val="00F51B09"/>
    <w:rsid w:val="00F61F28"/>
    <w:rsid w:val="00F62858"/>
    <w:rsid w:val="00F65804"/>
    <w:rsid w:val="00F66559"/>
    <w:rsid w:val="00F70126"/>
    <w:rsid w:val="00F71F6A"/>
    <w:rsid w:val="00F746BB"/>
    <w:rsid w:val="00F81DA0"/>
    <w:rsid w:val="00F82C16"/>
    <w:rsid w:val="00F82D64"/>
    <w:rsid w:val="00F86A11"/>
    <w:rsid w:val="00F95CAF"/>
    <w:rsid w:val="00FA300A"/>
    <w:rsid w:val="00FA3B4A"/>
    <w:rsid w:val="00FB21C5"/>
    <w:rsid w:val="00FB3FDE"/>
    <w:rsid w:val="00FB4BF3"/>
    <w:rsid w:val="00FB4C85"/>
    <w:rsid w:val="00FB7A75"/>
    <w:rsid w:val="00FC0AC9"/>
    <w:rsid w:val="00FC5FCB"/>
    <w:rsid w:val="00FC6021"/>
    <w:rsid w:val="00FC75B2"/>
    <w:rsid w:val="00FD3A26"/>
    <w:rsid w:val="00FD4D56"/>
    <w:rsid w:val="00FD4EA5"/>
    <w:rsid w:val="00FD5043"/>
    <w:rsid w:val="00FD51E0"/>
    <w:rsid w:val="00FD5686"/>
    <w:rsid w:val="00FE1387"/>
    <w:rsid w:val="00FE2073"/>
    <w:rsid w:val="00FE47DF"/>
    <w:rsid w:val="00FE5A4F"/>
    <w:rsid w:val="00FF0BAF"/>
    <w:rsid w:val="00FF436A"/>
    <w:rsid w:val="00FF4CE8"/>
    <w:rsid w:val="0147778C"/>
    <w:rsid w:val="019711C1"/>
    <w:rsid w:val="01FB32CC"/>
    <w:rsid w:val="020E6AD8"/>
    <w:rsid w:val="022B6F5F"/>
    <w:rsid w:val="02595BF1"/>
    <w:rsid w:val="029C28DE"/>
    <w:rsid w:val="032A5F88"/>
    <w:rsid w:val="03AB3CF6"/>
    <w:rsid w:val="03D33559"/>
    <w:rsid w:val="04167576"/>
    <w:rsid w:val="048F0B62"/>
    <w:rsid w:val="057C552B"/>
    <w:rsid w:val="063F65EA"/>
    <w:rsid w:val="06A765D7"/>
    <w:rsid w:val="06D849E3"/>
    <w:rsid w:val="06E20A44"/>
    <w:rsid w:val="0771024B"/>
    <w:rsid w:val="07DA7FFB"/>
    <w:rsid w:val="07F8522D"/>
    <w:rsid w:val="08143613"/>
    <w:rsid w:val="084A24F3"/>
    <w:rsid w:val="08C56C9F"/>
    <w:rsid w:val="08C93EE6"/>
    <w:rsid w:val="08D01082"/>
    <w:rsid w:val="091F2D9D"/>
    <w:rsid w:val="096D6D43"/>
    <w:rsid w:val="097A01C7"/>
    <w:rsid w:val="09A246E7"/>
    <w:rsid w:val="09BE6112"/>
    <w:rsid w:val="0A130B6A"/>
    <w:rsid w:val="0AB15072"/>
    <w:rsid w:val="0AB24DF4"/>
    <w:rsid w:val="0B0767D1"/>
    <w:rsid w:val="0B492353"/>
    <w:rsid w:val="0BE23833"/>
    <w:rsid w:val="0BF70001"/>
    <w:rsid w:val="0C50326D"/>
    <w:rsid w:val="0C564B62"/>
    <w:rsid w:val="0CA864AF"/>
    <w:rsid w:val="0CC52184"/>
    <w:rsid w:val="0CF31220"/>
    <w:rsid w:val="0DD84B72"/>
    <w:rsid w:val="0DF071A5"/>
    <w:rsid w:val="0E3417C5"/>
    <w:rsid w:val="0E8E5BB3"/>
    <w:rsid w:val="0ED3748E"/>
    <w:rsid w:val="0EE20AF5"/>
    <w:rsid w:val="0FE91E54"/>
    <w:rsid w:val="101939B6"/>
    <w:rsid w:val="10270E0E"/>
    <w:rsid w:val="10823118"/>
    <w:rsid w:val="114C656E"/>
    <w:rsid w:val="117A5E21"/>
    <w:rsid w:val="12801279"/>
    <w:rsid w:val="12A14823"/>
    <w:rsid w:val="12B55105"/>
    <w:rsid w:val="12F2507E"/>
    <w:rsid w:val="13023513"/>
    <w:rsid w:val="13137F4F"/>
    <w:rsid w:val="136A47AB"/>
    <w:rsid w:val="1411558A"/>
    <w:rsid w:val="14226311"/>
    <w:rsid w:val="14364D57"/>
    <w:rsid w:val="14CF5677"/>
    <w:rsid w:val="15103F50"/>
    <w:rsid w:val="155F2044"/>
    <w:rsid w:val="15632263"/>
    <w:rsid w:val="15720A1C"/>
    <w:rsid w:val="15CD0D34"/>
    <w:rsid w:val="15DA2525"/>
    <w:rsid w:val="1617757E"/>
    <w:rsid w:val="163075C3"/>
    <w:rsid w:val="172726C6"/>
    <w:rsid w:val="176C3EAC"/>
    <w:rsid w:val="179D20BB"/>
    <w:rsid w:val="17DD2743"/>
    <w:rsid w:val="17F6253A"/>
    <w:rsid w:val="185F457F"/>
    <w:rsid w:val="19005238"/>
    <w:rsid w:val="192817FA"/>
    <w:rsid w:val="196E1671"/>
    <w:rsid w:val="19AF3D78"/>
    <w:rsid w:val="19B17A41"/>
    <w:rsid w:val="19CE05F3"/>
    <w:rsid w:val="19D2695D"/>
    <w:rsid w:val="19E227DB"/>
    <w:rsid w:val="1AAC2C90"/>
    <w:rsid w:val="1AB241E3"/>
    <w:rsid w:val="1B3D30E3"/>
    <w:rsid w:val="1B6E093B"/>
    <w:rsid w:val="1BF6798D"/>
    <w:rsid w:val="1C4226EC"/>
    <w:rsid w:val="1CB24001"/>
    <w:rsid w:val="1CBD66FD"/>
    <w:rsid w:val="1CE870E1"/>
    <w:rsid w:val="1D104E5D"/>
    <w:rsid w:val="1DB23E19"/>
    <w:rsid w:val="1DCB4E4A"/>
    <w:rsid w:val="1E206812"/>
    <w:rsid w:val="1E2A152E"/>
    <w:rsid w:val="1E3D0296"/>
    <w:rsid w:val="1E502EE9"/>
    <w:rsid w:val="1EDD63DA"/>
    <w:rsid w:val="1F422EEA"/>
    <w:rsid w:val="1F5F24C8"/>
    <w:rsid w:val="1F710BB1"/>
    <w:rsid w:val="1F866355"/>
    <w:rsid w:val="1FC87893"/>
    <w:rsid w:val="202C3CC2"/>
    <w:rsid w:val="207D1C02"/>
    <w:rsid w:val="20C04A0E"/>
    <w:rsid w:val="210C7636"/>
    <w:rsid w:val="219C0FD7"/>
    <w:rsid w:val="22471F95"/>
    <w:rsid w:val="226662F7"/>
    <w:rsid w:val="228E19C3"/>
    <w:rsid w:val="22EC26A4"/>
    <w:rsid w:val="22FB224E"/>
    <w:rsid w:val="23531025"/>
    <w:rsid w:val="237869FA"/>
    <w:rsid w:val="23974966"/>
    <w:rsid w:val="23F22CE8"/>
    <w:rsid w:val="25011468"/>
    <w:rsid w:val="25B849F4"/>
    <w:rsid w:val="25EA78A7"/>
    <w:rsid w:val="261C26E6"/>
    <w:rsid w:val="27220408"/>
    <w:rsid w:val="27D52B4D"/>
    <w:rsid w:val="280653FC"/>
    <w:rsid w:val="28155532"/>
    <w:rsid w:val="287507BD"/>
    <w:rsid w:val="28821521"/>
    <w:rsid w:val="290B259E"/>
    <w:rsid w:val="291F36A4"/>
    <w:rsid w:val="299F48DE"/>
    <w:rsid w:val="29C341AD"/>
    <w:rsid w:val="29FD0139"/>
    <w:rsid w:val="2A4B5348"/>
    <w:rsid w:val="2A944F41"/>
    <w:rsid w:val="2A9D2A82"/>
    <w:rsid w:val="2ABC4498"/>
    <w:rsid w:val="2B3109E2"/>
    <w:rsid w:val="2B6D1B8B"/>
    <w:rsid w:val="2B726905"/>
    <w:rsid w:val="2B8B1D7C"/>
    <w:rsid w:val="2BC05E6D"/>
    <w:rsid w:val="2C2E3173"/>
    <w:rsid w:val="2CA35285"/>
    <w:rsid w:val="2D15134F"/>
    <w:rsid w:val="2D20474A"/>
    <w:rsid w:val="2E0E3854"/>
    <w:rsid w:val="2E5947EE"/>
    <w:rsid w:val="2E734E6D"/>
    <w:rsid w:val="2F2D026E"/>
    <w:rsid w:val="2F6A0ADD"/>
    <w:rsid w:val="2FD27F5A"/>
    <w:rsid w:val="301C1FA3"/>
    <w:rsid w:val="30B5191F"/>
    <w:rsid w:val="31475D72"/>
    <w:rsid w:val="31E6045D"/>
    <w:rsid w:val="32990C99"/>
    <w:rsid w:val="33972538"/>
    <w:rsid w:val="33C817B8"/>
    <w:rsid w:val="33D0303D"/>
    <w:rsid w:val="34784C72"/>
    <w:rsid w:val="34FD4408"/>
    <w:rsid w:val="350E418F"/>
    <w:rsid w:val="354864B0"/>
    <w:rsid w:val="35AE42B8"/>
    <w:rsid w:val="35B549A8"/>
    <w:rsid w:val="35BA14CC"/>
    <w:rsid w:val="364A59B8"/>
    <w:rsid w:val="37197A7F"/>
    <w:rsid w:val="372238D5"/>
    <w:rsid w:val="375021F0"/>
    <w:rsid w:val="37AA0D6C"/>
    <w:rsid w:val="382270DF"/>
    <w:rsid w:val="382F4F9D"/>
    <w:rsid w:val="3839168C"/>
    <w:rsid w:val="387E0FDF"/>
    <w:rsid w:val="38933968"/>
    <w:rsid w:val="38A57C30"/>
    <w:rsid w:val="38B642D4"/>
    <w:rsid w:val="38D2461D"/>
    <w:rsid w:val="390C0398"/>
    <w:rsid w:val="39356615"/>
    <w:rsid w:val="3A142CB4"/>
    <w:rsid w:val="3A1F1CA3"/>
    <w:rsid w:val="3AC96C9F"/>
    <w:rsid w:val="3B00239C"/>
    <w:rsid w:val="3B8701AA"/>
    <w:rsid w:val="3BCE2CBA"/>
    <w:rsid w:val="3BD44A1D"/>
    <w:rsid w:val="3BF07BCA"/>
    <w:rsid w:val="3C207D0A"/>
    <w:rsid w:val="3C2F0CCE"/>
    <w:rsid w:val="3C6401A5"/>
    <w:rsid w:val="3C683D83"/>
    <w:rsid w:val="3CC00FB0"/>
    <w:rsid w:val="3CC571DC"/>
    <w:rsid w:val="3CD218B8"/>
    <w:rsid w:val="3D8E333B"/>
    <w:rsid w:val="3DB51D63"/>
    <w:rsid w:val="3E122832"/>
    <w:rsid w:val="3E2A46C6"/>
    <w:rsid w:val="3E833885"/>
    <w:rsid w:val="3EEF0540"/>
    <w:rsid w:val="3F1A31C1"/>
    <w:rsid w:val="3FE0432D"/>
    <w:rsid w:val="40440328"/>
    <w:rsid w:val="408E649E"/>
    <w:rsid w:val="4101455B"/>
    <w:rsid w:val="410A1661"/>
    <w:rsid w:val="41191CD4"/>
    <w:rsid w:val="417B41B3"/>
    <w:rsid w:val="41C31810"/>
    <w:rsid w:val="42721168"/>
    <w:rsid w:val="42B51912"/>
    <w:rsid w:val="43165D4F"/>
    <w:rsid w:val="43BE6733"/>
    <w:rsid w:val="44BD5813"/>
    <w:rsid w:val="45431D84"/>
    <w:rsid w:val="45B17CD1"/>
    <w:rsid w:val="45E71EA4"/>
    <w:rsid w:val="467A6837"/>
    <w:rsid w:val="46BF4C9C"/>
    <w:rsid w:val="47043449"/>
    <w:rsid w:val="47AB46EF"/>
    <w:rsid w:val="48644C04"/>
    <w:rsid w:val="495823EB"/>
    <w:rsid w:val="49970B50"/>
    <w:rsid w:val="49B22896"/>
    <w:rsid w:val="49BF3DF5"/>
    <w:rsid w:val="49D00F6E"/>
    <w:rsid w:val="4A3F71CA"/>
    <w:rsid w:val="4C194C24"/>
    <w:rsid w:val="4CB9218D"/>
    <w:rsid w:val="4D134867"/>
    <w:rsid w:val="4D256C6B"/>
    <w:rsid w:val="4DFC0584"/>
    <w:rsid w:val="4E6F2ABE"/>
    <w:rsid w:val="50037037"/>
    <w:rsid w:val="50080B46"/>
    <w:rsid w:val="50AB0E23"/>
    <w:rsid w:val="510571AB"/>
    <w:rsid w:val="51500121"/>
    <w:rsid w:val="518734E1"/>
    <w:rsid w:val="52382789"/>
    <w:rsid w:val="52412A09"/>
    <w:rsid w:val="52662470"/>
    <w:rsid w:val="526D6724"/>
    <w:rsid w:val="530E522F"/>
    <w:rsid w:val="53A63921"/>
    <w:rsid w:val="544908F4"/>
    <w:rsid w:val="54D538DD"/>
    <w:rsid w:val="55482300"/>
    <w:rsid w:val="55BA20CE"/>
    <w:rsid w:val="55F07B4B"/>
    <w:rsid w:val="560950E0"/>
    <w:rsid w:val="560B59B6"/>
    <w:rsid w:val="561B35A6"/>
    <w:rsid w:val="564937C0"/>
    <w:rsid w:val="576F1C6B"/>
    <w:rsid w:val="578A4E52"/>
    <w:rsid w:val="579A58EE"/>
    <w:rsid w:val="581C299B"/>
    <w:rsid w:val="583461DE"/>
    <w:rsid w:val="583827CC"/>
    <w:rsid w:val="59832A6D"/>
    <w:rsid w:val="5A234A96"/>
    <w:rsid w:val="5AC44E12"/>
    <w:rsid w:val="5AD1428A"/>
    <w:rsid w:val="5B81031A"/>
    <w:rsid w:val="5BE7379F"/>
    <w:rsid w:val="5C012903"/>
    <w:rsid w:val="5CA1303D"/>
    <w:rsid w:val="5CBA006D"/>
    <w:rsid w:val="5CD67722"/>
    <w:rsid w:val="5CDB7082"/>
    <w:rsid w:val="5D64787A"/>
    <w:rsid w:val="5DB90B41"/>
    <w:rsid w:val="5DE20046"/>
    <w:rsid w:val="5E0A45F7"/>
    <w:rsid w:val="5E3A438D"/>
    <w:rsid w:val="5EB20E7C"/>
    <w:rsid w:val="5F5A485D"/>
    <w:rsid w:val="5F6E6E08"/>
    <w:rsid w:val="5F7B0D9C"/>
    <w:rsid w:val="5FBF0F8C"/>
    <w:rsid w:val="601D72AB"/>
    <w:rsid w:val="60624034"/>
    <w:rsid w:val="60E62747"/>
    <w:rsid w:val="612D1BAC"/>
    <w:rsid w:val="616E701B"/>
    <w:rsid w:val="62A0602A"/>
    <w:rsid w:val="62D82CBA"/>
    <w:rsid w:val="63380095"/>
    <w:rsid w:val="644E6E76"/>
    <w:rsid w:val="64F63C23"/>
    <w:rsid w:val="64FB62C6"/>
    <w:rsid w:val="656049EB"/>
    <w:rsid w:val="658C7891"/>
    <w:rsid w:val="65A173C2"/>
    <w:rsid w:val="65FE7137"/>
    <w:rsid w:val="67254250"/>
    <w:rsid w:val="675905EC"/>
    <w:rsid w:val="67896ED4"/>
    <w:rsid w:val="67D644DA"/>
    <w:rsid w:val="68077DF9"/>
    <w:rsid w:val="68FA00BE"/>
    <w:rsid w:val="693115D2"/>
    <w:rsid w:val="693E2CED"/>
    <w:rsid w:val="698C4A5A"/>
    <w:rsid w:val="69A006E9"/>
    <w:rsid w:val="69C854A2"/>
    <w:rsid w:val="6A14313F"/>
    <w:rsid w:val="6A467321"/>
    <w:rsid w:val="6A6F6172"/>
    <w:rsid w:val="6BBB6B63"/>
    <w:rsid w:val="6BE3165E"/>
    <w:rsid w:val="6C755F5C"/>
    <w:rsid w:val="6C805AE4"/>
    <w:rsid w:val="6C9E6F7E"/>
    <w:rsid w:val="6CB24F13"/>
    <w:rsid w:val="6CCB3AEB"/>
    <w:rsid w:val="6D3B287B"/>
    <w:rsid w:val="6DA85BDA"/>
    <w:rsid w:val="6F2125BF"/>
    <w:rsid w:val="6FB57961"/>
    <w:rsid w:val="70012AEC"/>
    <w:rsid w:val="701F12FF"/>
    <w:rsid w:val="705C3FCD"/>
    <w:rsid w:val="71125845"/>
    <w:rsid w:val="715416A2"/>
    <w:rsid w:val="716C78FB"/>
    <w:rsid w:val="71B2729A"/>
    <w:rsid w:val="721B2E1F"/>
    <w:rsid w:val="72276892"/>
    <w:rsid w:val="72430BAD"/>
    <w:rsid w:val="724459B3"/>
    <w:rsid w:val="725A3947"/>
    <w:rsid w:val="72ED47BB"/>
    <w:rsid w:val="72FB3430"/>
    <w:rsid w:val="73465C7A"/>
    <w:rsid w:val="73942E89"/>
    <w:rsid w:val="73A83850"/>
    <w:rsid w:val="73D12E1B"/>
    <w:rsid w:val="746C1558"/>
    <w:rsid w:val="74C90910"/>
    <w:rsid w:val="74CA40F9"/>
    <w:rsid w:val="74DA4C19"/>
    <w:rsid w:val="7591011F"/>
    <w:rsid w:val="759606DB"/>
    <w:rsid w:val="75A0149F"/>
    <w:rsid w:val="75F06371"/>
    <w:rsid w:val="764D5914"/>
    <w:rsid w:val="773B4469"/>
    <w:rsid w:val="77E94154"/>
    <w:rsid w:val="781A13F0"/>
    <w:rsid w:val="78760DAF"/>
    <w:rsid w:val="789D5156"/>
    <w:rsid w:val="79111620"/>
    <w:rsid w:val="7963467E"/>
    <w:rsid w:val="79BC4EE7"/>
    <w:rsid w:val="7A2B204E"/>
    <w:rsid w:val="7A401F11"/>
    <w:rsid w:val="7AD27912"/>
    <w:rsid w:val="7B0F0D14"/>
    <w:rsid w:val="7B95062D"/>
    <w:rsid w:val="7C114A76"/>
    <w:rsid w:val="7C75184C"/>
    <w:rsid w:val="7CD459A8"/>
    <w:rsid w:val="7CDC31AB"/>
    <w:rsid w:val="7CED21F4"/>
    <w:rsid w:val="7D366D5F"/>
    <w:rsid w:val="7DA04395"/>
    <w:rsid w:val="7DB8350B"/>
    <w:rsid w:val="7DB97161"/>
    <w:rsid w:val="7DC425BD"/>
    <w:rsid w:val="7DEE0806"/>
    <w:rsid w:val="7DF322C3"/>
    <w:rsid w:val="7E1B3B25"/>
    <w:rsid w:val="7E3F7A9F"/>
    <w:rsid w:val="7F192494"/>
    <w:rsid w:val="7F2836E9"/>
    <w:rsid w:val="7F791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kern w:val="2"/>
      <w:sz w:val="24"/>
      <w:szCs w:val="24"/>
      <w:lang w:val="en-US" w:eastAsia="zh-CN" w:bidi="ar-SA"/>
      <w14:ligatures w14:val="standardContextual"/>
    </w:rPr>
  </w:style>
  <w:style w:type="paragraph" w:styleId="2">
    <w:name w:val="heading 1"/>
    <w:basedOn w:val="1"/>
    <w:next w:val="1"/>
    <w:link w:val="31"/>
    <w:qFormat/>
    <w:uiPriority w:val="9"/>
    <w:pPr>
      <w:outlineLvl w:val="0"/>
    </w:pPr>
    <w:rPr>
      <w:b/>
      <w:bCs/>
      <w:sz w:val="28"/>
      <w:szCs w:val="28"/>
    </w:rPr>
  </w:style>
  <w:style w:type="paragraph" w:styleId="3">
    <w:name w:val="heading 2"/>
    <w:basedOn w:val="2"/>
    <w:next w:val="1"/>
    <w:link w:val="32"/>
    <w:unhideWhenUsed/>
    <w:qFormat/>
    <w:uiPriority w:val="9"/>
    <w:pPr>
      <w:outlineLvl w:val="1"/>
    </w:pPr>
    <w:rPr>
      <w:sz w:val="24"/>
      <w:szCs w:val="24"/>
    </w:rPr>
  </w:style>
  <w:style w:type="paragraph" w:styleId="4">
    <w:name w:val="heading 3"/>
    <w:basedOn w:val="1"/>
    <w:next w:val="1"/>
    <w:unhideWhenUsed/>
    <w:qFormat/>
    <w:uiPriority w:val="9"/>
    <w:pPr>
      <w:spacing w:beforeAutospacing="0" w:afterAutospacing="0"/>
      <w:outlineLvl w:val="2"/>
    </w:pPr>
    <w:rPr>
      <w:rFonts w:hint="eastAsia" w:ascii="Times New Roman" w:hAnsi="Times New Roman"/>
      <w:b/>
      <w:bCs/>
      <w:kern w:val="0"/>
    </w:rPr>
  </w:style>
  <w:style w:type="paragraph" w:styleId="5">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7">
    <w:name w:val="annotation text"/>
    <w:basedOn w:val="1"/>
    <w:link w:val="38"/>
    <w:unhideWhenUsed/>
    <w:qFormat/>
    <w:uiPriority w:val="99"/>
    <w:pPr>
      <w:spacing w:line="240" w:lineRule="auto"/>
    </w:pPr>
    <w:rPr>
      <w:sz w:val="20"/>
      <w:szCs w:val="20"/>
    </w:rPr>
  </w:style>
  <w:style w:type="paragraph" w:styleId="8">
    <w:name w:val="toc 3"/>
    <w:basedOn w:val="1"/>
    <w:next w:val="1"/>
    <w:semiHidden/>
    <w:unhideWhenUsed/>
    <w:qFormat/>
    <w:uiPriority w:val="39"/>
    <w:pPr>
      <w:ind w:left="840" w:leftChars="400"/>
    </w:pPr>
  </w:style>
  <w:style w:type="paragraph" w:styleId="9">
    <w:name w:val="footer"/>
    <w:basedOn w:val="1"/>
    <w:link w:val="29"/>
    <w:unhideWhenUsed/>
    <w:qFormat/>
    <w:uiPriority w:val="99"/>
    <w:pPr>
      <w:tabs>
        <w:tab w:val="center" w:pos="4680"/>
        <w:tab w:val="right" w:pos="9360"/>
      </w:tabs>
    </w:pPr>
  </w:style>
  <w:style w:type="paragraph" w:styleId="10">
    <w:name w:val="header"/>
    <w:basedOn w:val="1"/>
    <w:link w:val="28"/>
    <w:unhideWhenUsed/>
    <w:qFormat/>
    <w:uiPriority w:val="99"/>
    <w:pPr>
      <w:tabs>
        <w:tab w:val="center" w:pos="4680"/>
        <w:tab w:val="right" w:pos="9360"/>
      </w:tabs>
    </w:p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ind w:left="420" w:leftChars="200"/>
    </w:pPr>
  </w:style>
  <w:style w:type="paragraph" w:styleId="13">
    <w:name w:val="Normal (Web)"/>
    <w:basedOn w:val="1"/>
    <w:semiHidden/>
    <w:unhideWhenUsed/>
    <w:qFormat/>
    <w:uiPriority w:val="99"/>
  </w:style>
  <w:style w:type="paragraph" w:styleId="14">
    <w:name w:val="Title"/>
    <w:basedOn w:val="1"/>
    <w:next w:val="1"/>
    <w:link w:val="30"/>
    <w:qFormat/>
    <w:uiPriority w:val="10"/>
    <w:pPr>
      <w:contextualSpacing/>
    </w:pPr>
    <w:rPr>
      <w:rFonts w:eastAsiaTheme="majorEastAsia" w:cstheme="minorHAnsi"/>
      <w:b/>
      <w:bCs/>
      <w:spacing w:val="-10"/>
      <w:kern w:val="28"/>
      <w:sz w:val="40"/>
      <w:szCs w:val="40"/>
    </w:rPr>
  </w:style>
  <w:style w:type="paragraph" w:styleId="15">
    <w:name w:val="annotation subject"/>
    <w:basedOn w:val="7"/>
    <w:next w:val="7"/>
    <w:link w:val="39"/>
    <w:semiHidden/>
    <w:unhideWhenUsed/>
    <w:qFormat/>
    <w:uiPriority w:val="99"/>
    <w:rPr>
      <w:b/>
      <w:bCs/>
    </w:rPr>
  </w:style>
  <w:style w:type="table" w:styleId="17">
    <w:name w:val="Table Grid"/>
    <w:basedOn w:val="16"/>
    <w:qFormat/>
    <w:uiPriority w:val="39"/>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styleId="20">
    <w:name w:val="page number"/>
    <w:basedOn w:val="18"/>
    <w:semiHidden/>
    <w:unhideWhenUsed/>
    <w:qFormat/>
    <w:uiPriority w:val="99"/>
  </w:style>
  <w:style w:type="character" w:styleId="21">
    <w:name w:val="Emphasis"/>
    <w:basedOn w:val="18"/>
    <w:qFormat/>
    <w:uiPriority w:val="20"/>
    <w:rPr>
      <w:i/>
    </w:rPr>
  </w:style>
  <w:style w:type="character" w:styleId="22">
    <w:name w:val="line number"/>
    <w:basedOn w:val="18"/>
    <w:semiHidden/>
    <w:unhideWhenUsed/>
    <w:qFormat/>
    <w:uiPriority w:val="99"/>
  </w:style>
  <w:style w:type="character" w:styleId="23">
    <w:name w:val="Hyperlink"/>
    <w:basedOn w:val="18"/>
    <w:unhideWhenUsed/>
    <w:qFormat/>
    <w:uiPriority w:val="99"/>
    <w:rPr>
      <w:color w:val="0563C1" w:themeColor="hyperlink"/>
      <w:u w:val="single"/>
      <w14:textFill>
        <w14:solidFill>
          <w14:schemeClr w14:val="hlink"/>
        </w14:solidFill>
      </w14:textFill>
    </w:rPr>
  </w:style>
  <w:style w:type="character" w:styleId="24">
    <w:name w:val="HTML Code"/>
    <w:basedOn w:val="18"/>
    <w:semiHidden/>
    <w:unhideWhenUsed/>
    <w:qFormat/>
    <w:uiPriority w:val="99"/>
    <w:rPr>
      <w:rFonts w:ascii="Courier New" w:hAnsi="Courier New"/>
      <w:sz w:val="20"/>
    </w:rPr>
  </w:style>
  <w:style w:type="character" w:styleId="25">
    <w:name w:val="annotation reference"/>
    <w:basedOn w:val="18"/>
    <w:semiHidden/>
    <w:unhideWhenUsed/>
    <w:qFormat/>
    <w:uiPriority w:val="99"/>
    <w:rPr>
      <w:sz w:val="16"/>
      <w:szCs w:val="16"/>
    </w:rPr>
  </w:style>
  <w:style w:type="paragraph" w:customStyle="1" w:styleId="26">
    <w:name w:val="图表名"/>
    <w:basedOn w:val="1"/>
    <w:next w:val="1"/>
    <w:qFormat/>
    <w:uiPriority w:val="0"/>
    <w:pPr>
      <w:spacing w:line="240" w:lineRule="auto"/>
    </w:pPr>
    <w:rPr>
      <w:rFonts w:hint="eastAsia"/>
      <w:b/>
      <w:bCs/>
      <w:sz w:val="21"/>
      <w:szCs w:val="21"/>
    </w:rPr>
  </w:style>
  <w:style w:type="paragraph" w:styleId="27">
    <w:name w:val="List Paragraph"/>
    <w:basedOn w:val="1"/>
    <w:qFormat/>
    <w:uiPriority w:val="34"/>
    <w:pPr>
      <w:ind w:left="720"/>
      <w:contextualSpacing/>
    </w:pPr>
  </w:style>
  <w:style w:type="character" w:customStyle="1" w:styleId="28">
    <w:name w:val="页眉 字符"/>
    <w:basedOn w:val="18"/>
    <w:link w:val="10"/>
    <w:qFormat/>
    <w:uiPriority w:val="99"/>
  </w:style>
  <w:style w:type="character" w:customStyle="1" w:styleId="29">
    <w:name w:val="页脚 字符"/>
    <w:basedOn w:val="18"/>
    <w:link w:val="9"/>
    <w:qFormat/>
    <w:uiPriority w:val="99"/>
  </w:style>
  <w:style w:type="character" w:customStyle="1" w:styleId="30">
    <w:name w:val="标题 字符"/>
    <w:basedOn w:val="18"/>
    <w:link w:val="14"/>
    <w:qFormat/>
    <w:uiPriority w:val="10"/>
    <w:rPr>
      <w:rFonts w:eastAsiaTheme="majorEastAsia" w:cstheme="minorHAnsi"/>
      <w:b/>
      <w:bCs/>
      <w:spacing w:val="-10"/>
      <w:kern w:val="28"/>
      <w:sz w:val="40"/>
      <w:szCs w:val="40"/>
    </w:rPr>
  </w:style>
  <w:style w:type="character" w:customStyle="1" w:styleId="31">
    <w:name w:val="标题 1 字符"/>
    <w:basedOn w:val="18"/>
    <w:link w:val="2"/>
    <w:qFormat/>
    <w:uiPriority w:val="9"/>
    <w:rPr>
      <w:b/>
      <w:bCs/>
      <w:sz w:val="28"/>
      <w:szCs w:val="28"/>
    </w:rPr>
  </w:style>
  <w:style w:type="character" w:customStyle="1" w:styleId="32">
    <w:name w:val="标题 2 字符"/>
    <w:basedOn w:val="18"/>
    <w:link w:val="3"/>
    <w:qFormat/>
    <w:uiPriority w:val="9"/>
    <w:rPr>
      <w:b/>
      <w:bCs/>
    </w:rPr>
  </w:style>
  <w:style w:type="paragraph" w:customStyle="1" w:styleId="33">
    <w:name w:val="EndNote Bibliography Title"/>
    <w:basedOn w:val="1"/>
    <w:link w:val="34"/>
    <w:qFormat/>
    <w:uiPriority w:val="0"/>
    <w:pPr>
      <w:jc w:val="center"/>
    </w:pPr>
    <w:rPr>
      <w:rFonts w:ascii="Times New Roman" w:hAnsi="Times New Roman" w:cs="Times New Roman"/>
    </w:rPr>
  </w:style>
  <w:style w:type="character" w:customStyle="1" w:styleId="34">
    <w:name w:val="EndNote Bibliography Title Char"/>
    <w:basedOn w:val="18"/>
    <w:link w:val="33"/>
    <w:qFormat/>
    <w:uiPriority w:val="0"/>
    <w:rPr>
      <w:rFonts w:ascii="Times New Roman" w:hAnsi="Times New Roman" w:cs="Times New Roman"/>
      <w:kern w:val="2"/>
      <w:sz w:val="24"/>
      <w:szCs w:val="24"/>
      <w14:ligatures w14:val="standardContextual"/>
    </w:rPr>
  </w:style>
  <w:style w:type="paragraph" w:customStyle="1" w:styleId="35">
    <w:name w:val="EndNote Bibliography"/>
    <w:basedOn w:val="1"/>
    <w:link w:val="36"/>
    <w:qFormat/>
    <w:uiPriority w:val="0"/>
    <w:pPr>
      <w:spacing w:line="240" w:lineRule="auto"/>
    </w:pPr>
    <w:rPr>
      <w:rFonts w:ascii="Times New Roman" w:hAnsi="Times New Roman" w:cs="Times New Roman"/>
    </w:rPr>
  </w:style>
  <w:style w:type="character" w:customStyle="1" w:styleId="36">
    <w:name w:val="EndNote Bibliography Char"/>
    <w:basedOn w:val="18"/>
    <w:link w:val="35"/>
    <w:qFormat/>
    <w:uiPriority w:val="0"/>
    <w:rPr>
      <w:rFonts w:ascii="Times New Roman" w:hAnsi="Times New Roman" w:cs="Times New Roman"/>
      <w:kern w:val="2"/>
      <w:sz w:val="24"/>
      <w:szCs w:val="24"/>
      <w14:ligatures w14:val="standardContextual"/>
    </w:rPr>
  </w:style>
  <w:style w:type="character" w:customStyle="1" w:styleId="37">
    <w:name w:val="Unresolved Mention1"/>
    <w:basedOn w:val="18"/>
    <w:semiHidden/>
    <w:unhideWhenUsed/>
    <w:qFormat/>
    <w:uiPriority w:val="99"/>
    <w:rPr>
      <w:color w:val="605E5C"/>
      <w:shd w:val="clear" w:color="auto" w:fill="E1DFDD"/>
    </w:rPr>
  </w:style>
  <w:style w:type="character" w:customStyle="1" w:styleId="38">
    <w:name w:val="批注文字 字符"/>
    <w:basedOn w:val="18"/>
    <w:link w:val="7"/>
    <w:qFormat/>
    <w:uiPriority w:val="99"/>
    <w:rPr>
      <w:sz w:val="20"/>
      <w:szCs w:val="20"/>
    </w:rPr>
  </w:style>
  <w:style w:type="character" w:customStyle="1" w:styleId="39">
    <w:name w:val="批注主题 字符"/>
    <w:basedOn w:val="38"/>
    <w:link w:val="15"/>
    <w:semiHidden/>
    <w:qFormat/>
    <w:uiPriority w:val="99"/>
    <w:rPr>
      <w:b/>
      <w:bCs/>
      <w:sz w:val="20"/>
      <w:szCs w:val="20"/>
    </w:rPr>
  </w:style>
  <w:style w:type="paragraph" w:customStyle="1" w:styleId="40">
    <w:name w:val="Revision1"/>
    <w:hidden/>
    <w:semiHidden/>
    <w:qFormat/>
    <w:uiPriority w:val="99"/>
    <w:rPr>
      <w:rFonts w:asciiTheme="minorHAnsi" w:hAnsiTheme="minorHAnsi" w:eastAsiaTheme="minorEastAsia" w:cstheme="minorBidi"/>
      <w:kern w:val="2"/>
      <w:sz w:val="24"/>
      <w:szCs w:val="24"/>
      <w:lang w:val="en-US" w:eastAsia="zh-CN" w:bidi="ar-SA"/>
      <w14:ligatures w14:val="standardContextual"/>
    </w:rPr>
  </w:style>
  <w:style w:type="paragraph" w:customStyle="1" w:styleId="41">
    <w:name w:val="p1"/>
    <w:basedOn w:val="1"/>
    <w:qFormat/>
    <w:uiPriority w:val="0"/>
    <w:pPr>
      <w:spacing w:line="240" w:lineRule="auto"/>
    </w:pPr>
    <w:rPr>
      <w:rFonts w:ascii=".AppleSystemUIFont" w:hAnsi=".AppleSystemUIFont" w:eastAsia="Times New Roman"/>
      <w:color w:val="0E0E0E"/>
      <w:kern w:val="0"/>
      <w:sz w:val="21"/>
      <w:szCs w:val="21"/>
      <w14:ligatures w14:val="none"/>
    </w:rPr>
  </w:style>
  <w:style w:type="paragraph" w:customStyle="1" w:styleId="42">
    <w:name w:val="修订1"/>
    <w:hidden/>
    <w:unhideWhenUsed/>
    <w:qFormat/>
    <w:uiPriority w:val="99"/>
    <w:rPr>
      <w:rFonts w:ascii="Times New Roman" w:hAnsi="Times New Roman" w:eastAsia="宋体" w:cs="Times New Roman"/>
      <w:kern w:val="2"/>
      <w:sz w:val="24"/>
      <w:szCs w:val="24"/>
      <w:lang w:val="en-US" w:eastAsia="zh-CN" w:bidi="ar-SA"/>
      <w14:ligatures w14:val="standardContextual"/>
    </w:rPr>
  </w:style>
  <w:style w:type="paragraph" w:customStyle="1" w:styleId="43">
    <w:name w:val="Revision"/>
    <w:hidden/>
    <w:unhideWhenUsed/>
    <w:qFormat/>
    <w:uiPriority w:val="99"/>
    <w:rPr>
      <w:rFonts w:ascii="Times New Roman" w:hAnsi="Times New Roman" w:eastAsia="宋体" w:cs="Times New Roman"/>
      <w:kern w:val="2"/>
      <w:sz w:val="24"/>
      <w:szCs w:val="24"/>
      <w:lang w:val="en-US" w:eastAsia="zh-CN" w:bidi="ar-SA"/>
      <w14:ligatures w14:val="standardContextual"/>
    </w:rPr>
  </w:style>
  <w:style w:type="character" w:customStyle="1" w:styleId="44">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06660-258D-4ADB-9F0B-9D19472550D8}">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1047</Words>
  <Characters>6622</Characters>
  <Lines>2549</Lines>
  <Paragraphs>971</Paragraphs>
  <TotalTime>153</TotalTime>
  <ScaleCrop>false</ScaleCrop>
  <LinksUpToDate>false</LinksUpToDate>
  <CharactersWithSpaces>7676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2026-02-28T12:53:00Z</dcterms:created>
  <dc:creator>Microsoft Office User</dc:creator>
  <cp:lastModifiedBy>Miracle</cp:lastModifiedBy>
  <dcterms:modified xsi:type="dcterms:W3CDTF">2026-05-23T08:27:16Z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eyJoZGlkIjoiMzEwNTM5NzYwMDRjMzkwZTVkZjY2ODkwMGIxNGU0OTUiLCJ1c2VySWQiOiIzOTI3OTczODgifQ==</vt:lpwstr>
  </property>
  <property fmtid="{D5CDD505-2E9C-101B-9397-08002B2CF9AE}" pid="3" name="KSOProductBuildVer">
    <vt:lpwstr>2052-12.1.0.21541</vt:lpwstr>
  </property>
  <property fmtid="{D5CDD505-2E9C-101B-9397-08002B2CF9AE}" pid="4" name="ICV">
    <vt:lpwstr>5D8ECD17616248428D190668560898E9_12</vt:lpwstr>
  </property>
  <property fmtid="{D5CDD505-2E9C-101B-9397-08002B2CF9AE}" pid="5" name="GrammarlyDocumentId">
    <vt:lpwstr>8c7acee3-fdd1-435c-a436-a9d6f3c43b75</vt:lpwstr>
  </property>
</Properties>
</file>