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B34F" w14:textId="161594BD" w:rsidR="00183178" w:rsidRPr="00CB2944" w:rsidRDefault="00000000" w:rsidP="00CB2944">
      <w:pPr>
        <w:jc w:val="both"/>
        <w:rPr>
          <w:rFonts w:cs="Times New Roman"/>
          <w:b/>
          <w:bCs/>
        </w:rPr>
      </w:pPr>
      <w:r w:rsidRPr="00CB2944">
        <w:rPr>
          <w:rFonts w:cs="Times New Roman"/>
          <w:b/>
          <w:bCs/>
          <w:color w:val="000000"/>
        </w:rPr>
        <w:t>COSMIN Reporting Guideline — Studies on Measurement Properties of Patient-Reported / Health-Status Instruments</w:t>
      </w:r>
    </w:p>
    <w:tbl>
      <w:tblPr>
        <w:tblStyle w:val="LightGrid-Accent1"/>
        <w:tblW w:w="9378" w:type="dxa"/>
        <w:tblLook w:val="04A0" w:firstRow="1" w:lastRow="0" w:firstColumn="1" w:lastColumn="0" w:noHBand="0" w:noVBand="1"/>
      </w:tblPr>
      <w:tblGrid>
        <w:gridCol w:w="1732"/>
        <w:gridCol w:w="695"/>
        <w:gridCol w:w="2355"/>
        <w:gridCol w:w="2649"/>
        <w:gridCol w:w="1947"/>
      </w:tblGrid>
      <w:tr w:rsidR="00183178" w:rsidRPr="00CB2944" w14:paraId="7AECA117" w14:textId="77777777" w:rsidTr="00CB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59A674" w14:textId="77777777" w:rsidR="00183178" w:rsidRPr="00CB2944" w:rsidRDefault="00000000" w:rsidP="00CB2944">
            <w:pPr>
              <w:jc w:val="center"/>
              <w:rPr>
                <w:rFonts w:cs="Times New Roman"/>
                <w:color w:val="000000" w:themeColor="text1"/>
              </w:rPr>
            </w:pPr>
            <w:r w:rsidRPr="00CB2944">
              <w:rPr>
                <w:rFonts w:cs="Times New Roman"/>
                <w:color w:val="000000" w:themeColor="text1"/>
              </w:rPr>
              <w:t>COSMIN domain</w:t>
            </w:r>
          </w:p>
        </w:tc>
        <w:tc>
          <w:tcPr>
            <w:tcW w:w="69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53984A" w14:textId="77777777" w:rsidR="00183178" w:rsidRPr="00CB2944" w:rsidRDefault="00000000" w:rsidP="00CB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 w:rsidRPr="00CB2944">
              <w:rPr>
                <w:rFonts w:cs="Times New Roman"/>
                <w:color w:val="000000" w:themeColor="text1"/>
              </w:rPr>
              <w:t>Item</w:t>
            </w:r>
          </w:p>
        </w:tc>
        <w:tc>
          <w:tcPr>
            <w:tcW w:w="235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063B27" w14:textId="77777777" w:rsidR="00183178" w:rsidRPr="00CB2944" w:rsidRDefault="00000000" w:rsidP="00CB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 w:rsidRPr="00CB2944">
              <w:rPr>
                <w:rFonts w:cs="Times New Roman"/>
                <w:color w:val="000000" w:themeColor="text1"/>
              </w:rPr>
              <w:t>Description</w:t>
            </w:r>
          </w:p>
        </w:tc>
        <w:tc>
          <w:tcPr>
            <w:tcW w:w="2649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83311" w14:textId="77777777" w:rsidR="00183178" w:rsidRPr="00CB2944" w:rsidRDefault="00000000" w:rsidP="00CB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 w:rsidRPr="00CB2944">
              <w:rPr>
                <w:rFonts w:cs="Times New Roman"/>
                <w:color w:val="000000" w:themeColor="text1"/>
              </w:rPr>
              <w:t>Where addressed in manuscript</w:t>
            </w:r>
          </w:p>
        </w:tc>
        <w:tc>
          <w:tcPr>
            <w:tcW w:w="194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E6BDC3B" w14:textId="77777777" w:rsidR="00183178" w:rsidRPr="00CB2944" w:rsidRDefault="00000000" w:rsidP="00CB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</w:rPr>
            </w:pPr>
            <w:r w:rsidRPr="00CB2944">
              <w:rPr>
                <w:rFonts w:cs="Times New Roman"/>
                <w:color w:val="000000" w:themeColor="text1"/>
              </w:rPr>
              <w:t>Manuscript section</w:t>
            </w:r>
          </w:p>
        </w:tc>
      </w:tr>
      <w:tr w:rsidR="00183178" w:rsidRPr="00CB2944" w14:paraId="75D86353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ECF181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Background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F9CF56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3D82E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Provide context: why does this measurement instrument need development and/or validation?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9308E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Background paragraph 3 articulates the gap: MAIRS-MS / GAAIS do not cover non-medical health-professions students or separate clinical/research/education domains.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9289B3F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Background</w:t>
            </w:r>
          </w:p>
        </w:tc>
      </w:tr>
      <w:tr w:rsidR="00183178" w:rsidRPr="00CB2944" w14:paraId="33AD1B25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676423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Objectives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79454A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2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64190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State the objective(s) of the study, including which measurement properties were evaluated and in which population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20DFA9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Final paragraph of Background lists content validity, internal consistency, structural validity, factor structure, measurement invariance, method effects; population = nursing/pharmacy/PH students.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C312032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Background</w:t>
            </w:r>
          </w:p>
        </w:tc>
      </w:tr>
      <w:tr w:rsidR="00183178" w:rsidRPr="00CB2944" w14:paraId="62C118C8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F73362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7B0162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F0CAB7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Specify hypotheses about which results would (not) constitute sufficient evidence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9DBE93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Hu &amp; Bentler thresholds (CFI ≥ .95, RMSEA ≤ .06), Polit &amp; Beck CVI cutoffs, Chen ΔCFI ≤ .010 / ΔRMSEA ≤ .015 stated a priori.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FA4DD0D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</w:t>
            </w:r>
          </w:p>
        </w:tc>
      </w:tr>
      <w:tr w:rsidR="00183178" w:rsidRPr="00CB2944" w14:paraId="527F69F3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E0A16D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Construct &amp; instrument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9D943C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4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4CA022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construct(s) to be measured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A80622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Three a priori conceptual domains: AI in clinical practice, AI in research, AI in education. EFA recovered three empirical domains: Functional Benefits, Ethics and Trust, Educational Engagement.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6FFE84B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Instrument development; Results — EFA</w:t>
            </w:r>
          </w:p>
        </w:tc>
      </w:tr>
      <w:tr w:rsidR="00183178" w:rsidRPr="00CB2944" w14:paraId="4AFA71AE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106DE9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556D4A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5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4EB46E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target population, target context of use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6CC63C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Health-professions students (nursing, pharmacy, public health) at U.S. academic medical center; intended for educational needs assessment and curriculum design.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FFDE9AC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Background; Methods</w:t>
            </w:r>
          </w:p>
        </w:tc>
      </w:tr>
      <w:tr w:rsidR="00183178" w:rsidRPr="00CB2944" w14:paraId="6718DBC5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E80658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8012F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6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62502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original development process of the instrument and any prior testing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9A71B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Items generated iteratively by the investigative team informed by ADAPT framework and three position statements; this is the first formal validation.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67CA6D4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Instrument development</w:t>
            </w:r>
          </w:p>
        </w:tc>
      </w:tr>
      <w:tr w:rsidR="00183178" w:rsidRPr="00CB2944" w14:paraId="70FFF66A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3FCB8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F2E4C0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7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3E85A5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instrument (number of items, response options, recall period, scoring, languages, mode of administration)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9FA5B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20 items, 4-point Likert (1-4) with explicit 'I don't know' option; English; online REDCap; mean score per subscale.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A267915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Instrument development</w:t>
            </w:r>
          </w:p>
        </w:tc>
      </w:tr>
      <w:tr w:rsidR="00183178" w:rsidRPr="00CB2944" w14:paraId="4DE9CBDA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9D2DE8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Study design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F6D83F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8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D2E73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study design (cross-sectional, longitudinal, qualitative, mixed methods)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FD0C43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Cross-sectional online survey with parallel expert content-validation phase.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DCC33BD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Study design</w:t>
            </w:r>
          </w:p>
        </w:tc>
      </w:tr>
      <w:tr w:rsidR="00183178" w:rsidRPr="00CB2944" w14:paraId="1A9BEBD6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E3D25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C6AD6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9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B8F01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the sample: source, recruitment, eligibility, sample size justification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89C532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Students from three programs at U.S. AMC; eligibility stated; sample size N=193 justified against 5-10 per item EFA and N≈200 CFA minima.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95EF2F9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Study participants; Missing data</w:t>
            </w:r>
          </w:p>
        </w:tc>
      </w:tr>
      <w:tr w:rsidR="00183178" w:rsidRPr="00CB2944" w14:paraId="11457044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B33F1D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893B9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10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FD398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data collection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5297C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REDCap online; anonymous; March 2024 IRB; informed consent.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EB56DE2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Study design</w:t>
            </w:r>
          </w:p>
        </w:tc>
      </w:tr>
      <w:tr w:rsidR="00183178" w:rsidRPr="00CB2944" w14:paraId="06D8C341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0893E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DCD44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11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876F5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Describe missing data handling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852E6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'I don't know' → missing; MICE M=20 with Rubin's-rules pooling for scalar parameters; listwise sensitivity analysis.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460F661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Missing data</w:t>
            </w:r>
          </w:p>
        </w:tc>
      </w:tr>
      <w:tr w:rsidR="00183178" w:rsidRPr="00CB2944" w14:paraId="249BE7AE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C74A30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Statistical methods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75E868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12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61B6DF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Specify methods for each measurement property under evaluation, including effect size, statistical significance criteria, and adjustment for confounding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B161BA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Content validity: I-CVI, S-CVI, modified κ. Reliability: α, ordinal α, ω. Structural validity: EFA on polychoric matrix; CFA with DWLS; invariance; method-effects model; bootstrap CIs.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64FEF8CE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Methods — Content validity through Measurement invariance</w:t>
            </w:r>
          </w:p>
        </w:tc>
      </w:tr>
      <w:tr w:rsidR="00183178" w:rsidRPr="00CB2944" w14:paraId="26A0D273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13C6D2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content validity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F1A23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13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5AA53A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I-CVI per item, S-CVI, kappa or other agreement statistic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18D4B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Table 2: per-item I-CVI 0.71-1.00, modified κ 0.66-1.00; mean I-CVI = 0.86; S-CVI = 0.86.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4164D50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Content validity; Table 2</w:t>
            </w:r>
          </w:p>
        </w:tc>
      </w:tr>
      <w:tr w:rsidR="00183178" w:rsidRPr="00CB2944" w14:paraId="48A8877D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B65E32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reliability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486487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14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456A02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internal consistency, test-retest, inter-rater reliability with 95% CIs where appropriate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00ACD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Pooled Cronbach α with Rubin's rules across M=20 imputations; ordinal α; McDonald ω. Per-subscale and per-program.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FF36CFA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Item analysis; Tables 5-7</w:t>
            </w:r>
          </w:p>
        </w:tc>
      </w:tr>
      <w:tr w:rsidR="00183178" w:rsidRPr="00CB2944" w14:paraId="49C74A17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62A9FE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0381C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15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1564E8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measurement error (SEM, SDC) if applicable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CD1736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Not applicable — no continuous trait estimate or repeated measurement.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90040EA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—</w:t>
            </w:r>
          </w:p>
        </w:tc>
      </w:tr>
      <w:tr w:rsidR="00183178" w:rsidRPr="00CB2944" w14:paraId="5EA087D8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724292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structural validity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70E2A9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16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B43E64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fit indices, factor loadings, percentage variance explained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CA69BA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 xml:space="preserve">CFI/TLI/RMSEA/AIC/BIC reported per estimator and per model; standardized loadings + bootstrap CIs in Table 5; variance per factor </w:t>
            </w:r>
            <w:r w:rsidRPr="00CB2944">
              <w:rPr>
                <w:rFonts w:cs="Times New Roman"/>
              </w:rPr>
              <w:lastRenderedPageBreak/>
              <w:t>in Results — EFA.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1546F7E3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lastRenderedPageBreak/>
              <w:t>Results — EFA; CFA; Tables 4-5</w:t>
            </w:r>
          </w:p>
        </w:tc>
      </w:tr>
      <w:tr w:rsidR="00183178" w:rsidRPr="00CB2944" w14:paraId="2DB47CE0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885524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372098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17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EA2AE1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cross-cultural / measurement invariance results if applicable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BD468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Configural and metric invariance across nursing/pharmacy/public health (Table 7); ΔCFI = -0.003, ΔRMSEA = -0.001.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904505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Results — Measurement invariance</w:t>
            </w:r>
          </w:p>
        </w:tc>
      </w:tr>
      <w:tr w:rsidR="00183178" w:rsidRPr="00CB2944" w14:paraId="5403F96A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276FBA" w14:textId="77777777" w:rsidR="00183178" w:rsidRPr="00CB2944" w:rsidRDefault="00183178">
            <w:pPr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F5D797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18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5C64FF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Report hypothesis-testing convergent/discriminant evidence if applicable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B41C5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Not assessed in this study; planned for future work (convergent validity with MAIRS-MS, GAAIS).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736FFE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Discussion — Practical implications</w:t>
            </w:r>
          </w:p>
        </w:tc>
      </w:tr>
      <w:tr w:rsidR="00183178" w:rsidRPr="00CB2944" w14:paraId="41AF4075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42FB3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Interpretation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26B7D9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19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67E729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 xml:space="preserve">Interpret results </w:t>
            </w:r>
            <w:proofErr w:type="gramStart"/>
            <w:r w:rsidRPr="00CB2944">
              <w:rPr>
                <w:rFonts w:cs="Times New Roman"/>
              </w:rPr>
              <w:t>in light of</w:t>
            </w:r>
            <w:proofErr w:type="gramEnd"/>
            <w:r w:rsidRPr="00CB2944">
              <w:rPr>
                <w:rFonts w:cs="Times New Roman"/>
              </w:rPr>
              <w:t xml:space="preserve"> pre-specified hypotheses and known properties of comparable instruments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1BD5E1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Discussion compares AICPER findings to MAIRS-MS and GAAIS literature; acknowledges a priori vs. emergent factor structure mismatch.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0E8E53E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Discussion</w:t>
            </w:r>
          </w:p>
        </w:tc>
      </w:tr>
      <w:tr w:rsidR="00183178" w:rsidRPr="00CB2944" w14:paraId="5D01833C" w14:textId="77777777" w:rsidTr="00CB29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48A689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Generalizability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29D466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20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C625D8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Discuss generalizability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A6B2AD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Single-site U.S. AMC; nursing/pharmacy/public health only; medical students excluded.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2A215D35" w14:textId="77777777" w:rsidR="00183178" w:rsidRPr="00CB2944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Discussion — Limitations</w:t>
            </w:r>
          </w:p>
        </w:tc>
      </w:tr>
      <w:tr w:rsidR="00183178" w:rsidRPr="00CB2944" w14:paraId="6C891BD6" w14:textId="77777777" w:rsidTr="00CB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2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46B7E" w14:textId="77777777" w:rsidR="00183178" w:rsidRPr="00CB2944" w:rsidRDefault="00000000">
            <w:pPr>
              <w:rPr>
                <w:rFonts w:cs="Times New Roman"/>
              </w:rPr>
            </w:pPr>
            <w:r w:rsidRPr="00CB2944">
              <w:rPr>
                <w:rFonts w:cs="Times New Roman"/>
              </w:rPr>
              <w:t>Funding &amp; conflicts</w:t>
            </w:r>
          </w:p>
        </w:tc>
        <w:tc>
          <w:tcPr>
            <w:tcW w:w="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C7A52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21</w:t>
            </w:r>
          </w:p>
        </w:tc>
        <w:tc>
          <w:tcPr>
            <w:tcW w:w="23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9D6273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Disclose funding sources and competing interests</w:t>
            </w:r>
          </w:p>
        </w:tc>
        <w:tc>
          <w:tcPr>
            <w:tcW w:w="26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D69445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No external funding; no competing interests.</w:t>
            </w:r>
          </w:p>
        </w:tc>
        <w:tc>
          <w:tcPr>
            <w:tcW w:w="19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02E146" w14:textId="77777777" w:rsidR="00183178" w:rsidRPr="00CB294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CB2944">
              <w:rPr>
                <w:rFonts w:cs="Times New Roman"/>
              </w:rPr>
              <w:t>Declarations</w:t>
            </w:r>
          </w:p>
        </w:tc>
      </w:tr>
    </w:tbl>
    <w:p w14:paraId="62FDBFAD" w14:textId="77777777" w:rsidR="006501CF" w:rsidRPr="00CB2944" w:rsidRDefault="006501CF">
      <w:pPr>
        <w:rPr>
          <w:rFonts w:cs="Times New Roman"/>
        </w:rPr>
      </w:pPr>
    </w:p>
    <w:sectPr w:rsidR="006501CF" w:rsidRPr="00CB29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140146">
    <w:abstractNumId w:val="8"/>
  </w:num>
  <w:num w:numId="2" w16cid:durableId="1422020912">
    <w:abstractNumId w:val="6"/>
  </w:num>
  <w:num w:numId="3" w16cid:durableId="839547207">
    <w:abstractNumId w:val="5"/>
  </w:num>
  <w:num w:numId="4" w16cid:durableId="970357130">
    <w:abstractNumId w:val="4"/>
  </w:num>
  <w:num w:numId="5" w16cid:durableId="1941403046">
    <w:abstractNumId w:val="7"/>
  </w:num>
  <w:num w:numId="6" w16cid:durableId="1183203184">
    <w:abstractNumId w:val="3"/>
  </w:num>
  <w:num w:numId="7" w16cid:durableId="1420715109">
    <w:abstractNumId w:val="2"/>
  </w:num>
  <w:num w:numId="8" w16cid:durableId="1450927836">
    <w:abstractNumId w:val="1"/>
  </w:num>
  <w:num w:numId="9" w16cid:durableId="9852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3178"/>
    <w:rsid w:val="0029639D"/>
    <w:rsid w:val="00326F90"/>
    <w:rsid w:val="006501CF"/>
    <w:rsid w:val="00AA1D8D"/>
    <w:rsid w:val="00B47730"/>
    <w:rsid w:val="00CB0664"/>
    <w:rsid w:val="00CB2944"/>
    <w:rsid w:val="00D309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11AA3"/>
  <w14:defaultImageDpi w14:val="300"/>
  <w15:docId w15:val="{B4DC803B-AE1C-174C-BD6B-774ACE3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Divya Kewalramani</cp:lastModifiedBy>
  <cp:revision>2</cp:revision>
  <dcterms:created xsi:type="dcterms:W3CDTF">2013-12-23T23:15:00Z</dcterms:created>
  <dcterms:modified xsi:type="dcterms:W3CDTF">2026-05-19T20:22:00Z</dcterms:modified>
  <cp:category/>
</cp:coreProperties>
</file>