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F22D" w14:textId="77777777" w:rsidR="002B2D92" w:rsidRPr="009D361F" w:rsidRDefault="002B2D92" w:rsidP="002B2D92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9D361F">
        <w:rPr>
          <w:rFonts w:ascii="Times New Roman" w:hAnsi="Times New Roman" w:cs="Times New Roman"/>
          <w:b/>
          <w:sz w:val="24"/>
          <w:szCs w:val="24"/>
        </w:rPr>
        <w:t>TABLE SUPPLEMENT(S)</w:t>
      </w:r>
    </w:p>
    <w:p w14:paraId="7B009A4F" w14:textId="77777777" w:rsidR="002B2D92" w:rsidRPr="00453304" w:rsidRDefault="002B2D92" w:rsidP="002B2D92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</w:rPr>
      </w:pPr>
      <w:r w:rsidRPr="00453304">
        <w:rPr>
          <w:rFonts w:ascii="Times New Roman" w:hAnsi="Times New Roman" w:cs="Times New Roman"/>
          <w:b/>
          <w:color w:val="FF0000"/>
          <w:sz w:val="24"/>
        </w:rPr>
        <w:t>Table-1</w:t>
      </w:r>
      <w:r w:rsidRPr="00453304">
        <w:rPr>
          <w:rFonts w:ascii="Times New Roman" w:hAnsi="Times New Roman" w:cs="Times New Roman"/>
          <w:color w:val="FF0000"/>
          <w:sz w:val="24"/>
        </w:rPr>
        <w:t>. Clinical and Demographic Characteristics of the Study Participants</w:t>
      </w:r>
    </w:p>
    <w:tbl>
      <w:tblPr>
        <w:tblStyle w:val="TableGrid"/>
        <w:tblW w:w="113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1592"/>
        <w:gridCol w:w="1763"/>
        <w:gridCol w:w="2273"/>
        <w:gridCol w:w="917"/>
        <w:gridCol w:w="992"/>
      </w:tblGrid>
      <w:tr w:rsidR="002B2D92" w:rsidRPr="00671576" w14:paraId="6190FAA5" w14:textId="77777777" w:rsidTr="00BF73D6">
        <w:trPr>
          <w:jc w:val="center"/>
        </w:trPr>
        <w:tc>
          <w:tcPr>
            <w:tcW w:w="3798" w:type="dxa"/>
            <w:tcBorders>
              <w:top w:val="single" w:sz="4" w:space="0" w:color="auto"/>
            </w:tcBorders>
          </w:tcPr>
          <w:p w14:paraId="612CD38A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FBC454E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Study variables/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44BB7197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Overall, n (%)</w:t>
            </w:r>
          </w:p>
          <w:p w14:paraId="660186CB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8</w:t>
            </w:r>
            <w:r w:rsidRPr="00671576">
              <w:rPr>
                <w:rFonts w:ascii="Times New Roman" w:hAnsi="Times New Roman" w:cs="Times New Roman"/>
              </w:rPr>
              <w:t>(100)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</w:tcPr>
          <w:p w14:paraId="639D0AE3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OLE_LINK2"/>
            <w:bookmarkStart w:id="1" w:name="OLE_LINK3"/>
            <w:r w:rsidRPr="00671576">
              <w:rPr>
                <w:rFonts w:ascii="Times New Roman" w:hAnsi="Times New Roman" w:cs="Times New Roman"/>
              </w:rPr>
              <w:t>Khat User</w:t>
            </w:r>
          </w:p>
          <w:bookmarkEnd w:id="0"/>
          <w:bookmarkEnd w:id="1"/>
          <w:p w14:paraId="1AB78AF2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144(50.0)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14:paraId="0E5A2FA6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Non-Khat User</w:t>
            </w:r>
          </w:p>
          <w:p w14:paraId="34E29C97" w14:textId="77777777" w:rsidR="002B2D92" w:rsidRPr="00671576" w:rsidRDefault="002B2D92" w:rsidP="00BF73D6">
            <w:pPr>
              <w:tabs>
                <w:tab w:val="center" w:pos="1028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67157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4</w:t>
            </w:r>
            <w:r w:rsidRPr="0067157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50.0</w:t>
            </w:r>
            <w:r w:rsidRPr="00671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749E29EA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2BAE6C6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SMD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7342202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60965BD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P-value</w:t>
            </w:r>
          </w:p>
        </w:tc>
      </w:tr>
      <w:tr w:rsidR="002B2D92" w:rsidRPr="00671576" w14:paraId="5DFE9BFE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11EC76DE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Age, yrs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798DDD8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2" w:name="OLE_LINK12"/>
            <w:bookmarkStart w:id="3" w:name="OLE_LINK13"/>
            <w:r w:rsidRPr="00671576">
              <w:rPr>
                <w:rFonts w:ascii="Times New Roman" w:hAnsi="Times New Roman" w:cs="Times New Roman"/>
              </w:rPr>
              <w:t>35.36±8.63</w:t>
            </w:r>
            <w:bookmarkEnd w:id="2"/>
            <w:bookmarkEnd w:id="3"/>
          </w:p>
        </w:tc>
        <w:tc>
          <w:tcPr>
            <w:tcW w:w="176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E836DF9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35.72±8.87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1EE6BD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35.72±8.39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86AF1D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F8A5D5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0.483</w:t>
            </w:r>
          </w:p>
        </w:tc>
      </w:tr>
      <w:tr w:rsidR="002B2D92" w:rsidRPr="00671576" w14:paraId="5552B3D7" w14:textId="77777777" w:rsidTr="00BF73D6">
        <w:trPr>
          <w:jc w:val="center"/>
        </w:trPr>
        <w:tc>
          <w:tcPr>
            <w:tcW w:w="3798" w:type="dxa"/>
          </w:tcPr>
          <w:p w14:paraId="0BB34149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BMI, kg/m</w:t>
            </w:r>
            <w:r w:rsidRPr="0067157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92" w:type="dxa"/>
          </w:tcPr>
          <w:p w14:paraId="76DC3C92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4" w:name="OLE_LINK14"/>
            <w:r w:rsidRPr="00671576">
              <w:rPr>
                <w:rFonts w:ascii="Times New Roman" w:hAnsi="Times New Roman" w:cs="Times New Roman"/>
              </w:rPr>
              <w:t>26.17±2.92</w:t>
            </w:r>
            <w:bookmarkEnd w:id="4"/>
          </w:p>
        </w:tc>
        <w:tc>
          <w:tcPr>
            <w:tcW w:w="1763" w:type="dxa"/>
          </w:tcPr>
          <w:p w14:paraId="7A0CAFF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25.93±2.78</w:t>
            </w:r>
          </w:p>
        </w:tc>
        <w:tc>
          <w:tcPr>
            <w:tcW w:w="2273" w:type="dxa"/>
          </w:tcPr>
          <w:p w14:paraId="53C6709D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26.41±3.04</w:t>
            </w:r>
          </w:p>
        </w:tc>
        <w:tc>
          <w:tcPr>
            <w:tcW w:w="917" w:type="dxa"/>
          </w:tcPr>
          <w:p w14:paraId="7EDB1C8F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0.165</w:t>
            </w:r>
          </w:p>
        </w:tc>
        <w:tc>
          <w:tcPr>
            <w:tcW w:w="992" w:type="dxa"/>
          </w:tcPr>
          <w:p w14:paraId="36E39EDF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0.160</w:t>
            </w:r>
          </w:p>
        </w:tc>
      </w:tr>
      <w:tr w:rsidR="002B2D92" w:rsidRPr="00671576" w14:paraId="62CA8622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60CA2F59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Smoking, n (%)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478746EB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shd w:val="clear" w:color="auto" w:fill="D9D9D9" w:themeFill="background1" w:themeFillShade="D9"/>
          </w:tcPr>
          <w:p w14:paraId="2BB87A31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shd w:val="clear" w:color="auto" w:fill="D9D9D9" w:themeFill="background1" w:themeFillShade="D9"/>
          </w:tcPr>
          <w:p w14:paraId="5F3474F4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shd w:val="clear" w:color="auto" w:fill="D9D9D9" w:themeFill="background1" w:themeFillShade="D9"/>
          </w:tcPr>
          <w:p w14:paraId="7A779598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0.148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8B2EA11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0.211</w:t>
            </w:r>
          </w:p>
        </w:tc>
      </w:tr>
      <w:tr w:rsidR="002B2D92" w:rsidRPr="00671576" w14:paraId="5D87FDB7" w14:textId="77777777" w:rsidTr="00BF73D6">
        <w:trPr>
          <w:jc w:val="center"/>
        </w:trPr>
        <w:tc>
          <w:tcPr>
            <w:tcW w:w="3798" w:type="dxa"/>
          </w:tcPr>
          <w:p w14:paraId="0E88BF24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Ever smoked</w:t>
            </w:r>
          </w:p>
        </w:tc>
        <w:tc>
          <w:tcPr>
            <w:tcW w:w="1592" w:type="dxa"/>
          </w:tcPr>
          <w:p w14:paraId="2F19741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86(30.0)</w:t>
            </w:r>
          </w:p>
        </w:tc>
        <w:tc>
          <w:tcPr>
            <w:tcW w:w="1763" w:type="dxa"/>
          </w:tcPr>
          <w:p w14:paraId="7E86553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48(55.8)</w:t>
            </w:r>
          </w:p>
        </w:tc>
        <w:tc>
          <w:tcPr>
            <w:tcW w:w="2273" w:type="dxa"/>
          </w:tcPr>
          <w:p w14:paraId="027F084E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38(44.2)</w:t>
            </w:r>
          </w:p>
        </w:tc>
        <w:tc>
          <w:tcPr>
            <w:tcW w:w="917" w:type="dxa"/>
          </w:tcPr>
          <w:p w14:paraId="5E6E412C" w14:textId="77777777" w:rsidR="002B2D92" w:rsidRPr="00671576" w:rsidRDefault="002B2D92" w:rsidP="00BF73D6">
            <w:pPr>
              <w:spacing w:line="360" w:lineRule="auto"/>
              <w:ind w:right="11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46C70E9A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315AA0E8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451D322B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Never smoked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0C1A698D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201(70.0)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C4FF619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96(47.8)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52A11FE8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105(52.2)</w:t>
            </w:r>
          </w:p>
        </w:tc>
        <w:tc>
          <w:tcPr>
            <w:tcW w:w="917" w:type="dxa"/>
            <w:shd w:val="clear" w:color="auto" w:fill="D9D9D9" w:themeFill="background1" w:themeFillShade="D9"/>
          </w:tcPr>
          <w:p w14:paraId="0A51E6D2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310AA1C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220A1BBE" w14:textId="77777777" w:rsidTr="00BF73D6">
        <w:trPr>
          <w:jc w:val="center"/>
        </w:trPr>
        <w:tc>
          <w:tcPr>
            <w:tcW w:w="3798" w:type="dxa"/>
          </w:tcPr>
          <w:p w14:paraId="7CDBA89D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T2DM, n (%)</w:t>
            </w:r>
          </w:p>
        </w:tc>
        <w:tc>
          <w:tcPr>
            <w:tcW w:w="1592" w:type="dxa"/>
          </w:tcPr>
          <w:p w14:paraId="11E0990E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14:paraId="705C780A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14:paraId="2675FC3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17588E4A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0.172</w:t>
            </w:r>
          </w:p>
        </w:tc>
        <w:tc>
          <w:tcPr>
            <w:tcW w:w="992" w:type="dxa"/>
          </w:tcPr>
          <w:p w14:paraId="3B575FFC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0.148</w:t>
            </w:r>
          </w:p>
        </w:tc>
      </w:tr>
      <w:tr w:rsidR="002B2D92" w:rsidRPr="00671576" w14:paraId="1BAB12C2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78D70FA7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6D806C61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36(</w:t>
            </w:r>
            <w:bookmarkStart w:id="5" w:name="OLE_LINK15"/>
            <w:r w:rsidRPr="00671576">
              <w:rPr>
                <w:rFonts w:ascii="Times New Roman" w:hAnsi="Times New Roman" w:cs="Times New Roman"/>
              </w:rPr>
              <w:t>12.5</w:t>
            </w:r>
            <w:bookmarkEnd w:id="5"/>
            <w:r w:rsidRPr="00671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72CAC909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14(38.9)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688F4B96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22(61.1)</w:t>
            </w:r>
          </w:p>
        </w:tc>
        <w:tc>
          <w:tcPr>
            <w:tcW w:w="917" w:type="dxa"/>
            <w:shd w:val="clear" w:color="auto" w:fill="D9D9D9" w:themeFill="background1" w:themeFillShade="D9"/>
          </w:tcPr>
          <w:p w14:paraId="5C53BA4B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31EB24E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688C7E48" w14:textId="77777777" w:rsidTr="00BF73D6">
        <w:trPr>
          <w:jc w:val="center"/>
        </w:trPr>
        <w:tc>
          <w:tcPr>
            <w:tcW w:w="3798" w:type="dxa"/>
          </w:tcPr>
          <w:p w14:paraId="0CFB6DB4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2" w:type="dxa"/>
          </w:tcPr>
          <w:p w14:paraId="24AC41F9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2</w:t>
            </w:r>
            <w:r w:rsidRPr="00671576">
              <w:rPr>
                <w:rFonts w:ascii="Times New Roman" w:hAnsi="Times New Roman" w:cs="Times New Roman"/>
              </w:rPr>
              <w:t>(87.5)</w:t>
            </w:r>
          </w:p>
        </w:tc>
        <w:tc>
          <w:tcPr>
            <w:tcW w:w="1763" w:type="dxa"/>
          </w:tcPr>
          <w:p w14:paraId="7F6BAE0B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130(51.8)</w:t>
            </w:r>
          </w:p>
        </w:tc>
        <w:tc>
          <w:tcPr>
            <w:tcW w:w="2273" w:type="dxa"/>
          </w:tcPr>
          <w:p w14:paraId="6100CBDD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2</w:t>
            </w:r>
            <w:r w:rsidRPr="00671576">
              <w:rPr>
                <w:rFonts w:ascii="Times New Roman" w:hAnsi="Times New Roman" w:cs="Times New Roman"/>
              </w:rPr>
              <w:t>(48.2)</w:t>
            </w:r>
          </w:p>
        </w:tc>
        <w:tc>
          <w:tcPr>
            <w:tcW w:w="917" w:type="dxa"/>
          </w:tcPr>
          <w:p w14:paraId="7699BE77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032CCBA0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3F0E422B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70D58319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Chronic Urogenital Infections, n (%)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4A1338FD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  <w:shd w:val="clear" w:color="auto" w:fill="D9D9D9" w:themeFill="background1" w:themeFillShade="D9"/>
          </w:tcPr>
          <w:p w14:paraId="5E7E12C2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shd w:val="clear" w:color="auto" w:fill="D9D9D9" w:themeFill="background1" w:themeFillShade="D9"/>
          </w:tcPr>
          <w:p w14:paraId="25A275F1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shd w:val="clear" w:color="auto" w:fill="D9D9D9" w:themeFill="background1" w:themeFillShade="D9"/>
          </w:tcPr>
          <w:p w14:paraId="649373BE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0.062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7CC2E06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0.514</w:t>
            </w:r>
          </w:p>
        </w:tc>
      </w:tr>
      <w:tr w:rsidR="002B2D92" w:rsidRPr="00671576" w14:paraId="53F261EB" w14:textId="77777777" w:rsidTr="00BF73D6">
        <w:trPr>
          <w:jc w:val="center"/>
        </w:trPr>
        <w:tc>
          <w:tcPr>
            <w:tcW w:w="3798" w:type="dxa"/>
          </w:tcPr>
          <w:p w14:paraId="210D48FC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Yes</w:t>
            </w:r>
          </w:p>
        </w:tc>
        <w:tc>
          <w:tcPr>
            <w:tcW w:w="1592" w:type="dxa"/>
          </w:tcPr>
          <w:p w14:paraId="15B5AB77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2</w:t>
            </w:r>
            <w:r w:rsidRPr="00671576">
              <w:rPr>
                <w:rFonts w:ascii="Times New Roman" w:hAnsi="Times New Roman" w:cs="Times New Roman"/>
              </w:rPr>
              <w:t>(52.6)</w:t>
            </w:r>
          </w:p>
        </w:tc>
        <w:tc>
          <w:tcPr>
            <w:tcW w:w="1763" w:type="dxa"/>
          </w:tcPr>
          <w:p w14:paraId="757FA561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78(51.7)</w:t>
            </w:r>
          </w:p>
        </w:tc>
        <w:tc>
          <w:tcPr>
            <w:tcW w:w="2273" w:type="dxa"/>
          </w:tcPr>
          <w:p w14:paraId="3CF8806F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</w:t>
            </w:r>
            <w:r w:rsidRPr="00671576">
              <w:rPr>
                <w:rFonts w:ascii="Times New Roman" w:hAnsi="Times New Roman" w:cs="Times New Roman"/>
              </w:rPr>
              <w:t>(48.3)</w:t>
            </w:r>
          </w:p>
        </w:tc>
        <w:tc>
          <w:tcPr>
            <w:tcW w:w="917" w:type="dxa"/>
          </w:tcPr>
          <w:p w14:paraId="24640874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2CA513B9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070CCD0C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14A359AD" w14:textId="77777777" w:rsidR="002B2D92" w:rsidRPr="00671576" w:rsidRDefault="002B2D92" w:rsidP="00BF73D6">
            <w:pPr>
              <w:tabs>
                <w:tab w:val="left" w:pos="24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No</w:t>
            </w: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59B40B8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136(47.4)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B2A1C8B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65(47.8)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4995E1AE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71(52.2)</w:t>
            </w:r>
          </w:p>
        </w:tc>
        <w:tc>
          <w:tcPr>
            <w:tcW w:w="917" w:type="dxa"/>
            <w:shd w:val="clear" w:color="auto" w:fill="D9D9D9" w:themeFill="background1" w:themeFillShade="D9"/>
          </w:tcPr>
          <w:p w14:paraId="15FF9A51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9CFE18E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7A33C313" w14:textId="77777777" w:rsidTr="00BF73D6">
        <w:trPr>
          <w:jc w:val="center"/>
        </w:trPr>
        <w:tc>
          <w:tcPr>
            <w:tcW w:w="3798" w:type="dxa"/>
          </w:tcPr>
          <w:p w14:paraId="1122EB47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 xml:space="preserve">Sperm </w:t>
            </w:r>
            <w:r w:rsidRPr="00655CBA">
              <w:rPr>
                <w:rFonts w:ascii="Times New Roman" w:hAnsi="Times New Roman" w:cs="Times New Roman"/>
              </w:rPr>
              <w:t>Concentration</w:t>
            </w:r>
            <w:r w:rsidRPr="00671576">
              <w:rPr>
                <w:rFonts w:ascii="Times New Roman" w:hAnsi="Times New Roman" w:cs="Times New Roman"/>
              </w:rPr>
              <w:t>, millions/ml</w:t>
            </w:r>
          </w:p>
        </w:tc>
        <w:tc>
          <w:tcPr>
            <w:tcW w:w="1592" w:type="dxa"/>
          </w:tcPr>
          <w:p w14:paraId="03A8B2D3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32.48±14.77</w:t>
            </w:r>
          </w:p>
        </w:tc>
        <w:tc>
          <w:tcPr>
            <w:tcW w:w="1763" w:type="dxa"/>
          </w:tcPr>
          <w:p w14:paraId="79E10CAF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33.73±15.81</w:t>
            </w:r>
          </w:p>
        </w:tc>
        <w:tc>
          <w:tcPr>
            <w:tcW w:w="2273" w:type="dxa"/>
          </w:tcPr>
          <w:p w14:paraId="49B09314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31.21±13.58</w:t>
            </w:r>
          </w:p>
        </w:tc>
        <w:tc>
          <w:tcPr>
            <w:tcW w:w="917" w:type="dxa"/>
          </w:tcPr>
          <w:p w14:paraId="160749B3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0.171</w:t>
            </w:r>
          </w:p>
        </w:tc>
        <w:tc>
          <w:tcPr>
            <w:tcW w:w="992" w:type="dxa"/>
          </w:tcPr>
          <w:p w14:paraId="30A30CEE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0.150</w:t>
            </w:r>
          </w:p>
        </w:tc>
      </w:tr>
      <w:tr w:rsidR="002B2D92" w:rsidRPr="00671576" w14:paraId="0AA0871F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2ECFAE15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Sperm motility percentage, %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705630F8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42.15±14.68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35A19607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42.15±15.21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13054ECE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41.51±14.15</w:t>
            </w:r>
          </w:p>
        </w:tc>
        <w:tc>
          <w:tcPr>
            <w:tcW w:w="917" w:type="dxa"/>
            <w:shd w:val="clear" w:color="auto" w:fill="D9D9D9" w:themeFill="background1" w:themeFillShade="D9"/>
          </w:tcPr>
          <w:p w14:paraId="4DACFA85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0.044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0139750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0.464</w:t>
            </w:r>
          </w:p>
        </w:tc>
      </w:tr>
      <w:tr w:rsidR="002B2D92" w:rsidRPr="00671576" w14:paraId="5FB3471E" w14:textId="77777777" w:rsidTr="00BF73D6">
        <w:trPr>
          <w:jc w:val="center"/>
        </w:trPr>
        <w:tc>
          <w:tcPr>
            <w:tcW w:w="3798" w:type="dxa"/>
          </w:tcPr>
          <w:p w14:paraId="4B6C6670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Morphology percent, %</w:t>
            </w:r>
          </w:p>
        </w:tc>
        <w:tc>
          <w:tcPr>
            <w:tcW w:w="1592" w:type="dxa"/>
          </w:tcPr>
          <w:p w14:paraId="18A2A456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4.55±2.23</w:t>
            </w:r>
          </w:p>
        </w:tc>
        <w:tc>
          <w:tcPr>
            <w:tcW w:w="1763" w:type="dxa"/>
          </w:tcPr>
          <w:p w14:paraId="328729BF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4.46±2.16</w:t>
            </w:r>
          </w:p>
        </w:tc>
        <w:tc>
          <w:tcPr>
            <w:tcW w:w="2273" w:type="dxa"/>
          </w:tcPr>
          <w:p w14:paraId="06594833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4.63±2.30</w:t>
            </w:r>
          </w:p>
        </w:tc>
        <w:tc>
          <w:tcPr>
            <w:tcW w:w="917" w:type="dxa"/>
          </w:tcPr>
          <w:p w14:paraId="2A338EC4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0.076</w:t>
            </w:r>
          </w:p>
        </w:tc>
        <w:tc>
          <w:tcPr>
            <w:tcW w:w="992" w:type="dxa"/>
          </w:tcPr>
          <w:p w14:paraId="16F8BE90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0.506</w:t>
            </w:r>
          </w:p>
        </w:tc>
      </w:tr>
      <w:tr w:rsidR="002B2D92" w:rsidRPr="00671576" w14:paraId="32801706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7BBC3B90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Testosterone, ng/dl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7F45F234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444.84±121.60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3969AE8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437.90±123.49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265836D9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451.82±451.82±119.69</w:t>
            </w:r>
          </w:p>
        </w:tc>
        <w:tc>
          <w:tcPr>
            <w:tcW w:w="917" w:type="dxa"/>
            <w:shd w:val="clear" w:color="auto" w:fill="D9D9D9" w:themeFill="background1" w:themeFillShade="D9"/>
          </w:tcPr>
          <w:p w14:paraId="213CEE36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0.114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98B5D1E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0.333</w:t>
            </w:r>
          </w:p>
        </w:tc>
      </w:tr>
      <w:tr w:rsidR="002B2D92" w:rsidRPr="00671576" w14:paraId="4BDC72A6" w14:textId="77777777" w:rsidTr="00BF73D6">
        <w:trPr>
          <w:jc w:val="center"/>
        </w:trPr>
        <w:tc>
          <w:tcPr>
            <w:tcW w:w="3798" w:type="dxa"/>
          </w:tcPr>
          <w:p w14:paraId="770013D3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Infertility, n (%)</w:t>
            </w:r>
          </w:p>
        </w:tc>
        <w:tc>
          <w:tcPr>
            <w:tcW w:w="1592" w:type="dxa"/>
          </w:tcPr>
          <w:p w14:paraId="59056CE7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3" w:type="dxa"/>
          </w:tcPr>
          <w:p w14:paraId="402FBF72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14:paraId="02D056FA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14:paraId="0DA57124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0.104</w:t>
            </w:r>
          </w:p>
        </w:tc>
        <w:tc>
          <w:tcPr>
            <w:tcW w:w="992" w:type="dxa"/>
          </w:tcPr>
          <w:p w14:paraId="1EF22E07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0.376</w:t>
            </w:r>
          </w:p>
        </w:tc>
      </w:tr>
      <w:tr w:rsidR="002B2D92" w:rsidRPr="00671576" w14:paraId="2AC2BB5F" w14:textId="77777777" w:rsidTr="00BF73D6">
        <w:trPr>
          <w:jc w:val="center"/>
        </w:trPr>
        <w:tc>
          <w:tcPr>
            <w:tcW w:w="3798" w:type="dxa"/>
            <w:shd w:val="clear" w:color="auto" w:fill="D9D9D9" w:themeFill="background1" w:themeFillShade="D9"/>
          </w:tcPr>
          <w:p w14:paraId="6327154E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6D694AB8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8</w:t>
            </w:r>
            <w:r w:rsidRPr="00671576">
              <w:rPr>
                <w:rFonts w:ascii="Times New Roman" w:hAnsi="Times New Roman" w:cs="Times New Roman"/>
              </w:rPr>
              <w:t>(55.7)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7B645892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  <w:r w:rsidRPr="00671576">
              <w:rPr>
                <w:rFonts w:ascii="Times New Roman" w:hAnsi="Times New Roman" w:cs="Times New Roman"/>
              </w:rPr>
              <w:t>(52.5)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53A6D04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76(47.5)</w:t>
            </w:r>
          </w:p>
        </w:tc>
        <w:tc>
          <w:tcPr>
            <w:tcW w:w="917" w:type="dxa"/>
            <w:shd w:val="clear" w:color="auto" w:fill="D9D9D9" w:themeFill="background1" w:themeFillShade="D9"/>
          </w:tcPr>
          <w:p w14:paraId="419000CA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C7B218B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1EE25302" w14:textId="77777777" w:rsidTr="00BF73D6">
        <w:trPr>
          <w:jc w:val="center"/>
        </w:trPr>
        <w:tc>
          <w:tcPr>
            <w:tcW w:w="3798" w:type="dxa"/>
          </w:tcPr>
          <w:p w14:paraId="0B9AF83E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92" w:type="dxa"/>
          </w:tcPr>
          <w:p w14:paraId="53321600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160(44.3)</w:t>
            </w:r>
          </w:p>
        </w:tc>
        <w:tc>
          <w:tcPr>
            <w:tcW w:w="1763" w:type="dxa"/>
          </w:tcPr>
          <w:p w14:paraId="4382CFAC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60(47.2)</w:t>
            </w:r>
          </w:p>
        </w:tc>
        <w:tc>
          <w:tcPr>
            <w:tcW w:w="2273" w:type="dxa"/>
          </w:tcPr>
          <w:p w14:paraId="0C65D2E1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67(52.8)</w:t>
            </w:r>
          </w:p>
        </w:tc>
        <w:tc>
          <w:tcPr>
            <w:tcW w:w="917" w:type="dxa"/>
          </w:tcPr>
          <w:p w14:paraId="3957A99A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731244B2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007DF0E4" w14:textId="77777777" w:rsidTr="00BF73D6">
        <w:trPr>
          <w:jc w:val="center"/>
        </w:trPr>
        <w:tc>
          <w:tcPr>
            <w:tcW w:w="3798" w:type="dxa"/>
          </w:tcPr>
          <w:p w14:paraId="6B972E65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Teratozoospermia, n (%)</w:t>
            </w:r>
          </w:p>
        </w:tc>
        <w:tc>
          <w:tcPr>
            <w:tcW w:w="1592" w:type="dxa"/>
          </w:tcPr>
          <w:p w14:paraId="21DBBB26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123(42.9)</w:t>
            </w:r>
          </w:p>
        </w:tc>
        <w:tc>
          <w:tcPr>
            <w:tcW w:w="1763" w:type="dxa"/>
          </w:tcPr>
          <w:p w14:paraId="05A76E5C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62(50.4)</w:t>
            </w:r>
          </w:p>
        </w:tc>
        <w:tc>
          <w:tcPr>
            <w:tcW w:w="2273" w:type="dxa"/>
          </w:tcPr>
          <w:p w14:paraId="034172D4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61(49.6)</w:t>
            </w:r>
          </w:p>
        </w:tc>
        <w:tc>
          <w:tcPr>
            <w:tcW w:w="917" w:type="dxa"/>
          </w:tcPr>
          <w:p w14:paraId="00DED35C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Style w:val="Strong"/>
                <w:rFonts w:ascii="Times New Roman" w:hAnsi="Times New Roman" w:cs="Times New Roman"/>
                <w:color w:val="0F1115"/>
                <w:shd w:val="clear" w:color="auto" w:fill="FFFFFF"/>
              </w:rPr>
              <w:t>0.008</w:t>
            </w:r>
          </w:p>
        </w:tc>
        <w:tc>
          <w:tcPr>
            <w:tcW w:w="992" w:type="dxa"/>
          </w:tcPr>
          <w:p w14:paraId="7F5F2791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0.946</w:t>
            </w:r>
          </w:p>
        </w:tc>
      </w:tr>
      <w:tr w:rsidR="002B2D92" w:rsidRPr="00671576" w14:paraId="065F5C13" w14:textId="77777777" w:rsidTr="00BF73D6">
        <w:trPr>
          <w:jc w:val="center"/>
        </w:trPr>
        <w:tc>
          <w:tcPr>
            <w:tcW w:w="37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8F0E00" w14:textId="77777777" w:rsidR="002B2D92" w:rsidRPr="00671576" w:rsidRDefault="002B2D92" w:rsidP="00BF73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Duration of Infertility, yrs</w:t>
            </w:r>
          </w:p>
        </w:tc>
        <w:tc>
          <w:tcPr>
            <w:tcW w:w="15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191886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2.51±2.73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EC218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2.58±2.74</w:t>
            </w: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F8DE65" w14:textId="77777777" w:rsidR="002B2D92" w:rsidRPr="00671576" w:rsidRDefault="002B2D92" w:rsidP="00BF73D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2.43±2.72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78B410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0.055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A0AED1" w14:textId="77777777" w:rsidR="002B2D92" w:rsidRPr="00671576" w:rsidRDefault="002B2D92" w:rsidP="00BF73D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0.658</w:t>
            </w:r>
          </w:p>
        </w:tc>
      </w:tr>
      <w:tr w:rsidR="002B2D92" w:rsidRPr="00671576" w14:paraId="37490BAC" w14:textId="77777777" w:rsidTr="00BF73D6">
        <w:trPr>
          <w:trHeight w:val="769"/>
          <w:jc w:val="center"/>
        </w:trPr>
        <w:tc>
          <w:tcPr>
            <w:tcW w:w="11335" w:type="dxa"/>
            <w:gridSpan w:val="6"/>
            <w:tcBorders>
              <w:top w:val="single" w:sz="4" w:space="0" w:color="auto"/>
            </w:tcBorders>
          </w:tcPr>
          <w:p w14:paraId="135BF7B5" w14:textId="77777777" w:rsidR="002B2D92" w:rsidRPr="004F7D67" w:rsidRDefault="002B2D92" w:rsidP="00BF73D6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bookmarkStart w:id="6" w:name="OLE_LINK26"/>
            <w:r w:rsidRPr="004F7D67">
              <w:rPr>
                <w:rFonts w:ascii="Times New Roman" w:hAnsi="Times New Roman" w:cs="Times New Roman"/>
                <w:color w:val="FF0000"/>
                <w:sz w:val="24"/>
              </w:rPr>
              <w:t>Propensity score matching(PSM) was performed using a caliper width of 0.01, extracting above data, matching participants on age, BMI, T2DM, smoking status, and sperm motility to a ratio of 1:1.</w:t>
            </w:r>
          </w:p>
          <w:bookmarkEnd w:id="6"/>
          <w:p w14:paraId="4A3A9413" w14:textId="77777777" w:rsidR="002B2D92" w:rsidRPr="004F7D67" w:rsidRDefault="002B2D92" w:rsidP="00BF73D6">
            <w:pPr>
              <w:spacing w:line="48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4F7D67">
              <w:rPr>
                <w:rFonts w:ascii="Times New Roman" w:eastAsia="Times New Roman" w:hAnsi="Times New Roman" w:cs="Times New Roman"/>
                <w:color w:val="FF0000"/>
              </w:rPr>
              <w:t xml:space="preserve">Data are presented as mean </w:t>
            </w:r>
            <w:r w:rsidRPr="004F7D67">
              <w:rPr>
                <w:rFonts w:ascii="Times New Roman" w:hAnsi="Times New Roman" w:cs="Times New Roman"/>
                <w:color w:val="FF0000"/>
              </w:rPr>
              <w:t>±</w:t>
            </w:r>
            <w:r w:rsidRPr="004F7D67">
              <w:rPr>
                <w:rFonts w:ascii="Times New Roman" w:eastAsia="Times New Roman" w:hAnsi="Times New Roman" w:cs="Times New Roman"/>
                <w:color w:val="FF0000"/>
              </w:rPr>
              <w:t>SD for continuous variables, or n (%) percentage for non-continuous variables, unless otherwise specified. The characteristics of the study population (n=287) include outpatients receiving urology care in Somalia stratified into Khat Users and non-Khat Users.  Abbreviations: T2DM, Type 2 diabetes Mellitus; Kg/m2, Kilogram per meter squared;</w:t>
            </w:r>
          </w:p>
          <w:p w14:paraId="444F7505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4F7D67">
              <w:rPr>
                <w:rFonts w:ascii="Times New Roman" w:hAnsi="Times New Roman" w:cs="Times New Roman"/>
                <w:color w:val="FF0000"/>
              </w:rPr>
              <w:t>SMD (standardized mean difference).</w:t>
            </w:r>
            <w:r w:rsidRPr="004F7D67">
              <w:rPr>
                <w:rStyle w:val="Emphasis"/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4F7D6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Bold </w:t>
            </w:r>
            <w:r w:rsidRPr="004F7D67">
              <w:rPr>
                <w:rFonts w:ascii="Times New Roman" w:hAnsi="Times New Roman" w:cs="Times New Roman"/>
                <w:color w:val="FF0000"/>
              </w:rPr>
              <w:t>indicates statistically significant difference with P&lt;0.05 and SMD &lt;0.1(or sometimes&lt;0.2)</w:t>
            </w:r>
            <w:r w:rsidRPr="004F7D67">
              <w:rPr>
                <w:rStyle w:val="Emphasis"/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4F7D67">
              <w:rPr>
                <w:rFonts w:ascii="Times New Roman" w:hAnsi="Times New Roman" w:cs="Times New Roman"/>
                <w:color w:val="FF0000"/>
              </w:rPr>
              <w:t>indicates good balance between groups</w:t>
            </w:r>
            <w:r w:rsidRPr="004F7D67">
              <w:rPr>
                <w:rStyle w:val="Emphasis"/>
                <w:rFonts w:ascii="Times New Roman" w:eastAsia="DengXian" w:hAnsi="Times New Roman"/>
                <w:i w:val="0"/>
                <w:color w:val="FF0000"/>
              </w:rPr>
              <w:t>.</w:t>
            </w:r>
          </w:p>
        </w:tc>
      </w:tr>
    </w:tbl>
    <w:p w14:paraId="08518A92" w14:textId="77777777" w:rsidR="002B2D92" w:rsidRPr="00671576" w:rsidRDefault="002B2D92" w:rsidP="002B2D92">
      <w:pPr>
        <w:rPr>
          <w:rFonts w:ascii="Times New Roman" w:hAnsi="Times New Roman" w:cs="Times New Roman"/>
        </w:rPr>
      </w:pPr>
    </w:p>
    <w:p w14:paraId="3B3DC8A6" w14:textId="77777777" w:rsidR="002B2D92" w:rsidRPr="00671576" w:rsidRDefault="002B2D92" w:rsidP="002B2D92">
      <w:pPr>
        <w:jc w:val="center"/>
        <w:rPr>
          <w:rFonts w:ascii="Times New Roman" w:hAnsi="Times New Roman" w:cs="Times New Roman"/>
          <w:b/>
          <w:sz w:val="24"/>
        </w:rPr>
      </w:pPr>
    </w:p>
    <w:p w14:paraId="4C475854" w14:textId="77777777" w:rsidR="002B2D92" w:rsidRPr="00671576" w:rsidRDefault="002B2D92" w:rsidP="002B2D92">
      <w:pPr>
        <w:jc w:val="center"/>
        <w:rPr>
          <w:rFonts w:ascii="Times New Roman" w:hAnsi="Times New Roman" w:cs="Times New Roman"/>
          <w:b/>
          <w:sz w:val="24"/>
        </w:rPr>
      </w:pPr>
    </w:p>
    <w:p w14:paraId="6814680E" w14:textId="77777777" w:rsidR="002B2D92" w:rsidRPr="00671576" w:rsidRDefault="002B2D92" w:rsidP="002B2D92">
      <w:pPr>
        <w:jc w:val="center"/>
        <w:rPr>
          <w:rFonts w:ascii="Times New Roman" w:hAnsi="Times New Roman" w:cs="Times New Roman"/>
          <w:sz w:val="24"/>
        </w:rPr>
      </w:pPr>
      <w:r w:rsidRPr="00671576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>-</w:t>
      </w:r>
      <w:r w:rsidRPr="00671576">
        <w:rPr>
          <w:rFonts w:ascii="Times New Roman" w:hAnsi="Times New Roman" w:cs="Times New Roman"/>
          <w:b/>
          <w:sz w:val="24"/>
        </w:rPr>
        <w:t>2</w:t>
      </w:r>
      <w:r w:rsidRPr="00671576">
        <w:rPr>
          <w:rFonts w:ascii="Times New Roman" w:hAnsi="Times New Roman" w:cs="Times New Roman"/>
          <w:sz w:val="24"/>
        </w:rPr>
        <w:t xml:space="preserve">: Clinical and demographic clinical characteristics of study participants stratified by Khat user and </w:t>
      </w:r>
      <w:r w:rsidRPr="00671576">
        <w:rPr>
          <w:rFonts w:ascii="Times New Roman" w:hAnsi="Times New Roman" w:cs="Times New Roman"/>
          <w:sz w:val="24"/>
          <w:szCs w:val="28"/>
        </w:rPr>
        <w:t>Chronic Urogenital Infections</w:t>
      </w:r>
    </w:p>
    <w:tbl>
      <w:tblPr>
        <w:tblStyle w:val="TableGrid"/>
        <w:tblW w:w="110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559"/>
        <w:gridCol w:w="1559"/>
        <w:gridCol w:w="1559"/>
        <w:gridCol w:w="1560"/>
        <w:gridCol w:w="992"/>
      </w:tblGrid>
      <w:tr w:rsidR="002B2D92" w:rsidRPr="00671576" w14:paraId="4AB5D56B" w14:textId="77777777" w:rsidTr="00BF73D6">
        <w:trPr>
          <w:trHeight w:val="110"/>
          <w:jc w:val="center"/>
        </w:trPr>
        <w:tc>
          <w:tcPr>
            <w:tcW w:w="3823" w:type="dxa"/>
            <w:vMerge w:val="restart"/>
            <w:tcBorders>
              <w:top w:val="single" w:sz="4" w:space="0" w:color="auto"/>
            </w:tcBorders>
          </w:tcPr>
          <w:p w14:paraId="71E8BD3F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08B103C4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Study variables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</w:tcBorders>
          </w:tcPr>
          <w:p w14:paraId="09EA1CA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7559A062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0A6AC38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  <w:p w14:paraId="3CDB78C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P value</w:t>
            </w:r>
          </w:p>
        </w:tc>
      </w:tr>
      <w:tr w:rsidR="002B2D92" w:rsidRPr="00671576" w14:paraId="75900417" w14:textId="77777777" w:rsidTr="00BF73D6">
        <w:trPr>
          <w:jc w:val="center"/>
        </w:trPr>
        <w:tc>
          <w:tcPr>
            <w:tcW w:w="3823" w:type="dxa"/>
            <w:vMerge/>
          </w:tcPr>
          <w:p w14:paraId="3CC94343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262F9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Group-1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FB996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7" w:name="OLE_LINK22"/>
            <w:bookmarkStart w:id="8" w:name="OLE_LINK23"/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Group-2</w:t>
            </w:r>
            <w:bookmarkEnd w:id="7"/>
            <w:bookmarkEnd w:id="8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39DCF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Group-3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4DDC41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Group-4</w:t>
            </w:r>
          </w:p>
        </w:tc>
        <w:tc>
          <w:tcPr>
            <w:tcW w:w="992" w:type="dxa"/>
            <w:vMerge/>
          </w:tcPr>
          <w:p w14:paraId="7AB7BB0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4EF58140" w14:textId="77777777" w:rsidTr="00BF73D6">
        <w:trPr>
          <w:trHeight w:val="402"/>
          <w:jc w:val="center"/>
        </w:trPr>
        <w:tc>
          <w:tcPr>
            <w:tcW w:w="3823" w:type="dxa"/>
            <w:vMerge/>
          </w:tcPr>
          <w:p w14:paraId="30F9D7E0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DB670A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65(22.6)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0CF374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78(27.2)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E476B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71(24.7)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9AA3E1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73(25.4)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31BDCE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2D92" w:rsidRPr="00671576" w14:paraId="71D71FA5" w14:textId="77777777" w:rsidTr="00BF73D6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3B6C421A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Age, yrs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330AEB8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35.02±9.49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ABA96D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bookmarkStart w:id="9" w:name="OLE_LINK24"/>
            <w:r w:rsidRPr="00671576">
              <w:rPr>
                <w:rFonts w:ascii="Times New Roman" w:hAnsi="Times New Roman" w:cs="Times New Roman"/>
              </w:rPr>
              <w:t>34.99±8.38</w:t>
            </w:r>
            <w:bookmarkEnd w:id="9"/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8F999A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34.56±8.17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904B57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36.84±8.51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B15358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0.395</w:t>
            </w:r>
          </w:p>
        </w:tc>
      </w:tr>
      <w:tr w:rsidR="002B2D92" w:rsidRPr="00671576" w14:paraId="4A87A2E7" w14:textId="77777777" w:rsidTr="00BF73D6">
        <w:trPr>
          <w:jc w:val="center"/>
        </w:trPr>
        <w:tc>
          <w:tcPr>
            <w:tcW w:w="3823" w:type="dxa"/>
          </w:tcPr>
          <w:p w14:paraId="64E6047C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BMI, kg/m</w:t>
            </w:r>
            <w:r w:rsidRPr="0067157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6746F983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26.29±2.95</w:t>
            </w:r>
          </w:p>
        </w:tc>
        <w:tc>
          <w:tcPr>
            <w:tcW w:w="1559" w:type="dxa"/>
          </w:tcPr>
          <w:p w14:paraId="28DF091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26.51±3.13</w:t>
            </w:r>
          </w:p>
        </w:tc>
        <w:tc>
          <w:tcPr>
            <w:tcW w:w="1559" w:type="dxa"/>
          </w:tcPr>
          <w:p w14:paraId="0F6C3316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25.91±2.84</w:t>
            </w:r>
          </w:p>
        </w:tc>
        <w:tc>
          <w:tcPr>
            <w:tcW w:w="1560" w:type="dxa"/>
          </w:tcPr>
          <w:p w14:paraId="44F09F4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25.94±2.73</w:t>
            </w:r>
          </w:p>
        </w:tc>
        <w:tc>
          <w:tcPr>
            <w:tcW w:w="992" w:type="dxa"/>
          </w:tcPr>
          <w:p w14:paraId="5E1AF07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0.535</w:t>
            </w:r>
          </w:p>
        </w:tc>
      </w:tr>
      <w:tr w:rsidR="002B2D92" w:rsidRPr="00671576" w14:paraId="5DC37E80" w14:textId="77777777" w:rsidTr="00BF73D6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50814F0F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Smoking, n (%)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BC2D5CF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20(23.3)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C91142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18(20.9)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4BE1D16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20(23.2)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C6ED2CC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28(32.6)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299B50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0.227</w:t>
            </w:r>
          </w:p>
        </w:tc>
      </w:tr>
      <w:tr w:rsidR="002B2D92" w:rsidRPr="00671576" w14:paraId="1EFDB0F4" w14:textId="77777777" w:rsidTr="00BF73D6">
        <w:trPr>
          <w:jc w:val="center"/>
        </w:trPr>
        <w:tc>
          <w:tcPr>
            <w:tcW w:w="3823" w:type="dxa"/>
          </w:tcPr>
          <w:p w14:paraId="2FD8D8FC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T2DM, n (%)</w:t>
            </w:r>
          </w:p>
        </w:tc>
        <w:tc>
          <w:tcPr>
            <w:tcW w:w="1559" w:type="dxa"/>
          </w:tcPr>
          <w:p w14:paraId="2D08F5E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11(30.6)</w:t>
            </w:r>
          </w:p>
        </w:tc>
        <w:tc>
          <w:tcPr>
            <w:tcW w:w="1559" w:type="dxa"/>
          </w:tcPr>
          <w:p w14:paraId="4BCEFEF4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11(30.6)</w:t>
            </w:r>
          </w:p>
        </w:tc>
        <w:tc>
          <w:tcPr>
            <w:tcW w:w="1559" w:type="dxa"/>
          </w:tcPr>
          <w:p w14:paraId="5F17B486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7(19.4)</w:t>
            </w:r>
          </w:p>
        </w:tc>
        <w:tc>
          <w:tcPr>
            <w:tcW w:w="1560" w:type="dxa"/>
          </w:tcPr>
          <w:p w14:paraId="2B756960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7(19.4)</w:t>
            </w:r>
          </w:p>
        </w:tc>
        <w:tc>
          <w:tcPr>
            <w:tcW w:w="992" w:type="dxa"/>
          </w:tcPr>
          <w:p w14:paraId="5258428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0.502</w:t>
            </w:r>
          </w:p>
        </w:tc>
      </w:tr>
      <w:tr w:rsidR="002B2D92" w:rsidRPr="00671576" w14:paraId="54BC349E" w14:textId="77777777" w:rsidTr="00BF73D6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057A4E0C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  <w:sz w:val="24"/>
                <w:szCs w:val="28"/>
              </w:rPr>
              <w:t>Chronic Urogenital Infections, n (%)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010C7D3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0(0.0)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ECEBC99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78(51.7)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C261658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0(0.0)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C3402DD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73(48.3)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25EAA69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2B2D92" w:rsidRPr="00671576" w14:paraId="61A91530" w14:textId="77777777" w:rsidTr="00BF73D6">
        <w:trPr>
          <w:jc w:val="center"/>
        </w:trPr>
        <w:tc>
          <w:tcPr>
            <w:tcW w:w="3823" w:type="dxa"/>
          </w:tcPr>
          <w:p w14:paraId="533B6D42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Sperm Concentration, millions/ml</w:t>
            </w:r>
          </w:p>
        </w:tc>
        <w:tc>
          <w:tcPr>
            <w:tcW w:w="1559" w:type="dxa"/>
          </w:tcPr>
          <w:p w14:paraId="29DB7158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33.46±13.46</w:t>
            </w:r>
          </w:p>
        </w:tc>
        <w:tc>
          <w:tcPr>
            <w:tcW w:w="1559" w:type="dxa"/>
          </w:tcPr>
          <w:p w14:paraId="6297F3D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29.35±13.47</w:t>
            </w:r>
          </w:p>
        </w:tc>
        <w:tc>
          <w:tcPr>
            <w:tcW w:w="1559" w:type="dxa"/>
          </w:tcPr>
          <w:p w14:paraId="7A717143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37.47±16.21</w:t>
            </w:r>
          </w:p>
        </w:tc>
        <w:tc>
          <w:tcPr>
            <w:tcW w:w="1560" w:type="dxa"/>
          </w:tcPr>
          <w:p w14:paraId="6D131D76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30.11±14.63</w:t>
            </w:r>
          </w:p>
        </w:tc>
        <w:tc>
          <w:tcPr>
            <w:tcW w:w="992" w:type="dxa"/>
          </w:tcPr>
          <w:p w14:paraId="115E171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0.003</w:t>
            </w:r>
          </w:p>
        </w:tc>
      </w:tr>
      <w:tr w:rsidR="002B2D92" w:rsidRPr="00671576" w14:paraId="7141ED9F" w14:textId="77777777" w:rsidTr="00BF73D6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2E9EBCFD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Sperm motility percentage, %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AC4F4A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44.44±13.10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0E9793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39.06±14.60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7DCEE34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44.66±14.67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1AB20F3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40.95±15.61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D1BDEDF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0.055</w:t>
            </w:r>
          </w:p>
        </w:tc>
      </w:tr>
      <w:tr w:rsidR="002B2D92" w:rsidRPr="00671576" w14:paraId="747BF859" w14:textId="77777777" w:rsidTr="00BF73D6">
        <w:trPr>
          <w:jc w:val="center"/>
        </w:trPr>
        <w:tc>
          <w:tcPr>
            <w:tcW w:w="3823" w:type="dxa"/>
          </w:tcPr>
          <w:p w14:paraId="0945DA16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Morphology percent, %</w:t>
            </w:r>
          </w:p>
        </w:tc>
        <w:tc>
          <w:tcPr>
            <w:tcW w:w="1559" w:type="dxa"/>
          </w:tcPr>
          <w:p w14:paraId="57CC3211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5.10±2.32</w:t>
            </w:r>
          </w:p>
        </w:tc>
        <w:tc>
          <w:tcPr>
            <w:tcW w:w="1559" w:type="dxa"/>
          </w:tcPr>
          <w:p w14:paraId="4FA9993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4.25±2.22</w:t>
            </w:r>
          </w:p>
        </w:tc>
        <w:tc>
          <w:tcPr>
            <w:tcW w:w="1559" w:type="dxa"/>
          </w:tcPr>
          <w:p w14:paraId="38684B38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5.21±1.70</w:t>
            </w:r>
          </w:p>
        </w:tc>
        <w:tc>
          <w:tcPr>
            <w:tcW w:w="1560" w:type="dxa"/>
          </w:tcPr>
          <w:p w14:paraId="141A7492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3.73±2.31</w:t>
            </w:r>
          </w:p>
        </w:tc>
        <w:tc>
          <w:tcPr>
            <w:tcW w:w="992" w:type="dxa"/>
          </w:tcPr>
          <w:p w14:paraId="55F6B49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2B2D92" w:rsidRPr="00671576" w14:paraId="0F962EC1" w14:textId="77777777" w:rsidTr="00BF73D6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52F35E33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Testosterone, ng/dl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71ABB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453.45±112.75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CD52F2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450.45±125.89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97E89F7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449.81±122.12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67F9563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426.32±124.55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792A379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0.514</w:t>
            </w:r>
          </w:p>
        </w:tc>
      </w:tr>
      <w:tr w:rsidR="002B2D92" w:rsidRPr="00671576" w14:paraId="37A0D24B" w14:textId="77777777" w:rsidTr="00BF73D6">
        <w:trPr>
          <w:jc w:val="center"/>
        </w:trPr>
        <w:tc>
          <w:tcPr>
            <w:tcW w:w="3823" w:type="dxa"/>
          </w:tcPr>
          <w:p w14:paraId="0F8C54C5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Infertility, n (%)</w:t>
            </w:r>
          </w:p>
        </w:tc>
        <w:tc>
          <w:tcPr>
            <w:tcW w:w="1559" w:type="dxa"/>
          </w:tcPr>
          <w:p w14:paraId="159CB4F4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37(23.1)</w:t>
            </w:r>
          </w:p>
        </w:tc>
        <w:tc>
          <w:tcPr>
            <w:tcW w:w="1559" w:type="dxa"/>
          </w:tcPr>
          <w:p w14:paraId="37D6AEA3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39(24.4)</w:t>
            </w:r>
          </w:p>
        </w:tc>
        <w:tc>
          <w:tcPr>
            <w:tcW w:w="1559" w:type="dxa"/>
          </w:tcPr>
          <w:p w14:paraId="41F66D52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40(25.0)</w:t>
            </w:r>
          </w:p>
        </w:tc>
        <w:tc>
          <w:tcPr>
            <w:tcW w:w="1560" w:type="dxa"/>
          </w:tcPr>
          <w:p w14:paraId="25CCAEE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44(27.5)</w:t>
            </w:r>
          </w:p>
        </w:tc>
        <w:tc>
          <w:tcPr>
            <w:tcW w:w="992" w:type="dxa"/>
          </w:tcPr>
          <w:p w14:paraId="385F35D4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0.638</w:t>
            </w:r>
          </w:p>
        </w:tc>
      </w:tr>
      <w:tr w:rsidR="002B2D92" w:rsidRPr="00671576" w14:paraId="7DA1DC49" w14:textId="77777777" w:rsidTr="00BF73D6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2FB05DA4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10" w:name="OLE_LINK21"/>
            <w:r w:rsidRPr="00671576">
              <w:rPr>
                <w:rFonts w:ascii="Times New Roman" w:hAnsi="Times New Roman" w:cs="Times New Roman"/>
              </w:rPr>
              <w:t>Teratozoospermia</w:t>
            </w:r>
            <w:bookmarkEnd w:id="10"/>
            <w:r w:rsidRPr="00671576">
              <w:rPr>
                <w:rFonts w:ascii="Times New Roman" w:hAnsi="Times New Roman" w:cs="Times New Roman"/>
              </w:rPr>
              <w:t>, n (%)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C05209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19(15.4)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BC0FE2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42(34.1)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5E3E7B5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17(13.8)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33CB8B0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45(36.6)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B85F8AE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1576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2B2D92" w:rsidRPr="00671576" w14:paraId="52C6AA1E" w14:textId="77777777" w:rsidTr="00BF73D6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14:paraId="458CDBBF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Duration of Infertility, yrs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D718B6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2.58±2.74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DBCE4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2.31±2.72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85D45D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2.49±2.78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130A158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2.66±2.71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AA713B" w14:textId="77777777" w:rsidR="002B2D92" w:rsidRPr="00671576" w:rsidRDefault="002B2D92" w:rsidP="00BF73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71576">
              <w:rPr>
                <w:rFonts w:ascii="Times New Roman" w:hAnsi="Times New Roman" w:cs="Times New Roman"/>
              </w:rPr>
              <w:t>0.876</w:t>
            </w:r>
          </w:p>
        </w:tc>
      </w:tr>
      <w:tr w:rsidR="002B2D92" w:rsidRPr="00671576" w14:paraId="5D375C6C" w14:textId="77777777" w:rsidTr="00BF73D6">
        <w:trPr>
          <w:trHeight w:val="769"/>
          <w:jc w:val="center"/>
        </w:trPr>
        <w:tc>
          <w:tcPr>
            <w:tcW w:w="11052" w:type="dxa"/>
            <w:gridSpan w:val="6"/>
            <w:tcBorders>
              <w:top w:val="single" w:sz="4" w:space="0" w:color="auto"/>
            </w:tcBorders>
          </w:tcPr>
          <w:p w14:paraId="2A7917E4" w14:textId="77777777" w:rsidR="002B2D92" w:rsidRPr="00671576" w:rsidRDefault="002B2D92" w:rsidP="00BF73D6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7157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Data are presented as mean </w:t>
            </w:r>
            <w:r w:rsidRPr="00671576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Pr="0067157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SD for continuous variables, or n (%) percentage for non-continuous variables, unless otherwise specified. </w:t>
            </w:r>
            <w:bookmarkStart w:id="11" w:name="OLE_LINK5"/>
            <w:bookmarkStart w:id="12" w:name="OLE_LINK6"/>
            <w:r w:rsidRPr="00671576">
              <w:rPr>
                <w:rFonts w:ascii="Times New Roman" w:eastAsia="Times New Roman" w:hAnsi="Times New Roman" w:cs="Times New Roman"/>
              </w:rPr>
              <w:t xml:space="preserve">Group-1 indicates non-Khat users without chronic urogenital infections; Group-2, non-Khat users with chronic urogenital infections only; Group-3, Khat users without </w:t>
            </w:r>
            <w:bookmarkStart w:id="13" w:name="OLE_LINK4"/>
            <w:r w:rsidRPr="00671576">
              <w:rPr>
                <w:rFonts w:ascii="Times New Roman" w:eastAsia="Times New Roman" w:hAnsi="Times New Roman" w:cs="Times New Roman"/>
              </w:rPr>
              <w:t>chronic urogenital infections</w:t>
            </w:r>
            <w:bookmarkEnd w:id="13"/>
            <w:r w:rsidRPr="00671576">
              <w:rPr>
                <w:rFonts w:ascii="Times New Roman" w:eastAsia="Times New Roman" w:hAnsi="Times New Roman" w:cs="Times New Roman"/>
              </w:rPr>
              <w:t xml:space="preserve">; and Group-4, Khat users with chronic urogenital infections. </w:t>
            </w:r>
            <w:bookmarkEnd w:id="11"/>
            <w:bookmarkEnd w:id="12"/>
            <w:r w:rsidRPr="00671576">
              <w:rPr>
                <w:rFonts w:ascii="Times New Roman" w:eastAsia="Times New Roman" w:hAnsi="Times New Roman" w:cs="Times New Roman"/>
              </w:rPr>
              <w:t xml:space="preserve">Other abbreviations are provided in Table-1. </w:t>
            </w:r>
            <w:r w:rsidRPr="00671576">
              <w:rPr>
                <w:rFonts w:ascii="Times New Roman" w:eastAsia="Times New Roman" w:hAnsi="Times New Roman" w:cs="Times New Roman"/>
                <w:b/>
              </w:rPr>
              <w:t>Boldface</w:t>
            </w:r>
            <w:r w:rsidRPr="00671576">
              <w:rPr>
                <w:rFonts w:ascii="Times New Roman" w:eastAsia="Times New Roman" w:hAnsi="Times New Roman" w:cs="Times New Roman"/>
              </w:rPr>
              <w:t xml:space="preserve"> indicates statistical significance at </w:t>
            </w:r>
            <w:r w:rsidRPr="00671576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 w:rsidRPr="00671576">
              <w:rPr>
                <w:rFonts w:ascii="Times New Roman" w:eastAsia="Times New Roman" w:hAnsi="Times New Roman" w:cs="Times New Roman"/>
              </w:rPr>
              <w:t xml:space="preserve">&lt;0.05. </w:t>
            </w:r>
          </w:p>
          <w:p w14:paraId="02965B40" w14:textId="77777777" w:rsidR="002B2D92" w:rsidRPr="00671576" w:rsidRDefault="002B2D92" w:rsidP="00BF73D6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FE18197" w14:textId="77777777" w:rsidR="002B2D92" w:rsidRPr="00671576" w:rsidRDefault="002B2D92" w:rsidP="002B2D92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9354CFA" w14:textId="77777777" w:rsidR="002B2D92" w:rsidRPr="00671576" w:rsidRDefault="002B2D92" w:rsidP="002B2D9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0CD70BD5" w14:textId="77777777" w:rsidR="002B2D92" w:rsidRPr="00671576" w:rsidRDefault="002B2D92" w:rsidP="002B2D9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30EDAB58" w14:textId="77777777" w:rsidR="002B2D92" w:rsidRDefault="002B2D92" w:rsidP="002B2D92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8D314F4" w14:textId="77777777" w:rsidR="002B2D92" w:rsidRPr="00671576" w:rsidRDefault="002B2D92" w:rsidP="002B2D92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4D7A124" w14:textId="77777777" w:rsidR="002B2D92" w:rsidRPr="00671576" w:rsidRDefault="002B2D92" w:rsidP="002B2D92">
      <w:pPr>
        <w:spacing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F4DCD61" w14:textId="77777777" w:rsidR="002B2D92" w:rsidRPr="00671576" w:rsidRDefault="002B2D92" w:rsidP="002B2D92">
      <w:pPr>
        <w:spacing w:line="276" w:lineRule="auto"/>
        <w:jc w:val="center"/>
        <w:rPr>
          <w:rFonts w:ascii="Times New Roman" w:hAnsi="Times New Roman" w:cs="Times New Roman"/>
          <w:color w:val="FF0000"/>
        </w:rPr>
      </w:pPr>
      <w:r w:rsidRPr="00671576">
        <w:rPr>
          <w:rFonts w:ascii="Times New Roman" w:hAnsi="Times New Roman" w:cs="Times New Roman"/>
          <w:b/>
          <w:bCs/>
          <w:color w:val="000000" w:themeColor="text1"/>
        </w:rPr>
        <w:t>Table 3</w:t>
      </w:r>
      <w:r w:rsidRPr="00671576">
        <w:rPr>
          <w:rFonts w:ascii="Times New Roman" w:hAnsi="Times New Roman" w:cs="Times New Roman"/>
          <w:color w:val="000000" w:themeColor="text1"/>
        </w:rPr>
        <w:t xml:space="preserve">: A Logistic Regression Analysis to Association between </w:t>
      </w:r>
      <w:bookmarkStart w:id="14" w:name="OLE_LINK17"/>
      <w:r w:rsidRPr="00671576">
        <w:rPr>
          <w:rFonts w:ascii="Times New Roman" w:hAnsi="Times New Roman" w:cs="Times New Roman"/>
          <w:color w:val="000000" w:themeColor="text1"/>
        </w:rPr>
        <w:t>Khat-</w:t>
      </w:r>
      <w:r w:rsidRPr="00671576">
        <w:rPr>
          <w:rFonts w:ascii="Times New Roman" w:hAnsi="Times New Roman" w:cs="Times New Roman"/>
          <w:szCs w:val="28"/>
        </w:rPr>
        <w:t>Chronic Urogenital Infections</w:t>
      </w:r>
      <w:r w:rsidRPr="00671576">
        <w:rPr>
          <w:rFonts w:ascii="Times New Roman" w:hAnsi="Times New Roman" w:cs="Times New Roman"/>
        </w:rPr>
        <w:t xml:space="preserve"> combination subgroup and risk of </w:t>
      </w:r>
      <w:bookmarkStart w:id="15" w:name="OLE_LINK7"/>
      <w:bookmarkStart w:id="16" w:name="OLE_LINK31"/>
      <w:r w:rsidRPr="00671576">
        <w:rPr>
          <w:rFonts w:ascii="Times New Roman" w:hAnsi="Times New Roman" w:cs="Times New Roman"/>
        </w:rPr>
        <w:t>Teratozoospermia</w:t>
      </w:r>
      <w:bookmarkEnd w:id="15"/>
      <w:r w:rsidRPr="00671576">
        <w:rPr>
          <w:rFonts w:ascii="Times New Roman" w:hAnsi="Times New Roman" w:cs="Times New Roman"/>
        </w:rPr>
        <w:t xml:space="preserve"> </w:t>
      </w:r>
      <w:bookmarkEnd w:id="16"/>
    </w:p>
    <w:bookmarkEnd w:id="14"/>
    <w:tbl>
      <w:tblPr>
        <w:tblStyle w:val="TableGrid"/>
        <w:tblW w:w="116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87"/>
        <w:gridCol w:w="835"/>
        <w:gridCol w:w="1417"/>
        <w:gridCol w:w="851"/>
        <w:gridCol w:w="740"/>
        <w:gridCol w:w="1528"/>
        <w:gridCol w:w="1275"/>
        <w:gridCol w:w="851"/>
      </w:tblGrid>
      <w:tr w:rsidR="002B2D92" w:rsidRPr="00671576" w14:paraId="382346A3" w14:textId="77777777" w:rsidTr="00BF73D6">
        <w:trPr>
          <w:jc w:val="center"/>
        </w:trPr>
        <w:tc>
          <w:tcPr>
            <w:tcW w:w="4122" w:type="dxa"/>
            <w:gridSpan w:val="2"/>
            <w:vMerge w:val="restart"/>
            <w:tcBorders>
              <w:top w:val="single" w:sz="4" w:space="0" w:color="auto"/>
            </w:tcBorders>
          </w:tcPr>
          <w:p w14:paraId="06CCB9EA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04F7E8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Exposure risk factors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A77E70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Univariate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</w:tcBorders>
            <w:hideMark/>
          </w:tcPr>
          <w:p w14:paraId="78AA4B9A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Multivariate</w:t>
            </w:r>
          </w:p>
        </w:tc>
      </w:tr>
      <w:tr w:rsidR="002B2D92" w:rsidRPr="00671576" w14:paraId="117C1AD7" w14:textId="77777777" w:rsidTr="00BF73D6">
        <w:trPr>
          <w:trHeight w:val="506"/>
          <w:jc w:val="center"/>
        </w:trPr>
        <w:tc>
          <w:tcPr>
            <w:tcW w:w="4122" w:type="dxa"/>
            <w:gridSpan w:val="2"/>
            <w:vMerge/>
          </w:tcPr>
          <w:p w14:paraId="3C59A013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hideMark/>
          </w:tcPr>
          <w:p w14:paraId="555ECFF8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OR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hideMark/>
          </w:tcPr>
          <w:p w14:paraId="315D397B" w14:textId="77777777" w:rsidR="002B2D92" w:rsidRPr="00671576" w:rsidRDefault="002B2D92" w:rsidP="00BF73D6">
            <w:pPr>
              <w:tabs>
                <w:tab w:val="left" w:pos="222"/>
                <w:tab w:val="center" w:pos="601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95%CI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hideMark/>
          </w:tcPr>
          <w:p w14:paraId="6072FC19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iCs/>
                <w:color w:val="000000" w:themeColor="text1"/>
              </w:rPr>
              <w:t>P-value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</w:tcBorders>
            <w:hideMark/>
          </w:tcPr>
          <w:p w14:paraId="363E31CF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OR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hideMark/>
          </w:tcPr>
          <w:p w14:paraId="0B09AD2A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95%CI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0D44EB5E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β-coefficient</w:t>
            </w:r>
          </w:p>
        </w:tc>
        <w:tc>
          <w:tcPr>
            <w:tcW w:w="851" w:type="dxa"/>
            <w:vMerge w:val="restart"/>
            <w:hideMark/>
          </w:tcPr>
          <w:p w14:paraId="28063716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iCs/>
                <w:color w:val="000000" w:themeColor="text1"/>
              </w:rPr>
              <w:t>P-value</w:t>
            </w:r>
          </w:p>
        </w:tc>
      </w:tr>
      <w:tr w:rsidR="002B2D92" w:rsidRPr="00671576" w14:paraId="1AB6588A" w14:textId="77777777" w:rsidTr="00BF73D6">
        <w:trPr>
          <w:trHeight w:val="273"/>
          <w:jc w:val="center"/>
        </w:trPr>
        <w:tc>
          <w:tcPr>
            <w:tcW w:w="4122" w:type="dxa"/>
            <w:gridSpan w:val="2"/>
            <w:vMerge/>
          </w:tcPr>
          <w:p w14:paraId="611E6765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vMerge/>
          </w:tcPr>
          <w:p w14:paraId="66717DDB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14:paraId="2AF6378A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14:paraId="42BD8213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740" w:type="dxa"/>
            <w:vMerge/>
          </w:tcPr>
          <w:p w14:paraId="7B33DDAD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vMerge/>
          </w:tcPr>
          <w:p w14:paraId="0FCC40B1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vMerge/>
          </w:tcPr>
          <w:p w14:paraId="29DA901B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Merge/>
          </w:tcPr>
          <w:p w14:paraId="40D7326D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</w:tr>
      <w:tr w:rsidR="002B2D92" w:rsidRPr="00671576" w14:paraId="3C6DFD92" w14:textId="77777777" w:rsidTr="00BF73D6">
        <w:trPr>
          <w:trHeight w:val="375"/>
          <w:jc w:val="center"/>
        </w:trPr>
        <w:tc>
          <w:tcPr>
            <w:tcW w:w="1135" w:type="dxa"/>
            <w:shd w:val="clear" w:color="auto" w:fill="D9D9D9" w:themeFill="background1" w:themeFillShade="D9"/>
          </w:tcPr>
          <w:p w14:paraId="606F70E9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iCs/>
                <w:color w:val="000000" w:themeColor="text1"/>
              </w:rPr>
            </w:pPr>
            <w:bookmarkStart w:id="17" w:name="OLE_LINK27"/>
            <w:bookmarkStart w:id="18" w:name="OLE_LINK28"/>
            <w:r w:rsidRPr="00671576">
              <w:rPr>
                <w:rFonts w:ascii="Times New Roman" w:hAnsi="Times New Roman" w:cs="Times New Roman"/>
                <w:iCs/>
                <w:color w:val="000000" w:themeColor="text1"/>
              </w:rPr>
              <w:t xml:space="preserve">Khat user </w:t>
            </w:r>
            <w:bookmarkEnd w:id="17"/>
            <w:bookmarkEnd w:id="18"/>
          </w:p>
        </w:tc>
        <w:tc>
          <w:tcPr>
            <w:tcW w:w="2987" w:type="dxa"/>
            <w:shd w:val="clear" w:color="auto" w:fill="D9D9D9" w:themeFill="background1" w:themeFillShade="D9"/>
          </w:tcPr>
          <w:p w14:paraId="2E4B7F20" w14:textId="77777777" w:rsidR="002B2D92" w:rsidRPr="00671576" w:rsidRDefault="002B2D92" w:rsidP="00BF73D6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szCs w:val="28"/>
              </w:rPr>
              <w:t>Chronic Urogenital Infections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58B85B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3A54AB5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2FDED0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83C254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C2F883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C4BE4A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C4EABC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2D92" w:rsidRPr="00671576" w14:paraId="2A8CD561" w14:textId="77777777" w:rsidTr="00BF73D6">
        <w:trPr>
          <w:jc w:val="center"/>
        </w:trPr>
        <w:tc>
          <w:tcPr>
            <w:tcW w:w="1135" w:type="dxa"/>
          </w:tcPr>
          <w:p w14:paraId="62A5AA9F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987" w:type="dxa"/>
          </w:tcPr>
          <w:p w14:paraId="088F74C6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</w:tcBorders>
          </w:tcPr>
          <w:p w14:paraId="027F8FB3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Ref=1(Control group)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2B8693E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7AA579A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Ref=1(Control group)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CEF84E3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BC9DF6B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2D92" w:rsidRPr="00671576" w14:paraId="75E4E5CF" w14:textId="77777777" w:rsidTr="00BF73D6">
        <w:trPr>
          <w:trHeight w:val="477"/>
          <w:jc w:val="center"/>
        </w:trPr>
        <w:tc>
          <w:tcPr>
            <w:tcW w:w="1135" w:type="dxa"/>
          </w:tcPr>
          <w:p w14:paraId="77E2A4FB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4CE01A9B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4C699C07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2.83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938BB8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1.409-5.663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963B6C8" w14:textId="77777777" w:rsidR="002B2D92" w:rsidRPr="00671576" w:rsidRDefault="002B2D92" w:rsidP="00BF73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b/>
                <w:color w:val="000000" w:themeColor="text1"/>
              </w:rPr>
              <w:t>0.003</w:t>
            </w: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14:paraId="6168058C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2.32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6EA9C577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1.127-4.786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2095EDE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+0.842</w:t>
            </w:r>
          </w:p>
        </w:tc>
        <w:tc>
          <w:tcPr>
            <w:tcW w:w="851" w:type="dxa"/>
          </w:tcPr>
          <w:p w14:paraId="3C892F35" w14:textId="77777777" w:rsidR="002B2D92" w:rsidRPr="00671576" w:rsidRDefault="002B2D92" w:rsidP="00BF73D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b/>
                <w:color w:val="000000" w:themeColor="text1"/>
              </w:rPr>
              <w:t>0.022</w:t>
            </w:r>
          </w:p>
        </w:tc>
      </w:tr>
      <w:tr w:rsidR="002B2D92" w:rsidRPr="00671576" w14:paraId="38FBB093" w14:textId="77777777" w:rsidTr="00BF73D6">
        <w:trPr>
          <w:jc w:val="center"/>
        </w:trPr>
        <w:tc>
          <w:tcPr>
            <w:tcW w:w="1135" w:type="dxa"/>
          </w:tcPr>
          <w:p w14:paraId="69513A12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87" w:type="dxa"/>
            <w:tcBorders>
              <w:top w:val="single" w:sz="4" w:space="0" w:color="auto"/>
            </w:tcBorders>
          </w:tcPr>
          <w:p w14:paraId="6C2DB8C0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14:paraId="31159363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C41DB3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B4229C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</w:tcPr>
          <w:p w14:paraId="5AA0988E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5E097047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2534D4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D68651C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B2D92" w:rsidRPr="00671576" w14:paraId="68EDAF8C" w14:textId="77777777" w:rsidTr="00BF73D6">
        <w:trPr>
          <w:trHeight w:val="159"/>
          <w:jc w:val="center"/>
        </w:trPr>
        <w:tc>
          <w:tcPr>
            <w:tcW w:w="1135" w:type="dxa"/>
            <w:shd w:val="clear" w:color="auto" w:fill="D9D9D9" w:themeFill="background1" w:themeFillShade="D9"/>
          </w:tcPr>
          <w:p w14:paraId="2AB1C33B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2987" w:type="dxa"/>
            <w:shd w:val="clear" w:color="auto" w:fill="D9D9D9" w:themeFill="background1" w:themeFillShade="D9"/>
          </w:tcPr>
          <w:p w14:paraId="009B8162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 xml:space="preserve">NO </w:t>
            </w:r>
          </w:p>
        </w:tc>
        <w:tc>
          <w:tcPr>
            <w:tcW w:w="835" w:type="dxa"/>
            <w:shd w:val="clear" w:color="auto" w:fill="D9D9D9" w:themeFill="background1" w:themeFillShade="D9"/>
          </w:tcPr>
          <w:p w14:paraId="68BF42FF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0.76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7A2BE6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0.355-1.635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5F2CDC7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0.486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0ECD201D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0.81</w:t>
            </w:r>
          </w:p>
        </w:tc>
        <w:tc>
          <w:tcPr>
            <w:tcW w:w="1528" w:type="dxa"/>
            <w:shd w:val="clear" w:color="auto" w:fill="D9D9D9" w:themeFill="background1" w:themeFillShade="D9"/>
          </w:tcPr>
          <w:p w14:paraId="6E55C3B0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0.370-1.777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B4117E4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-0.210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3B3E87D4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0.600</w:t>
            </w:r>
          </w:p>
        </w:tc>
      </w:tr>
      <w:tr w:rsidR="002B2D92" w:rsidRPr="00671576" w14:paraId="084D1B47" w14:textId="77777777" w:rsidTr="00BF73D6">
        <w:trPr>
          <w:trHeight w:val="470"/>
          <w:jc w:val="center"/>
        </w:trPr>
        <w:tc>
          <w:tcPr>
            <w:tcW w:w="1135" w:type="dxa"/>
            <w:shd w:val="clear" w:color="auto" w:fill="D9D9D9" w:themeFill="background1" w:themeFillShade="D9"/>
          </w:tcPr>
          <w:p w14:paraId="01747E68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220883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  <w:p w14:paraId="4DAD744A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531314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3.89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0F91BA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1.907-7.937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564D89" w14:textId="77777777" w:rsidR="002B2D92" w:rsidRPr="00671576" w:rsidRDefault="002B2D92" w:rsidP="00BF73D6">
            <w:pPr>
              <w:spacing w:after="16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E946C1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3.88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4C269E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1.836-8.180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724055" w14:textId="77777777" w:rsidR="002B2D92" w:rsidRPr="00671576" w:rsidRDefault="002B2D92" w:rsidP="00BF73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+1.353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1ADAEB" w14:textId="77777777" w:rsidR="002B2D92" w:rsidRPr="00671576" w:rsidRDefault="002B2D92" w:rsidP="00BF73D6">
            <w:pPr>
              <w:spacing w:after="16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</w:p>
        </w:tc>
      </w:tr>
      <w:tr w:rsidR="002B2D92" w:rsidRPr="00671576" w14:paraId="5411B9DE" w14:textId="77777777" w:rsidTr="00BF73D6">
        <w:trPr>
          <w:trHeight w:val="280"/>
          <w:jc w:val="center"/>
        </w:trPr>
        <w:tc>
          <w:tcPr>
            <w:tcW w:w="7225" w:type="dxa"/>
            <w:gridSpan w:val="5"/>
            <w:tcBorders>
              <w:bottom w:val="single" w:sz="4" w:space="0" w:color="auto"/>
            </w:tcBorders>
          </w:tcPr>
          <w:p w14:paraId="111C2539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CCB88C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9" w:name="OLE_LINK32"/>
            <w:bookmarkStart w:id="20" w:name="OLE_LINK33"/>
            <w:r w:rsidRPr="00671576">
              <w:rPr>
                <w:rFonts w:ascii="Times New Roman" w:hAnsi="Times New Roman" w:cs="Times New Roman"/>
                <w:color w:val="000000" w:themeColor="text1"/>
              </w:rPr>
              <w:t xml:space="preserve">Interaction between Khat and </w:t>
            </w:r>
            <w:r w:rsidRPr="00671576">
              <w:rPr>
                <w:rFonts w:ascii="Times New Roman" w:hAnsi="Times New Roman" w:cs="Times New Roman"/>
                <w:szCs w:val="28"/>
              </w:rPr>
              <w:t xml:space="preserve">Chronic Urogenital Infections </w:t>
            </w:r>
            <w:bookmarkEnd w:id="19"/>
            <w:bookmarkEnd w:id="20"/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6BD0BF94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52802F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2.97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720C68CF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1DAFF4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1.645-5.368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AF40D10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A60E75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color w:val="000000" w:themeColor="text1"/>
              </w:rPr>
              <w:t>+1.090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856AB4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95B712D" w14:textId="77777777" w:rsidR="002B2D92" w:rsidRPr="00671576" w:rsidRDefault="002B2D92" w:rsidP="00BF73D6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71576">
              <w:rPr>
                <w:rFonts w:ascii="Times New Roman" w:hAnsi="Times New Roman" w:cs="Times New Roman"/>
                <w:b/>
                <w:color w:val="000000" w:themeColor="text1"/>
              </w:rPr>
              <w:t>&lt;0.001</w:t>
            </w:r>
          </w:p>
        </w:tc>
      </w:tr>
      <w:tr w:rsidR="002B2D92" w:rsidRPr="00671576" w14:paraId="715DD962" w14:textId="77777777" w:rsidTr="00BF73D6">
        <w:trPr>
          <w:trHeight w:val="2028"/>
          <w:jc w:val="center"/>
        </w:trPr>
        <w:tc>
          <w:tcPr>
            <w:tcW w:w="11619" w:type="dxa"/>
            <w:gridSpan w:val="9"/>
            <w:tcBorders>
              <w:top w:val="single" w:sz="4" w:space="0" w:color="auto"/>
            </w:tcBorders>
            <w:hideMark/>
          </w:tcPr>
          <w:p w14:paraId="4714506A" w14:textId="77777777" w:rsidR="002B2D92" w:rsidRPr="00671576" w:rsidRDefault="002B2D92" w:rsidP="00BF73D6">
            <w:pPr>
              <w:pStyle w:val="NormalWeb"/>
              <w:spacing w:before="0" w:beforeAutospacing="0" w:after="0" w:afterAutospacing="0" w:line="480" w:lineRule="auto"/>
              <w:jc w:val="both"/>
            </w:pPr>
            <w:r w:rsidRPr="00671576">
              <w:rPr>
                <w:color w:val="000000" w:themeColor="text1"/>
              </w:rPr>
              <w:t xml:space="preserve"> </w:t>
            </w:r>
            <w:r w:rsidRPr="00671576">
              <w:t xml:space="preserve">Variables with a </w:t>
            </w:r>
            <w:r w:rsidRPr="00671576">
              <w:rPr>
                <w:iCs/>
              </w:rPr>
              <w:t>P</w:t>
            </w:r>
            <w:r w:rsidRPr="00671576">
              <w:t xml:space="preserve"> value &lt;0.05 in the univariable analysis were included in the multivariable model. The multivariable model was fully adjusted for age, BMI, T2DM, smoking status, sperm concentration, and sperm motility. Abbreviations: OR, odds ratio; CI, confidence interval; other abbreviations are presented in Table-1. </w:t>
            </w:r>
            <w:r w:rsidRPr="00671576">
              <w:rPr>
                <w:b/>
              </w:rPr>
              <w:t>Bold</w:t>
            </w:r>
            <w:r w:rsidRPr="00671576">
              <w:t xml:space="preserve"> values indicate statistical significance.</w:t>
            </w:r>
          </w:p>
        </w:tc>
      </w:tr>
    </w:tbl>
    <w:p w14:paraId="38696D81" w14:textId="77777777" w:rsidR="002B2D92" w:rsidRDefault="002B2D92" w:rsidP="002B2D92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772EE39C" w14:textId="77777777" w:rsidR="00E023F9" w:rsidRDefault="00E023F9"/>
    <w:sectPr w:rsidR="00E023F9" w:rsidSect="002B2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92"/>
    <w:rsid w:val="000C4033"/>
    <w:rsid w:val="00173ED8"/>
    <w:rsid w:val="002B2D92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B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28084"/>
  <w15:chartTrackingRefBased/>
  <w15:docId w15:val="{56885FFF-DC03-4F33-AACA-55200157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D92"/>
    <w:pPr>
      <w:spacing w:line="259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D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D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D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D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D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D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D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D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D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D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D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2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2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D9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2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2D92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2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2D92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2D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D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2D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2D92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2D92"/>
    <w:rPr>
      <w:rFonts w:cs="Times New Roman"/>
      <w:i/>
    </w:rPr>
  </w:style>
  <w:style w:type="character" w:styleId="Strong">
    <w:name w:val="Strong"/>
    <w:basedOn w:val="DefaultParagraphFont"/>
    <w:uiPriority w:val="22"/>
    <w:qFormat/>
    <w:rsid w:val="002B2D92"/>
    <w:rPr>
      <w:b/>
      <w:bCs/>
    </w:rPr>
  </w:style>
  <w:style w:type="paragraph" w:styleId="NormalWeb">
    <w:name w:val="Normal (Web)"/>
    <w:basedOn w:val="Normal"/>
    <w:uiPriority w:val="99"/>
    <w:unhideWhenUsed/>
    <w:rsid w:val="002B2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2B2D92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B2D92"/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2026-06-24T23:22:00Z</dcterms:created>
  <dcterms:modified xsi:type="dcterms:W3CDTF">2026-06-24T23:22:00Z</dcterms:modified>
</cp:coreProperties>
</file>