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FDB05" w14:textId="109F7607" w:rsidR="006D6EF6" w:rsidRPr="00496530" w:rsidRDefault="006D6EF6" w:rsidP="007B61A6">
      <w:pPr>
        <w:widowControl/>
        <w:spacing w:before="100" w:beforeAutospacing="1" w:after="100" w:afterAutospacing="1"/>
        <w:jc w:val="left"/>
        <w:outlineLvl w:val="2"/>
        <w:rPr>
          <w:rFonts w:ascii="Times New Roman" w:eastAsia="宋体" w:hAnsi="Times New Roman" w:cs="Times New Roman"/>
          <w:b/>
          <w:bCs/>
          <w:spacing w:val="2"/>
          <w:kern w:val="0"/>
          <w:sz w:val="27"/>
          <w:szCs w:val="27"/>
        </w:rPr>
      </w:pPr>
      <w:r w:rsidRPr="00496530">
        <w:rPr>
          <w:rFonts w:ascii="Times New Roman" w:eastAsia="宋体" w:hAnsi="Times New Roman" w:cs="Times New Roman"/>
          <w:b/>
          <w:bCs/>
          <w:spacing w:val="2"/>
          <w:kern w:val="0"/>
          <w:sz w:val="27"/>
          <w:szCs w:val="27"/>
        </w:rPr>
        <w:t xml:space="preserve">Supplementary materials of </w:t>
      </w:r>
    </w:p>
    <w:p w14:paraId="342F0C37" w14:textId="77777777" w:rsidR="006D6EF6" w:rsidRPr="00496530" w:rsidRDefault="006D6EF6" w:rsidP="006D6EF6">
      <w:pPr>
        <w:spacing w:line="276" w:lineRule="auto"/>
        <w:rPr>
          <w:rFonts w:ascii="Times New Roman" w:hAnsi="Times New Roman" w:cs="Times New Roman"/>
          <w:b/>
          <w:bCs/>
          <w:sz w:val="28"/>
          <w:szCs w:val="28"/>
        </w:rPr>
      </w:pPr>
      <w:r w:rsidRPr="00496530">
        <w:rPr>
          <w:rFonts w:ascii="Times New Roman" w:hAnsi="Times New Roman" w:cs="Times New Roman"/>
          <w:b/>
          <w:bCs/>
          <w:sz w:val="28"/>
          <w:szCs w:val="28"/>
        </w:rPr>
        <w:t>Widespread impacts of climate extremes on terrestrial carbon cycling revealed by station-scale observations</w:t>
      </w:r>
    </w:p>
    <w:p w14:paraId="0BF46EBA" w14:textId="77777777" w:rsidR="006D6EF6" w:rsidRPr="00496530" w:rsidRDefault="006D6EF6" w:rsidP="006D6EF6">
      <w:pPr>
        <w:spacing w:line="276" w:lineRule="auto"/>
        <w:rPr>
          <w:rFonts w:ascii="Times New Roman" w:hAnsi="Times New Roman" w:cs="Times New Roman"/>
          <w:sz w:val="20"/>
          <w:szCs w:val="21"/>
        </w:rPr>
      </w:pPr>
      <w:r w:rsidRPr="00496530">
        <w:rPr>
          <w:rFonts w:ascii="Times New Roman" w:hAnsi="Times New Roman" w:cs="Times New Roman"/>
          <w:sz w:val="20"/>
          <w:szCs w:val="21"/>
        </w:rPr>
        <w:t>Haiyang Shi</w:t>
      </w:r>
      <w:r w:rsidRPr="00496530">
        <w:rPr>
          <w:rFonts w:ascii="Times New Roman" w:hAnsi="Times New Roman" w:cs="Times New Roman"/>
          <w:sz w:val="20"/>
          <w:szCs w:val="21"/>
          <w:vertAlign w:val="superscript"/>
        </w:rPr>
        <w:t>1,2,6*</w:t>
      </w:r>
      <w:r w:rsidRPr="00496530">
        <w:rPr>
          <w:rFonts w:ascii="Times New Roman" w:hAnsi="Times New Roman" w:cs="Times New Roman"/>
          <w:sz w:val="20"/>
          <w:szCs w:val="21"/>
        </w:rPr>
        <w:t xml:space="preserve">, </w:t>
      </w:r>
      <w:proofErr w:type="spellStart"/>
      <w:r w:rsidRPr="00496530">
        <w:rPr>
          <w:rFonts w:ascii="Times New Roman" w:hAnsi="Times New Roman" w:cs="Times New Roman"/>
          <w:sz w:val="20"/>
          <w:szCs w:val="21"/>
        </w:rPr>
        <w:t>Ruixiang</w:t>
      </w:r>
      <w:proofErr w:type="spellEnd"/>
      <w:r w:rsidRPr="00496530">
        <w:rPr>
          <w:rFonts w:ascii="Times New Roman" w:hAnsi="Times New Roman" w:cs="Times New Roman"/>
          <w:sz w:val="20"/>
          <w:szCs w:val="21"/>
        </w:rPr>
        <w:t xml:space="preserve"> Gao</w:t>
      </w:r>
      <w:r w:rsidRPr="00496530">
        <w:rPr>
          <w:rFonts w:ascii="Times New Roman" w:hAnsi="Times New Roman" w:cs="Times New Roman"/>
          <w:sz w:val="20"/>
          <w:szCs w:val="21"/>
          <w:vertAlign w:val="superscript"/>
        </w:rPr>
        <w:t>1</w:t>
      </w:r>
      <w:r w:rsidRPr="00496530">
        <w:rPr>
          <w:rFonts w:ascii="Times New Roman" w:hAnsi="Times New Roman" w:cs="Times New Roman"/>
          <w:sz w:val="20"/>
          <w:szCs w:val="21"/>
        </w:rPr>
        <w:t>, Yuanyuan Huang</w:t>
      </w:r>
      <w:r w:rsidRPr="00496530">
        <w:rPr>
          <w:rFonts w:ascii="Times New Roman" w:hAnsi="Times New Roman" w:cs="Times New Roman"/>
          <w:sz w:val="20"/>
          <w:szCs w:val="21"/>
          <w:vertAlign w:val="superscript"/>
        </w:rPr>
        <w:t>5</w:t>
      </w:r>
      <w:r w:rsidRPr="00496530">
        <w:rPr>
          <w:rFonts w:ascii="Times New Roman" w:hAnsi="Times New Roman" w:cs="Times New Roman"/>
          <w:sz w:val="20"/>
          <w:szCs w:val="21"/>
        </w:rPr>
        <w:t xml:space="preserve">, </w:t>
      </w:r>
      <w:proofErr w:type="spellStart"/>
      <w:r w:rsidRPr="00496530">
        <w:rPr>
          <w:rFonts w:ascii="Times New Roman" w:hAnsi="Times New Roman" w:cs="Times New Roman"/>
          <w:sz w:val="20"/>
          <w:szCs w:val="21"/>
        </w:rPr>
        <w:t>Wenli</w:t>
      </w:r>
      <w:proofErr w:type="spellEnd"/>
      <w:r w:rsidRPr="00496530">
        <w:rPr>
          <w:rFonts w:ascii="Times New Roman" w:hAnsi="Times New Roman" w:cs="Times New Roman"/>
          <w:sz w:val="20"/>
          <w:szCs w:val="21"/>
        </w:rPr>
        <w:t xml:space="preserve"> Zhao</w:t>
      </w:r>
      <w:r w:rsidRPr="00496530">
        <w:rPr>
          <w:rFonts w:ascii="Times New Roman" w:hAnsi="Times New Roman" w:cs="Times New Roman"/>
          <w:sz w:val="20"/>
          <w:szCs w:val="21"/>
          <w:vertAlign w:val="superscript"/>
        </w:rPr>
        <w:t>3</w:t>
      </w:r>
      <w:r w:rsidRPr="00496530">
        <w:rPr>
          <w:rFonts w:ascii="Times New Roman" w:hAnsi="Times New Roman" w:cs="Times New Roman"/>
          <w:sz w:val="20"/>
          <w:szCs w:val="21"/>
        </w:rPr>
        <w:t xml:space="preserve">, </w:t>
      </w:r>
      <w:proofErr w:type="spellStart"/>
      <w:r w:rsidRPr="00496530">
        <w:rPr>
          <w:rFonts w:ascii="Times New Roman" w:hAnsi="Times New Roman" w:cs="Times New Roman"/>
          <w:sz w:val="20"/>
          <w:szCs w:val="21"/>
        </w:rPr>
        <w:t>Zengyun</w:t>
      </w:r>
      <w:proofErr w:type="spellEnd"/>
      <w:r w:rsidRPr="00496530">
        <w:rPr>
          <w:rFonts w:ascii="Times New Roman" w:hAnsi="Times New Roman" w:cs="Times New Roman"/>
          <w:sz w:val="20"/>
          <w:szCs w:val="21"/>
        </w:rPr>
        <w:t xml:space="preserve"> Hu</w:t>
      </w:r>
      <w:r w:rsidRPr="00496530">
        <w:rPr>
          <w:rFonts w:ascii="Times New Roman" w:hAnsi="Times New Roman" w:cs="Times New Roman"/>
          <w:sz w:val="20"/>
          <w:szCs w:val="21"/>
          <w:vertAlign w:val="superscript"/>
        </w:rPr>
        <w:t>6*</w:t>
      </w:r>
      <w:r w:rsidRPr="00496530">
        <w:rPr>
          <w:rFonts w:ascii="Times New Roman" w:hAnsi="Times New Roman" w:cs="Times New Roman"/>
          <w:sz w:val="20"/>
          <w:szCs w:val="21"/>
        </w:rPr>
        <w:t>, Philippe De Maeyer</w:t>
      </w:r>
      <w:r w:rsidRPr="00496530">
        <w:rPr>
          <w:rFonts w:ascii="Times New Roman" w:hAnsi="Times New Roman" w:cs="Times New Roman"/>
          <w:sz w:val="20"/>
          <w:szCs w:val="21"/>
          <w:vertAlign w:val="superscript"/>
        </w:rPr>
        <w:t>2,4</w:t>
      </w:r>
      <w:r w:rsidRPr="00496530">
        <w:rPr>
          <w:rFonts w:ascii="Times New Roman" w:hAnsi="Times New Roman" w:cs="Times New Roman"/>
          <w:sz w:val="20"/>
          <w:szCs w:val="21"/>
        </w:rPr>
        <w:t>, Tim Van de Voorde</w:t>
      </w:r>
      <w:r w:rsidRPr="00496530">
        <w:rPr>
          <w:rFonts w:ascii="Times New Roman" w:hAnsi="Times New Roman" w:cs="Times New Roman"/>
          <w:sz w:val="20"/>
          <w:szCs w:val="21"/>
          <w:vertAlign w:val="superscript"/>
        </w:rPr>
        <w:t>2,4</w:t>
      </w:r>
      <w:r w:rsidRPr="00496530">
        <w:rPr>
          <w:rFonts w:ascii="Times New Roman" w:hAnsi="Times New Roman" w:cs="Times New Roman"/>
          <w:sz w:val="20"/>
          <w:szCs w:val="21"/>
        </w:rPr>
        <w:t xml:space="preserve"> and </w:t>
      </w:r>
      <w:proofErr w:type="spellStart"/>
      <w:r w:rsidRPr="00496530">
        <w:rPr>
          <w:rFonts w:ascii="Times New Roman" w:hAnsi="Times New Roman" w:cs="Times New Roman"/>
          <w:sz w:val="20"/>
          <w:szCs w:val="21"/>
        </w:rPr>
        <w:t>Geping</w:t>
      </w:r>
      <w:proofErr w:type="spellEnd"/>
      <w:r w:rsidRPr="00496530">
        <w:rPr>
          <w:rFonts w:ascii="Times New Roman" w:hAnsi="Times New Roman" w:cs="Times New Roman"/>
          <w:sz w:val="20"/>
          <w:szCs w:val="21"/>
        </w:rPr>
        <w:t xml:space="preserve"> Luo</w:t>
      </w:r>
      <w:r w:rsidRPr="00496530">
        <w:rPr>
          <w:rFonts w:ascii="Times New Roman" w:hAnsi="Times New Roman" w:cs="Times New Roman"/>
          <w:sz w:val="20"/>
          <w:szCs w:val="21"/>
          <w:vertAlign w:val="superscript"/>
        </w:rPr>
        <w:t>1*</w:t>
      </w:r>
    </w:p>
    <w:p w14:paraId="3B4899C1" w14:textId="77777777" w:rsidR="006D6EF6" w:rsidRPr="00496530" w:rsidRDefault="006D6EF6" w:rsidP="006D6EF6">
      <w:pPr>
        <w:spacing w:line="276" w:lineRule="auto"/>
        <w:rPr>
          <w:rFonts w:ascii="Times New Roman" w:hAnsi="Times New Roman" w:cs="Times New Roman"/>
        </w:rPr>
      </w:pPr>
    </w:p>
    <w:p w14:paraId="6B3F6630" w14:textId="77777777" w:rsidR="006D6EF6" w:rsidRPr="00496530" w:rsidRDefault="006D6EF6" w:rsidP="006D6EF6">
      <w:pPr>
        <w:spacing w:line="276" w:lineRule="auto"/>
        <w:rPr>
          <w:rFonts w:ascii="Times New Roman" w:hAnsi="Times New Roman" w:cs="Times New Roman"/>
          <w:sz w:val="18"/>
          <w:szCs w:val="20"/>
        </w:rPr>
      </w:pPr>
      <w:r w:rsidRPr="00496530">
        <w:rPr>
          <w:rFonts w:ascii="Times New Roman" w:hAnsi="Times New Roman" w:cs="Times New Roman"/>
          <w:sz w:val="18"/>
          <w:szCs w:val="20"/>
        </w:rPr>
        <w:t>1 State Key Laboratory of Desert and Oasis Ecology, Xinjiang Institute of Ecology and Geography, Chinese Academy of Sciences, Urumqi, 830011, China</w:t>
      </w:r>
    </w:p>
    <w:p w14:paraId="7A4040E9" w14:textId="77777777" w:rsidR="006D6EF6" w:rsidRPr="00496530" w:rsidRDefault="006D6EF6" w:rsidP="006D6EF6">
      <w:pPr>
        <w:spacing w:line="276" w:lineRule="auto"/>
        <w:rPr>
          <w:rFonts w:ascii="Times New Roman" w:hAnsi="Times New Roman" w:cs="Times New Roman"/>
          <w:sz w:val="18"/>
          <w:szCs w:val="20"/>
        </w:rPr>
      </w:pPr>
      <w:r w:rsidRPr="00496530">
        <w:rPr>
          <w:rFonts w:ascii="Times New Roman" w:hAnsi="Times New Roman" w:cs="Times New Roman"/>
          <w:sz w:val="18"/>
          <w:szCs w:val="20"/>
        </w:rPr>
        <w:t>2 Sino-Belgian Joint Laboratory for Geo-Information, Ghent, 9000, Belgium</w:t>
      </w:r>
    </w:p>
    <w:p w14:paraId="0E07260E" w14:textId="77777777" w:rsidR="006D6EF6" w:rsidRPr="00496530" w:rsidRDefault="006D6EF6" w:rsidP="006D6EF6">
      <w:pPr>
        <w:spacing w:line="276" w:lineRule="auto"/>
        <w:rPr>
          <w:rFonts w:ascii="Times New Roman" w:hAnsi="Times New Roman" w:cs="Times New Roman"/>
          <w:sz w:val="18"/>
          <w:szCs w:val="20"/>
        </w:rPr>
      </w:pPr>
      <w:r w:rsidRPr="00496530">
        <w:rPr>
          <w:rFonts w:ascii="Times New Roman" w:hAnsi="Times New Roman" w:cs="Times New Roman"/>
          <w:sz w:val="18"/>
          <w:szCs w:val="20"/>
        </w:rPr>
        <w:t>3 Earth and Environmental Engineering and Earth Institute, Columbia University, New York, New York, USA</w:t>
      </w:r>
    </w:p>
    <w:p w14:paraId="434BA0DB" w14:textId="77777777" w:rsidR="006D6EF6" w:rsidRPr="00496530" w:rsidRDefault="006D6EF6" w:rsidP="006D6EF6">
      <w:pPr>
        <w:spacing w:line="276" w:lineRule="auto"/>
        <w:rPr>
          <w:rFonts w:ascii="Times New Roman" w:hAnsi="Times New Roman" w:cs="Times New Roman"/>
          <w:sz w:val="18"/>
          <w:szCs w:val="20"/>
        </w:rPr>
      </w:pPr>
      <w:bookmarkStart w:id="0" w:name="_Hlk74694245"/>
      <w:r w:rsidRPr="00496530">
        <w:rPr>
          <w:rFonts w:ascii="Times New Roman" w:hAnsi="Times New Roman" w:cs="Times New Roman"/>
          <w:sz w:val="18"/>
          <w:szCs w:val="20"/>
        </w:rPr>
        <w:t>4 Department of Geography, Ghent University, Ghent 9000, Belgium</w:t>
      </w:r>
      <w:bookmarkEnd w:id="0"/>
      <w:r w:rsidRPr="00496530">
        <w:rPr>
          <w:rFonts w:ascii="Times New Roman" w:hAnsi="Times New Roman" w:cs="Times New Roman"/>
          <w:sz w:val="18"/>
          <w:szCs w:val="20"/>
        </w:rPr>
        <w:t>.</w:t>
      </w:r>
    </w:p>
    <w:p w14:paraId="4766CD1F" w14:textId="77777777" w:rsidR="006D6EF6" w:rsidRPr="00496530" w:rsidRDefault="006D6EF6" w:rsidP="006D6EF6">
      <w:pPr>
        <w:spacing w:line="276" w:lineRule="auto"/>
        <w:rPr>
          <w:rFonts w:ascii="Times New Roman" w:hAnsi="Times New Roman" w:cs="Times New Roman"/>
          <w:sz w:val="18"/>
          <w:szCs w:val="20"/>
        </w:rPr>
      </w:pPr>
      <w:r w:rsidRPr="00496530">
        <w:rPr>
          <w:rFonts w:ascii="Times New Roman" w:hAnsi="Times New Roman" w:cs="Times New Roman"/>
          <w:sz w:val="18"/>
          <w:szCs w:val="20"/>
        </w:rPr>
        <w:t>5 Key Laboratory of Ecosystem Network Observation and Modeling, Institute of Geographic Sciences and Natural Resources Research, Chinese Academy of Sciences, Beijing 100101, China</w:t>
      </w:r>
    </w:p>
    <w:p w14:paraId="4DD7F6C0" w14:textId="77777777" w:rsidR="006D6EF6" w:rsidRPr="00496530" w:rsidRDefault="006D6EF6" w:rsidP="006D6EF6">
      <w:pPr>
        <w:spacing w:line="276" w:lineRule="auto"/>
        <w:rPr>
          <w:rFonts w:ascii="Times New Roman" w:hAnsi="Times New Roman" w:cs="Times New Roman"/>
          <w:sz w:val="18"/>
          <w:szCs w:val="20"/>
        </w:rPr>
      </w:pPr>
      <w:r w:rsidRPr="00496530">
        <w:rPr>
          <w:rFonts w:ascii="Times New Roman" w:hAnsi="Times New Roman" w:cs="Times New Roman"/>
          <w:sz w:val="18"/>
          <w:szCs w:val="20"/>
        </w:rPr>
        <w:t>6 School of Global Health, Chinese Center for Tropical Diseases Research, Shanghai Jiao Tong University School of Medicine, Shanghai, 200025, China</w:t>
      </w:r>
    </w:p>
    <w:p w14:paraId="71221171" w14:textId="77777777" w:rsidR="006D6EF6" w:rsidRPr="00496530" w:rsidRDefault="006D6EF6" w:rsidP="006D6EF6">
      <w:pPr>
        <w:spacing w:line="276" w:lineRule="auto"/>
        <w:rPr>
          <w:rFonts w:ascii="Times New Roman" w:hAnsi="Times New Roman" w:cs="Times New Roman"/>
          <w:sz w:val="18"/>
          <w:szCs w:val="20"/>
        </w:rPr>
      </w:pPr>
    </w:p>
    <w:p w14:paraId="43041942" w14:textId="641FE3F9" w:rsidR="006D6EF6" w:rsidRPr="00496530" w:rsidRDefault="006D6EF6" w:rsidP="006D6EF6">
      <w:pPr>
        <w:suppressAutoHyphens/>
        <w:rPr>
          <w:rFonts w:ascii="Times New Roman" w:hAnsi="Times New Roman" w:cs="Times New Roman"/>
          <w:b/>
          <w:bCs/>
          <w:sz w:val="18"/>
          <w:szCs w:val="18"/>
          <w:shd w:val="clear" w:color="auto" w:fill="FFFFFF"/>
        </w:rPr>
      </w:pPr>
      <w:r w:rsidRPr="00496530">
        <w:rPr>
          <w:rFonts w:ascii="Times New Roman" w:hAnsi="Times New Roman" w:cs="Times New Roman"/>
          <w:b/>
          <w:bCs/>
          <w:sz w:val="18"/>
          <w:szCs w:val="18"/>
          <w:shd w:val="clear" w:color="auto" w:fill="FFFFFF"/>
        </w:rPr>
        <w:t xml:space="preserve">*Correspondence: Haiyang Shi (haiyang.shi9473@outlook.com), </w:t>
      </w:r>
      <w:proofErr w:type="spellStart"/>
      <w:r w:rsidRPr="00496530">
        <w:rPr>
          <w:rFonts w:ascii="Times New Roman" w:hAnsi="Times New Roman" w:cs="Times New Roman"/>
          <w:b/>
          <w:bCs/>
          <w:sz w:val="18"/>
          <w:szCs w:val="18"/>
          <w:shd w:val="clear" w:color="auto" w:fill="FFFFFF"/>
        </w:rPr>
        <w:t>Zengyun</w:t>
      </w:r>
      <w:proofErr w:type="spellEnd"/>
      <w:r w:rsidRPr="00496530">
        <w:rPr>
          <w:rFonts w:ascii="Times New Roman" w:hAnsi="Times New Roman" w:cs="Times New Roman"/>
          <w:b/>
          <w:bCs/>
          <w:sz w:val="18"/>
          <w:szCs w:val="18"/>
          <w:shd w:val="clear" w:color="auto" w:fill="FFFFFF"/>
        </w:rPr>
        <w:t xml:space="preserve"> Hu (</w:t>
      </w:r>
      <w:hyperlink r:id="rId6" w:history="1">
        <w:r w:rsidRPr="00496530">
          <w:rPr>
            <w:rFonts w:ascii="Times New Roman" w:hAnsi="Times New Roman" w:cs="Times New Roman"/>
            <w:b/>
            <w:bCs/>
            <w:sz w:val="18"/>
            <w:szCs w:val="18"/>
            <w:shd w:val="clear" w:color="auto" w:fill="FFFFFF"/>
          </w:rPr>
          <w:t>hzyhjq@sjtu.edu.cn</w:t>
        </w:r>
      </w:hyperlink>
      <w:r w:rsidRPr="00496530">
        <w:rPr>
          <w:rFonts w:ascii="Times New Roman" w:hAnsi="Times New Roman" w:cs="Times New Roman"/>
          <w:b/>
          <w:bCs/>
          <w:sz w:val="18"/>
          <w:szCs w:val="18"/>
          <w:shd w:val="clear" w:color="auto" w:fill="FFFFFF"/>
        </w:rPr>
        <w:t xml:space="preserve">) and </w:t>
      </w:r>
      <w:proofErr w:type="spellStart"/>
      <w:r w:rsidRPr="00496530">
        <w:rPr>
          <w:rFonts w:ascii="Times New Roman" w:hAnsi="Times New Roman" w:cs="Times New Roman"/>
          <w:b/>
          <w:bCs/>
          <w:sz w:val="18"/>
          <w:szCs w:val="18"/>
          <w:shd w:val="clear" w:color="auto" w:fill="FFFFFF"/>
        </w:rPr>
        <w:t>Geping</w:t>
      </w:r>
      <w:proofErr w:type="spellEnd"/>
      <w:r w:rsidRPr="00496530">
        <w:rPr>
          <w:rFonts w:ascii="Times New Roman" w:hAnsi="Times New Roman" w:cs="Times New Roman"/>
          <w:b/>
          <w:bCs/>
          <w:sz w:val="18"/>
          <w:szCs w:val="18"/>
          <w:shd w:val="clear" w:color="auto" w:fill="FFFFFF"/>
        </w:rPr>
        <w:t xml:space="preserve"> Luo (</w:t>
      </w:r>
      <w:hyperlink r:id="rId7" w:history="1">
        <w:r w:rsidRPr="00496530">
          <w:rPr>
            <w:rFonts w:ascii="Times New Roman" w:hAnsi="Times New Roman" w:cs="Times New Roman"/>
            <w:b/>
            <w:bCs/>
            <w:sz w:val="18"/>
            <w:szCs w:val="18"/>
            <w:shd w:val="clear" w:color="auto" w:fill="FFFFFF"/>
          </w:rPr>
          <w:t>luogp@ms.xjb.ac.cn</w:t>
        </w:r>
      </w:hyperlink>
      <w:r w:rsidRPr="00496530">
        <w:rPr>
          <w:rFonts w:ascii="Times New Roman" w:hAnsi="Times New Roman" w:cs="Times New Roman"/>
          <w:b/>
          <w:bCs/>
          <w:sz w:val="18"/>
          <w:szCs w:val="18"/>
          <w:shd w:val="clear" w:color="auto" w:fill="FFFFFF"/>
        </w:rPr>
        <w:t>)</w:t>
      </w:r>
    </w:p>
    <w:p w14:paraId="6AC23D25" w14:textId="77777777" w:rsidR="006D6EF6" w:rsidRPr="00496530" w:rsidRDefault="006D6EF6" w:rsidP="006D6EF6">
      <w:pPr>
        <w:suppressAutoHyphens/>
        <w:rPr>
          <w:rFonts w:ascii="Times New Roman" w:hAnsi="Times New Roman" w:cs="Times New Roman"/>
          <w:b/>
          <w:bCs/>
          <w:sz w:val="18"/>
          <w:szCs w:val="18"/>
          <w:shd w:val="clear" w:color="auto" w:fill="FFFFFF"/>
        </w:rPr>
      </w:pPr>
    </w:p>
    <w:p w14:paraId="151BD753" w14:textId="019278BB" w:rsidR="006D6EF6" w:rsidRPr="00D77A40" w:rsidRDefault="006D6EF6" w:rsidP="006D6EF6">
      <w:pPr>
        <w:widowControl/>
        <w:jc w:val="left"/>
        <w:rPr>
          <w:rFonts w:ascii="Times New Roman" w:eastAsia="宋体" w:hAnsi="Times New Roman" w:cs="Times New Roman"/>
          <w:b/>
          <w:bCs/>
          <w:spacing w:val="2"/>
          <w:kern w:val="0"/>
          <w:szCs w:val="21"/>
        </w:rPr>
      </w:pPr>
      <w:r w:rsidRPr="00D77A40">
        <w:rPr>
          <w:rFonts w:ascii="Times New Roman" w:eastAsia="宋体" w:hAnsi="Times New Roman" w:cs="Times New Roman"/>
          <w:b/>
          <w:bCs/>
          <w:spacing w:val="2"/>
          <w:kern w:val="0"/>
          <w:szCs w:val="21"/>
        </w:rPr>
        <w:t>Supplementary Note 1</w:t>
      </w:r>
    </w:p>
    <w:p w14:paraId="5509D33A" w14:textId="1A358434" w:rsidR="006D6EF6" w:rsidRPr="00D77A40" w:rsidRDefault="006D6EF6" w:rsidP="006D6EF6">
      <w:pPr>
        <w:widowControl/>
        <w:jc w:val="left"/>
        <w:rPr>
          <w:rFonts w:ascii="Times New Roman" w:eastAsia="宋体" w:hAnsi="Times New Roman" w:cs="Times New Roman"/>
          <w:b/>
          <w:bCs/>
          <w:spacing w:val="2"/>
          <w:kern w:val="0"/>
          <w:szCs w:val="21"/>
        </w:rPr>
      </w:pPr>
      <w:r w:rsidRPr="00D77A40">
        <w:rPr>
          <w:rFonts w:ascii="Times New Roman" w:eastAsia="宋体" w:hAnsi="Times New Roman" w:cs="Times New Roman"/>
          <w:b/>
          <w:bCs/>
          <w:spacing w:val="2"/>
          <w:kern w:val="0"/>
          <w:szCs w:val="21"/>
        </w:rPr>
        <w:t xml:space="preserve">Supplementary </w:t>
      </w:r>
      <w:r w:rsidRPr="00D77A40">
        <w:rPr>
          <w:rFonts w:ascii="Times New Roman" w:eastAsia="宋体" w:hAnsi="Times New Roman" w:cs="Times New Roman"/>
          <w:b/>
          <w:bCs/>
          <w:spacing w:val="2"/>
          <w:kern w:val="0"/>
          <w:szCs w:val="21"/>
        </w:rPr>
        <w:t>Table</w:t>
      </w:r>
      <w:r w:rsidRPr="00D77A40">
        <w:rPr>
          <w:rFonts w:ascii="Times New Roman" w:eastAsia="宋体" w:hAnsi="Times New Roman" w:cs="Times New Roman"/>
          <w:b/>
          <w:bCs/>
          <w:spacing w:val="2"/>
          <w:kern w:val="0"/>
          <w:szCs w:val="21"/>
        </w:rPr>
        <w:t xml:space="preserve"> 1</w:t>
      </w:r>
    </w:p>
    <w:p w14:paraId="4912A9B6" w14:textId="1D1DFFF7" w:rsidR="006D6EF6" w:rsidRPr="00D77A40" w:rsidRDefault="006D6EF6" w:rsidP="006D6EF6">
      <w:pPr>
        <w:widowControl/>
        <w:jc w:val="left"/>
        <w:rPr>
          <w:rFonts w:ascii="Times New Roman" w:eastAsia="宋体" w:hAnsi="Times New Roman" w:cs="Times New Roman"/>
          <w:b/>
          <w:bCs/>
          <w:spacing w:val="2"/>
          <w:kern w:val="0"/>
          <w:szCs w:val="21"/>
        </w:rPr>
      </w:pPr>
      <w:r w:rsidRPr="00D77A40">
        <w:rPr>
          <w:rFonts w:ascii="Times New Roman" w:eastAsia="宋体" w:hAnsi="Times New Roman" w:cs="Times New Roman"/>
          <w:b/>
          <w:bCs/>
          <w:spacing w:val="2"/>
          <w:kern w:val="0"/>
          <w:szCs w:val="21"/>
        </w:rPr>
        <w:t xml:space="preserve">Supplementary </w:t>
      </w:r>
      <w:r w:rsidRPr="00D77A40">
        <w:rPr>
          <w:rFonts w:ascii="Times New Roman" w:eastAsia="宋体" w:hAnsi="Times New Roman" w:cs="Times New Roman"/>
          <w:b/>
          <w:bCs/>
          <w:spacing w:val="2"/>
          <w:kern w:val="0"/>
          <w:szCs w:val="21"/>
        </w:rPr>
        <w:t>Figures</w:t>
      </w:r>
      <w:r w:rsidRPr="00D77A40">
        <w:rPr>
          <w:rFonts w:ascii="Times New Roman" w:eastAsia="宋体" w:hAnsi="Times New Roman" w:cs="Times New Roman"/>
          <w:b/>
          <w:bCs/>
          <w:spacing w:val="2"/>
          <w:kern w:val="0"/>
          <w:szCs w:val="21"/>
        </w:rPr>
        <w:t xml:space="preserve"> 1</w:t>
      </w:r>
      <w:r w:rsidRPr="00D77A40">
        <w:rPr>
          <w:rFonts w:ascii="Times New Roman" w:eastAsia="宋体" w:hAnsi="Times New Roman" w:cs="Times New Roman"/>
          <w:b/>
          <w:bCs/>
          <w:spacing w:val="2"/>
          <w:kern w:val="0"/>
          <w:szCs w:val="21"/>
        </w:rPr>
        <w:t>-5</w:t>
      </w:r>
    </w:p>
    <w:p w14:paraId="62B1FB78" w14:textId="73D8EA6C" w:rsidR="00E64D41" w:rsidRPr="00496530" w:rsidRDefault="00E64D41">
      <w:pPr>
        <w:widowControl/>
        <w:jc w:val="left"/>
        <w:rPr>
          <w:rFonts w:ascii="Times New Roman" w:eastAsia="宋体" w:hAnsi="Times New Roman" w:cs="Times New Roman"/>
          <w:b/>
          <w:bCs/>
          <w:spacing w:val="2"/>
          <w:kern w:val="0"/>
          <w:sz w:val="27"/>
          <w:szCs w:val="27"/>
        </w:rPr>
      </w:pPr>
      <w:r w:rsidRPr="00496530">
        <w:rPr>
          <w:rFonts w:ascii="Times New Roman" w:eastAsia="宋体" w:hAnsi="Times New Roman" w:cs="Times New Roman"/>
          <w:b/>
          <w:bCs/>
          <w:spacing w:val="2"/>
          <w:kern w:val="0"/>
          <w:sz w:val="27"/>
          <w:szCs w:val="27"/>
        </w:rPr>
        <w:br w:type="page"/>
      </w:r>
    </w:p>
    <w:p w14:paraId="63A632C9" w14:textId="77777777" w:rsidR="006D6EF6" w:rsidRPr="00496530" w:rsidRDefault="006D6EF6" w:rsidP="006D6EF6">
      <w:pPr>
        <w:widowControl/>
        <w:jc w:val="left"/>
        <w:rPr>
          <w:rFonts w:ascii="Times New Roman" w:eastAsia="宋体" w:hAnsi="Times New Roman" w:cs="Times New Roman"/>
          <w:b/>
          <w:bCs/>
          <w:spacing w:val="2"/>
          <w:kern w:val="0"/>
          <w:sz w:val="27"/>
          <w:szCs w:val="27"/>
        </w:rPr>
      </w:pPr>
    </w:p>
    <w:p w14:paraId="58872814" w14:textId="77777777" w:rsidR="00091BDD" w:rsidRPr="00496530" w:rsidRDefault="00091BDD" w:rsidP="00091BDD">
      <w:pPr>
        <w:widowControl/>
        <w:spacing w:before="100" w:beforeAutospacing="1" w:after="100" w:afterAutospacing="1"/>
        <w:jc w:val="left"/>
        <w:outlineLvl w:val="2"/>
        <w:rPr>
          <w:rFonts w:ascii="Times New Roman" w:eastAsia="宋体" w:hAnsi="Times New Roman" w:cs="Times New Roman"/>
          <w:b/>
          <w:bCs/>
          <w:spacing w:val="2"/>
          <w:kern w:val="0"/>
          <w:sz w:val="27"/>
          <w:szCs w:val="27"/>
        </w:rPr>
      </w:pPr>
      <w:r w:rsidRPr="00496530">
        <w:rPr>
          <w:rFonts w:ascii="Times New Roman" w:eastAsia="宋体" w:hAnsi="Times New Roman" w:cs="Times New Roman"/>
          <w:b/>
          <w:bCs/>
          <w:spacing w:val="2"/>
          <w:kern w:val="0"/>
          <w:sz w:val="27"/>
          <w:szCs w:val="27"/>
        </w:rPr>
        <w:t>Supplementary Note 1: Detailed procedures for the generation and evaluation of the station-scale GPP and Reco dataset</w:t>
      </w:r>
    </w:p>
    <w:p w14:paraId="541975EF" w14:textId="77777777" w:rsidR="00091BDD" w:rsidRPr="00496530" w:rsidRDefault="00091BDD" w:rsidP="00091BDD">
      <w:pPr>
        <w:widowControl/>
        <w:spacing w:before="100" w:beforeAutospacing="1" w:after="100" w:afterAutospacing="1"/>
        <w:jc w:val="left"/>
        <w:rPr>
          <w:rFonts w:ascii="Times New Roman" w:eastAsia="宋体" w:hAnsi="Times New Roman" w:cs="Times New Roman"/>
          <w:spacing w:val="2"/>
          <w:kern w:val="0"/>
          <w:szCs w:val="21"/>
        </w:rPr>
      </w:pPr>
      <w:r w:rsidRPr="00496530">
        <w:rPr>
          <w:rFonts w:ascii="Times New Roman" w:eastAsia="宋体" w:hAnsi="Times New Roman" w:cs="Times New Roman"/>
          <w:spacing w:val="2"/>
          <w:kern w:val="0"/>
          <w:szCs w:val="21"/>
        </w:rPr>
        <w:t>To generate high-quality, continuous daily Gross Primary Productivity (GPP) and Ecosystem Respiration (Reco, referred to as ER in the model development phase) data at global meteorological stations, we developed a similarity-based machine learning extrapolation framework. The generation of this dataset incorporated rigorous data preprocessing, model cross-validation, and multi-model fusion.</w:t>
      </w:r>
    </w:p>
    <w:p w14:paraId="6FCE3686" w14:textId="77777777" w:rsidR="00091BDD" w:rsidRPr="00496530" w:rsidRDefault="00091BDD" w:rsidP="00091BDD">
      <w:pPr>
        <w:widowControl/>
        <w:spacing w:before="100" w:beforeAutospacing="1" w:after="100" w:afterAutospacing="1"/>
        <w:jc w:val="left"/>
        <w:rPr>
          <w:rFonts w:ascii="Times New Roman" w:eastAsia="宋体" w:hAnsi="Times New Roman" w:cs="Times New Roman"/>
          <w:spacing w:val="2"/>
          <w:kern w:val="0"/>
          <w:szCs w:val="21"/>
        </w:rPr>
      </w:pPr>
      <w:r w:rsidRPr="00496530">
        <w:rPr>
          <w:rFonts w:ascii="Times New Roman" w:eastAsia="宋体" w:hAnsi="Times New Roman" w:cs="Times New Roman"/>
          <w:b/>
          <w:bCs/>
          <w:spacing w:val="2"/>
          <w:kern w:val="0"/>
          <w:szCs w:val="21"/>
        </w:rPr>
        <w:t>1. Data Integration and Preprocessing</w:t>
      </w:r>
      <w:r w:rsidRPr="00496530">
        <w:rPr>
          <w:rFonts w:ascii="Times New Roman" w:eastAsia="宋体" w:hAnsi="Times New Roman" w:cs="Times New Roman"/>
          <w:spacing w:val="2"/>
          <w:kern w:val="0"/>
          <w:szCs w:val="21"/>
        </w:rPr>
        <w:br/>
        <w:t>The framework integrated eddy covariance data from 194 FLUXNET2015 towers, daily meteorological observations from over 9,000 GSOD weather stations, and spatially matched remote sensing products (e.g., MOD15A2H LAI, BESS Downward Shortwave Radiation, HWSD soil properties, and NOAA DEM). To enhance the spatial representativeness of the remote sensing variables for both flux towers and meteorological stations, we extracted the average pixel values within a 500 × 500 m area centered on each location, which optimally matches the footprint of typical eddy covariance towers. To address data gaps in both in-situ observations and remote sensing time series, a two-dimensional sliding window interpolation method was employed: data were first interpolated along the continuous time series, followed by inter-annual interpolation based on the Day of Year (DOY) sequence, effectively minimizing data loss and uncertainties.</w:t>
      </w:r>
    </w:p>
    <w:p w14:paraId="550EB7AD" w14:textId="77777777" w:rsidR="00091BDD" w:rsidRPr="00496530" w:rsidRDefault="00091BDD" w:rsidP="00091BDD">
      <w:pPr>
        <w:widowControl/>
        <w:spacing w:before="100" w:beforeAutospacing="1" w:after="100" w:afterAutospacing="1"/>
        <w:jc w:val="left"/>
        <w:rPr>
          <w:rFonts w:ascii="Times New Roman" w:eastAsia="宋体" w:hAnsi="Times New Roman" w:cs="Times New Roman"/>
          <w:spacing w:val="2"/>
          <w:kern w:val="0"/>
          <w:szCs w:val="21"/>
        </w:rPr>
      </w:pPr>
      <w:r w:rsidRPr="00496530">
        <w:rPr>
          <w:rFonts w:ascii="Times New Roman" w:eastAsia="宋体" w:hAnsi="Times New Roman" w:cs="Times New Roman"/>
          <w:b/>
          <w:bCs/>
          <w:spacing w:val="2"/>
          <w:kern w:val="0"/>
          <w:szCs w:val="21"/>
        </w:rPr>
        <w:t>2. LSTM Model Development and Variable Sensitivity Analysis</w:t>
      </w:r>
      <w:r w:rsidRPr="00496530">
        <w:rPr>
          <w:rFonts w:ascii="Times New Roman" w:eastAsia="宋体" w:hAnsi="Times New Roman" w:cs="Times New Roman"/>
          <w:spacing w:val="2"/>
          <w:kern w:val="0"/>
          <w:szCs w:val="21"/>
        </w:rPr>
        <w:br/>
        <w:t>Flux towers and meteorological stations were categorized into four generalized climatic zones (arid, semi-arid, dry sub-humid, and humid). Within each zone, Long Short-Term Memory (LSTM) neural networks were constructed to inherently capture the memory effects of climate variables on carbon fluxes. A robust "leave-one-location-out" (LLO) cross-validation strategy was employed: one flux station was iteratively withheld for validation while the remaining stations in the corresponding climate zone were used for model training. The LLO cross-validation demonstrated robust predictive capabilities, with median R² values predominantly exceeding 0.5 across different climatic regions (</w:t>
      </w:r>
      <w:r w:rsidRPr="00496530">
        <w:rPr>
          <w:rFonts w:ascii="Times New Roman" w:eastAsia="宋体" w:hAnsi="Times New Roman" w:cs="Times New Roman"/>
          <w:b/>
          <w:bCs/>
          <w:spacing w:val="2"/>
          <w:kern w:val="0"/>
          <w:szCs w:val="21"/>
        </w:rPr>
        <w:t>Supplementary Fig. 1</w:t>
      </w:r>
      <w:r w:rsidRPr="00496530">
        <w:rPr>
          <w:rFonts w:ascii="Times New Roman" w:eastAsia="宋体" w:hAnsi="Times New Roman" w:cs="Times New Roman"/>
          <w:spacing w:val="2"/>
          <w:kern w:val="0"/>
          <w:szCs w:val="21"/>
        </w:rPr>
        <w:t>).</w:t>
      </w:r>
    </w:p>
    <w:p w14:paraId="30A95193" w14:textId="77777777" w:rsidR="00091BDD" w:rsidRPr="00496530" w:rsidRDefault="00091BDD" w:rsidP="00091BDD">
      <w:pPr>
        <w:widowControl/>
        <w:spacing w:before="100" w:beforeAutospacing="1" w:after="100" w:afterAutospacing="1"/>
        <w:jc w:val="left"/>
        <w:rPr>
          <w:rFonts w:ascii="Times New Roman" w:eastAsia="宋体" w:hAnsi="Times New Roman" w:cs="Times New Roman"/>
          <w:spacing w:val="2"/>
          <w:kern w:val="0"/>
          <w:szCs w:val="21"/>
        </w:rPr>
      </w:pPr>
      <w:r w:rsidRPr="00496530">
        <w:rPr>
          <w:rFonts w:ascii="Times New Roman" w:eastAsia="宋体" w:hAnsi="Times New Roman" w:cs="Times New Roman"/>
          <w:spacing w:val="2"/>
          <w:kern w:val="0"/>
          <w:szCs w:val="21"/>
        </w:rPr>
        <w:t>To quantify the contribution of each explanatory variable to the model predictions, a gradient-based sensitivity analysis was conducted. The sensitivity value for each variable was derived by calculating the absolute value of the partial derivative of the model output with respect to the input feature:</w:t>
      </w:r>
    </w:p>
    <w:p w14:paraId="700210E3" w14:textId="77777777" w:rsidR="00091BDD" w:rsidRPr="00496530" w:rsidRDefault="00091BDD">
      <w:pPr>
        <w:widowControl/>
        <w:jc w:val="left"/>
        <w:rPr>
          <w:rFonts w:ascii="Times New Roman" w:eastAsia="宋体" w:hAnsi="Times New Roman" w:cs="Times New Roman"/>
          <w:spacing w:val="2"/>
          <w:szCs w:val="21"/>
        </w:rPr>
      </w:pPr>
      <m:oMathPara>
        <m:oMath>
          <m:sSub>
            <m:sSubPr>
              <m:ctrlPr>
                <w:rPr>
                  <w:rFonts w:ascii="Cambria Math" w:hAnsi="Cambria Math" w:cs="Times New Roman"/>
                  <w:i/>
                  <w:spacing w:val="2"/>
                  <w:szCs w:val="21"/>
                </w:rPr>
              </m:ctrlPr>
            </m:sSubPr>
            <m:e>
              <m:r>
                <w:rPr>
                  <w:rFonts w:ascii="Cambria Math" w:hAnsi="Cambria Math" w:cs="Times New Roman"/>
                  <w:spacing w:val="2"/>
                  <w:szCs w:val="21"/>
                </w:rPr>
                <m:t>S</m:t>
              </m:r>
            </m:e>
            <m:sub>
              <m:r>
                <w:rPr>
                  <w:rFonts w:ascii="Cambria Math" w:hAnsi="Cambria Math" w:cs="Times New Roman"/>
                  <w:spacing w:val="2"/>
                  <w:szCs w:val="21"/>
                </w:rPr>
                <m:t>i</m:t>
              </m:r>
            </m:sub>
          </m:sSub>
          <m:d>
            <m:dPr>
              <m:ctrlPr>
                <w:rPr>
                  <w:rFonts w:ascii="Cambria Math" w:hAnsi="Cambria Math" w:cs="Times New Roman"/>
                  <w:i/>
                  <w:spacing w:val="2"/>
                  <w:szCs w:val="21"/>
                </w:rPr>
              </m:ctrlPr>
            </m:dPr>
            <m:e>
              <m:r>
                <w:rPr>
                  <w:rFonts w:ascii="Cambria Math" w:hAnsi="Cambria Math" w:cs="Times New Roman"/>
                  <w:spacing w:val="2"/>
                  <w:szCs w:val="21"/>
                </w:rPr>
                <m:t>x</m:t>
              </m:r>
            </m:e>
          </m:d>
          <m:r>
            <w:rPr>
              <w:rFonts w:ascii="Cambria Math" w:hAnsi="Cambria Math" w:cs="Times New Roman"/>
              <w:spacing w:val="2"/>
              <w:szCs w:val="21"/>
            </w:rPr>
            <m:t>=|</m:t>
          </m:r>
          <m:f>
            <m:fPr>
              <m:ctrlPr>
                <w:rPr>
                  <w:rFonts w:ascii="Cambria Math" w:hAnsi="Cambria Math" w:cs="Times New Roman"/>
                  <w:spacing w:val="2"/>
                  <w:szCs w:val="21"/>
                </w:rPr>
              </m:ctrlPr>
            </m:fPr>
            <m:num>
              <m:r>
                <w:rPr>
                  <w:rFonts w:ascii="Cambria Math" w:hAnsi="Cambria Math" w:cs="Times New Roman"/>
                  <w:spacing w:val="2"/>
                  <w:szCs w:val="21"/>
                </w:rPr>
                <m:t>∂</m:t>
              </m:r>
              <m:r>
                <w:rPr>
                  <w:rFonts w:ascii="Cambria Math" w:hAnsi="Cambria Math" w:cs="Times New Roman"/>
                  <w:spacing w:val="2"/>
                  <w:szCs w:val="21"/>
                </w:rPr>
                <m:t>V</m:t>
              </m:r>
              <m:d>
                <m:dPr>
                  <m:ctrlPr>
                    <w:rPr>
                      <w:rFonts w:ascii="Cambria Math" w:hAnsi="Cambria Math" w:cs="Times New Roman"/>
                      <w:i/>
                      <w:spacing w:val="2"/>
                      <w:szCs w:val="21"/>
                    </w:rPr>
                  </m:ctrlPr>
                </m:dPr>
                <m:e>
                  <m:r>
                    <w:rPr>
                      <w:rFonts w:ascii="Cambria Math" w:hAnsi="Cambria Math" w:cs="Times New Roman"/>
                      <w:spacing w:val="2"/>
                      <w:szCs w:val="21"/>
                    </w:rPr>
                    <m:t>x</m:t>
                  </m:r>
                </m:e>
              </m:d>
              <m:ctrlPr>
                <w:rPr>
                  <w:rFonts w:ascii="Cambria Math" w:hAnsi="Cambria Math" w:cs="Times New Roman"/>
                  <w:i/>
                  <w:spacing w:val="2"/>
                  <w:szCs w:val="21"/>
                </w:rPr>
              </m:ctrlPr>
            </m:num>
            <m:den>
              <m:r>
                <w:rPr>
                  <w:rFonts w:ascii="Cambria Math" w:hAnsi="Cambria Math" w:cs="Times New Roman"/>
                  <w:spacing w:val="2"/>
                  <w:szCs w:val="21"/>
                </w:rPr>
                <m:t>∂</m:t>
              </m:r>
              <m:sSub>
                <m:sSubPr>
                  <m:ctrlPr>
                    <w:rPr>
                      <w:rFonts w:ascii="Cambria Math" w:hAnsi="Cambria Math" w:cs="Times New Roman"/>
                      <w:i/>
                      <w:spacing w:val="2"/>
                      <w:szCs w:val="21"/>
                    </w:rPr>
                  </m:ctrlPr>
                </m:sSubPr>
                <m:e>
                  <m:r>
                    <w:rPr>
                      <w:rFonts w:ascii="Cambria Math" w:hAnsi="Cambria Math" w:cs="Times New Roman"/>
                      <w:spacing w:val="2"/>
                      <w:szCs w:val="21"/>
                    </w:rPr>
                    <m:t>x</m:t>
                  </m:r>
                </m:e>
                <m:sub>
                  <m:r>
                    <w:rPr>
                      <w:rFonts w:ascii="Cambria Math" w:hAnsi="Cambria Math" w:cs="Times New Roman"/>
                      <w:spacing w:val="2"/>
                      <w:szCs w:val="21"/>
                    </w:rPr>
                    <m:t>i</m:t>
                  </m:r>
                </m:sub>
              </m:sSub>
              <m:ctrlPr>
                <w:rPr>
                  <w:rFonts w:ascii="Cambria Math" w:hAnsi="Cambria Math" w:cs="Times New Roman"/>
                  <w:i/>
                  <w:spacing w:val="2"/>
                  <w:szCs w:val="21"/>
                </w:rPr>
              </m:ctrlPr>
            </m:den>
          </m:f>
          <m:r>
            <w:rPr>
              <w:rFonts w:ascii="Cambria Math" w:hAnsi="Cambria Math" w:cs="Times New Roman"/>
              <w:spacing w:val="2"/>
              <w:szCs w:val="21"/>
            </w:rPr>
            <m:t>|</m:t>
          </m:r>
        </m:oMath>
      </m:oMathPara>
    </w:p>
    <w:p w14:paraId="53C120F0"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t>This provided a relative weight (</w:t>
      </w:r>
      <w:proofErr w:type="spellStart"/>
      <w:r w:rsidRPr="00496530">
        <w:rPr>
          <w:rFonts w:ascii="Times New Roman" w:hAnsi="Times New Roman" w:cs="Times New Roman"/>
          <w:spacing w:val="2"/>
          <w:sz w:val="21"/>
          <w:szCs w:val="21"/>
        </w:rPr>
        <w:t>W_i</w:t>
      </w:r>
      <w:proofErr w:type="spellEnd"/>
      <w:r w:rsidRPr="00496530">
        <w:rPr>
          <w:rFonts w:ascii="Times New Roman" w:hAnsi="Times New Roman" w:cs="Times New Roman"/>
          <w:spacing w:val="2"/>
          <w:sz w:val="21"/>
          <w:szCs w:val="21"/>
        </w:rPr>
        <w:t xml:space="preserve">) for the 14 explanatory variables, highlighting that GPP is highly sensitive to Downward Shortwave Radiation (DSR) and Leaf Area Index (LAI), while </w:t>
      </w:r>
      <w:r w:rsidRPr="00496530">
        <w:rPr>
          <w:rFonts w:ascii="Times New Roman" w:hAnsi="Times New Roman" w:cs="Times New Roman"/>
          <w:spacing w:val="2"/>
          <w:sz w:val="21"/>
          <w:szCs w:val="21"/>
        </w:rPr>
        <w:lastRenderedPageBreak/>
        <w:t>Reco is predominantly driven by minimum temperature (T-Min) and precipitation across most regions (</w:t>
      </w:r>
      <w:r w:rsidRPr="00496530">
        <w:rPr>
          <w:rStyle w:val="af3"/>
          <w:rFonts w:ascii="Times New Roman" w:hAnsi="Times New Roman" w:cs="Times New Roman"/>
          <w:spacing w:val="2"/>
          <w:sz w:val="21"/>
          <w:szCs w:val="21"/>
        </w:rPr>
        <w:t>Supplementary Fig. 2</w:t>
      </w:r>
      <w:r w:rsidRPr="00496530">
        <w:rPr>
          <w:rFonts w:ascii="Times New Roman" w:hAnsi="Times New Roman" w:cs="Times New Roman"/>
          <w:spacing w:val="2"/>
          <w:sz w:val="21"/>
          <w:szCs w:val="21"/>
        </w:rPr>
        <w:t>).</w:t>
      </w:r>
    </w:p>
    <w:p w14:paraId="331968A3" w14:textId="77777777" w:rsidR="00091BDD" w:rsidRPr="00496530" w:rsidRDefault="00091BDD" w:rsidP="00091BDD">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 xml:space="preserve">3. </w:t>
      </w:r>
      <w:proofErr w:type="spellStart"/>
      <w:r w:rsidRPr="00496530">
        <w:rPr>
          <w:rStyle w:val="af3"/>
          <w:rFonts w:ascii="Times New Roman" w:hAnsi="Times New Roman" w:cs="Times New Roman"/>
          <w:spacing w:val="2"/>
          <w:sz w:val="21"/>
          <w:szCs w:val="21"/>
        </w:rPr>
        <w:t>Extrapolability</w:t>
      </w:r>
      <w:proofErr w:type="spellEnd"/>
      <w:r w:rsidRPr="00496530">
        <w:rPr>
          <w:rStyle w:val="af3"/>
          <w:rFonts w:ascii="Times New Roman" w:hAnsi="Times New Roman" w:cs="Times New Roman"/>
          <w:spacing w:val="2"/>
          <w:sz w:val="21"/>
          <w:szCs w:val="21"/>
        </w:rPr>
        <w:t xml:space="preserve"> Assessment based on Environmental Similarity</w:t>
      </w:r>
      <w:r w:rsidRPr="00496530">
        <w:rPr>
          <w:rFonts w:ascii="Times New Roman" w:hAnsi="Times New Roman" w:cs="Times New Roman"/>
          <w:spacing w:val="2"/>
          <w:sz w:val="21"/>
          <w:szCs w:val="21"/>
        </w:rPr>
        <w:br/>
        <w:t>Applying models to ungauged meteorological stations introduces uncertainties driven by spatial heterogeneity. To quantify the environmental difference between the training data of a specific LSTM model and the target meteorological station, we introduced an Aggregated Euclidean Distance (AED).</w:t>
      </w:r>
    </w:p>
    <w:p w14:paraId="70CFF9B2"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t>First, the Euclidean distance (</w:t>
      </w:r>
      <w:proofErr w:type="spellStart"/>
      <w:r w:rsidRPr="00496530">
        <w:rPr>
          <w:rFonts w:ascii="Times New Roman" w:hAnsi="Times New Roman" w:cs="Times New Roman"/>
          <w:spacing w:val="2"/>
          <w:sz w:val="21"/>
          <w:szCs w:val="21"/>
        </w:rPr>
        <w:t>ED_i</w:t>
      </w:r>
      <w:proofErr w:type="spellEnd"/>
      <w:r w:rsidRPr="00496530">
        <w:rPr>
          <w:rFonts w:ascii="Times New Roman" w:hAnsi="Times New Roman" w:cs="Times New Roman"/>
          <w:spacing w:val="2"/>
          <w:sz w:val="21"/>
          <w:szCs w:val="21"/>
        </w:rPr>
        <w:t>) for each explanatory variable was calculated using the multi-year average DOY data. Specifically, the distance between the training set (</w:t>
      </w:r>
      <w:proofErr w:type="spellStart"/>
      <w:r w:rsidRPr="00496530">
        <w:rPr>
          <w:rFonts w:ascii="Times New Roman" w:hAnsi="Times New Roman" w:cs="Times New Roman"/>
          <w:spacing w:val="2"/>
          <w:sz w:val="21"/>
          <w:szCs w:val="21"/>
        </w:rPr>
        <w:t>v_i</w:t>
      </w:r>
      <w:proofErr w:type="spellEnd"/>
      <w:r w:rsidRPr="00496530">
        <w:rPr>
          <w:rFonts w:ascii="Times New Roman" w:hAnsi="Times New Roman" w:cs="Times New Roman"/>
          <w:spacing w:val="2"/>
          <w:sz w:val="21"/>
          <w:szCs w:val="21"/>
        </w:rPr>
        <w:t>) and the target station or validation set (</w:t>
      </w:r>
      <w:proofErr w:type="spellStart"/>
      <w:r w:rsidRPr="00496530">
        <w:rPr>
          <w:rFonts w:ascii="Times New Roman" w:hAnsi="Times New Roman" w:cs="Times New Roman"/>
          <w:spacing w:val="2"/>
          <w:sz w:val="21"/>
          <w:szCs w:val="21"/>
        </w:rPr>
        <w:t>V_i</w:t>
      </w:r>
      <w:proofErr w:type="spellEnd"/>
      <w:r w:rsidRPr="00496530">
        <w:rPr>
          <w:rFonts w:ascii="Times New Roman" w:hAnsi="Times New Roman" w:cs="Times New Roman"/>
          <w:spacing w:val="2"/>
          <w:sz w:val="21"/>
          <w:szCs w:val="21"/>
        </w:rPr>
        <w:t>) was computed over a 365-day cycle:</w:t>
      </w:r>
    </w:p>
    <w:p w14:paraId="0A099DC9" w14:textId="77777777" w:rsidR="00091BDD" w:rsidRPr="00496530" w:rsidRDefault="00091BDD">
      <w:pPr>
        <w:widowControl/>
        <w:jc w:val="left"/>
        <w:rPr>
          <w:rFonts w:ascii="Times New Roman" w:eastAsia="宋体" w:hAnsi="Times New Roman" w:cs="Times New Roman"/>
          <w:spacing w:val="2"/>
          <w:szCs w:val="21"/>
        </w:rPr>
      </w:pPr>
      <m:oMathPara>
        <m:oMath>
          <m:r>
            <w:rPr>
              <w:rFonts w:ascii="Cambria Math" w:hAnsi="Cambria Math" w:cs="Times New Roman"/>
              <w:spacing w:val="2"/>
              <w:szCs w:val="21"/>
            </w:rPr>
            <m:t>E</m:t>
          </m:r>
          <m:sSub>
            <m:sSubPr>
              <m:ctrlPr>
                <w:rPr>
                  <w:rFonts w:ascii="Cambria Math" w:hAnsi="Cambria Math" w:cs="Times New Roman"/>
                  <w:i/>
                  <w:spacing w:val="2"/>
                  <w:szCs w:val="21"/>
                </w:rPr>
              </m:ctrlPr>
            </m:sSubPr>
            <m:e>
              <m:r>
                <w:rPr>
                  <w:rFonts w:ascii="Cambria Math" w:hAnsi="Cambria Math" w:cs="Times New Roman"/>
                  <w:spacing w:val="2"/>
                  <w:szCs w:val="21"/>
                </w:rPr>
                <m:t>D</m:t>
              </m:r>
            </m:e>
            <m:sub>
              <m:r>
                <w:rPr>
                  <w:rFonts w:ascii="Cambria Math" w:hAnsi="Cambria Math" w:cs="Times New Roman"/>
                  <w:spacing w:val="2"/>
                  <w:szCs w:val="21"/>
                </w:rPr>
                <m:t>i</m:t>
              </m:r>
            </m:sub>
          </m:sSub>
          <m:r>
            <w:rPr>
              <w:rFonts w:ascii="Cambria Math" w:hAnsi="Cambria Math" w:cs="Times New Roman"/>
              <w:spacing w:val="2"/>
              <w:szCs w:val="21"/>
            </w:rPr>
            <m:t>=</m:t>
          </m:r>
          <m:rad>
            <m:radPr>
              <m:degHide m:val="1"/>
              <m:ctrlPr>
                <w:rPr>
                  <w:rFonts w:ascii="Cambria Math" w:hAnsi="Cambria Math" w:cs="Times New Roman"/>
                  <w:spacing w:val="2"/>
                  <w:szCs w:val="21"/>
                </w:rPr>
              </m:ctrlPr>
            </m:radPr>
            <m:deg>
              <m:ctrlPr>
                <w:rPr>
                  <w:rFonts w:ascii="Cambria Math" w:hAnsi="Cambria Math" w:cs="Times New Roman"/>
                  <w:i/>
                  <w:spacing w:val="2"/>
                  <w:szCs w:val="21"/>
                </w:rPr>
              </m:ctrlPr>
            </m:deg>
            <m:e>
              <m:f>
                <m:fPr>
                  <m:ctrlPr>
                    <w:rPr>
                      <w:rFonts w:ascii="Cambria Math" w:hAnsi="Cambria Math" w:cs="Times New Roman"/>
                      <w:spacing w:val="2"/>
                      <w:szCs w:val="21"/>
                    </w:rPr>
                  </m:ctrlPr>
                </m:fPr>
                <m:num>
                  <m:nary>
                    <m:naryPr>
                      <m:chr m:val="∑"/>
                      <m:subHide m:val="1"/>
                      <m:supHide m:val="1"/>
                      <m:ctrlPr>
                        <w:rPr>
                          <w:rFonts w:ascii="Cambria Math" w:hAnsi="Cambria Math" w:cs="Times New Roman"/>
                          <w:spacing w:val="2"/>
                          <w:szCs w:val="21"/>
                        </w:rPr>
                      </m:ctrlPr>
                    </m:naryPr>
                    <m:sub>
                      <m:ctrlPr>
                        <w:rPr>
                          <w:rFonts w:ascii="Cambria Math" w:hAnsi="Cambria Math" w:cs="Times New Roman"/>
                          <w:i/>
                          <w:spacing w:val="2"/>
                          <w:szCs w:val="21"/>
                        </w:rPr>
                      </m:ctrlPr>
                    </m:sub>
                    <m:sup>
                      <m:ctrlPr>
                        <w:rPr>
                          <w:rFonts w:ascii="Cambria Math" w:hAnsi="Cambria Math" w:cs="Times New Roman"/>
                          <w:i/>
                          <w:spacing w:val="2"/>
                          <w:szCs w:val="21"/>
                        </w:rPr>
                      </m:ctrlPr>
                    </m:sup>
                    <m:e>
                      <m:sSup>
                        <m:sSupPr>
                          <m:ctrlPr>
                            <w:rPr>
                              <w:rFonts w:ascii="Cambria Math" w:hAnsi="Cambria Math" w:cs="Times New Roman"/>
                              <w:i/>
                              <w:spacing w:val="2"/>
                              <w:szCs w:val="21"/>
                            </w:rPr>
                          </m:ctrlPr>
                        </m:sSupPr>
                        <m:e>
                          <m:d>
                            <m:dPr>
                              <m:ctrlPr>
                                <w:rPr>
                                  <w:rFonts w:ascii="Cambria Math" w:hAnsi="Cambria Math" w:cs="Times New Roman"/>
                                  <w:i/>
                                  <w:spacing w:val="2"/>
                                  <w:szCs w:val="21"/>
                                </w:rPr>
                              </m:ctrlPr>
                            </m:dPr>
                            <m:e>
                              <m:sSub>
                                <m:sSubPr>
                                  <m:ctrlPr>
                                    <w:rPr>
                                      <w:rFonts w:ascii="Cambria Math" w:hAnsi="Cambria Math" w:cs="Times New Roman"/>
                                      <w:i/>
                                      <w:spacing w:val="2"/>
                                      <w:szCs w:val="21"/>
                                    </w:rPr>
                                  </m:ctrlPr>
                                </m:sSubPr>
                                <m:e>
                                  <m:r>
                                    <w:rPr>
                                      <w:rFonts w:ascii="Cambria Math" w:hAnsi="Cambria Math" w:cs="Times New Roman"/>
                                      <w:spacing w:val="2"/>
                                      <w:szCs w:val="21"/>
                                    </w:rPr>
                                    <m:t>v</m:t>
                                  </m:r>
                                </m:e>
                                <m:sub>
                                  <m:r>
                                    <w:rPr>
                                      <w:rFonts w:ascii="Cambria Math" w:hAnsi="Cambria Math" w:cs="Times New Roman"/>
                                      <w:spacing w:val="2"/>
                                      <w:szCs w:val="21"/>
                                    </w:rPr>
                                    <m:t>i</m:t>
                                  </m:r>
                                </m:sub>
                              </m:sSub>
                              <m:r>
                                <w:rPr>
                                  <w:rFonts w:ascii="Cambria Math" w:hAnsi="Cambria Math" w:cs="Times New Roman"/>
                                  <w:spacing w:val="2"/>
                                  <w:szCs w:val="21"/>
                                </w:rPr>
                                <m:t>-</m:t>
                              </m:r>
                              <m:sSub>
                                <m:sSubPr>
                                  <m:ctrlPr>
                                    <w:rPr>
                                      <w:rFonts w:ascii="Cambria Math" w:hAnsi="Cambria Math" w:cs="Times New Roman"/>
                                      <w:i/>
                                      <w:spacing w:val="2"/>
                                      <w:szCs w:val="21"/>
                                    </w:rPr>
                                  </m:ctrlPr>
                                </m:sSubPr>
                                <m:e>
                                  <m:r>
                                    <w:rPr>
                                      <w:rFonts w:ascii="Cambria Math" w:hAnsi="Cambria Math" w:cs="Times New Roman"/>
                                      <w:spacing w:val="2"/>
                                      <w:szCs w:val="21"/>
                                    </w:rPr>
                                    <m:t>V</m:t>
                                  </m:r>
                                </m:e>
                                <m:sub>
                                  <m:r>
                                    <w:rPr>
                                      <w:rFonts w:ascii="Cambria Math" w:hAnsi="Cambria Math" w:cs="Times New Roman"/>
                                      <w:spacing w:val="2"/>
                                      <w:szCs w:val="21"/>
                                    </w:rPr>
                                    <m:t>i</m:t>
                                  </m:r>
                                </m:sub>
                              </m:sSub>
                            </m:e>
                          </m:d>
                        </m:e>
                        <m:sup>
                          <m:r>
                            <w:rPr>
                              <w:rFonts w:ascii="Cambria Math" w:hAnsi="Cambria Math" w:cs="Times New Roman"/>
                              <w:spacing w:val="2"/>
                              <w:szCs w:val="21"/>
                            </w:rPr>
                            <m:t>2</m:t>
                          </m:r>
                        </m:sup>
                      </m:sSup>
                      <m:ctrlPr>
                        <w:rPr>
                          <w:rFonts w:ascii="Cambria Math" w:hAnsi="Cambria Math" w:cs="Times New Roman"/>
                          <w:i/>
                          <w:spacing w:val="2"/>
                          <w:szCs w:val="21"/>
                        </w:rPr>
                      </m:ctrlPr>
                    </m:e>
                  </m:nary>
                  <m:ctrlPr>
                    <w:rPr>
                      <w:rFonts w:ascii="Cambria Math" w:hAnsi="Cambria Math" w:cs="Times New Roman"/>
                      <w:i/>
                      <w:spacing w:val="2"/>
                      <w:szCs w:val="21"/>
                    </w:rPr>
                  </m:ctrlPr>
                </m:num>
                <m:den>
                  <m:r>
                    <w:rPr>
                      <w:rFonts w:ascii="Cambria Math" w:hAnsi="Cambria Math" w:cs="Times New Roman"/>
                      <w:spacing w:val="2"/>
                      <w:szCs w:val="21"/>
                    </w:rPr>
                    <m:t>365</m:t>
                  </m:r>
                  <m:ctrlPr>
                    <w:rPr>
                      <w:rFonts w:ascii="Cambria Math" w:hAnsi="Cambria Math" w:cs="Times New Roman"/>
                      <w:i/>
                      <w:spacing w:val="2"/>
                      <w:szCs w:val="21"/>
                    </w:rPr>
                  </m:ctrlPr>
                </m:den>
              </m:f>
            </m:e>
          </m:rad>
        </m:oMath>
      </m:oMathPara>
    </w:p>
    <w:p w14:paraId="312A94C2"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t>Incorporating the variable importance (</w:t>
      </w:r>
      <w:proofErr w:type="spellStart"/>
      <w:r w:rsidRPr="00496530">
        <w:rPr>
          <w:rFonts w:ascii="Times New Roman" w:hAnsi="Times New Roman" w:cs="Times New Roman"/>
          <w:spacing w:val="2"/>
          <w:sz w:val="21"/>
          <w:szCs w:val="21"/>
        </w:rPr>
        <w:t>W_i</w:t>
      </w:r>
      <w:proofErr w:type="spellEnd"/>
      <w:r w:rsidRPr="00496530">
        <w:rPr>
          <w:rFonts w:ascii="Times New Roman" w:hAnsi="Times New Roman" w:cs="Times New Roman"/>
          <w:spacing w:val="2"/>
          <w:sz w:val="21"/>
          <w:szCs w:val="21"/>
        </w:rPr>
        <w:t>) derived from the sensitivity analysis, the Aggregated Euclidean Distance (</w:t>
      </w:r>
      <w:proofErr w:type="spellStart"/>
      <w:r w:rsidRPr="00496530">
        <w:rPr>
          <w:rFonts w:ascii="Times New Roman" w:hAnsi="Times New Roman" w:cs="Times New Roman"/>
          <w:spacing w:val="2"/>
          <w:sz w:val="21"/>
          <w:szCs w:val="21"/>
        </w:rPr>
        <w:t>DisModel_n</w:t>
      </w:r>
      <w:proofErr w:type="spellEnd"/>
      <w:r w:rsidRPr="00496530">
        <w:rPr>
          <w:rFonts w:ascii="Times New Roman" w:hAnsi="Times New Roman" w:cs="Times New Roman"/>
          <w:spacing w:val="2"/>
          <w:sz w:val="21"/>
          <w:szCs w:val="21"/>
        </w:rPr>
        <w:t>) for a specific model n was computed as:</w:t>
      </w:r>
    </w:p>
    <w:p w14:paraId="63D8DA64" w14:textId="039D6D37" w:rsidR="00091BDD" w:rsidRPr="003319A7" w:rsidRDefault="00091BDD" w:rsidP="003319A7">
      <w:pPr>
        <w:pStyle w:val="af2"/>
        <w:rPr>
          <w:rFonts w:ascii="Times New Roman" w:hAnsi="Times New Roman" w:cs="Times New Roman" w:hint="eastAsia"/>
          <w:spacing w:val="2"/>
          <w:sz w:val="21"/>
          <w:szCs w:val="21"/>
        </w:rPr>
      </w:pPr>
      <m:oMathPara>
        <m:oMath>
          <m:r>
            <w:rPr>
              <w:rFonts w:ascii="Cambria Math" w:hAnsi="Cambria Math" w:cs="Times New Roman"/>
              <w:spacing w:val="2"/>
              <w:sz w:val="21"/>
              <w:szCs w:val="21"/>
            </w:rPr>
            <m:t>DisMode</m:t>
          </m:r>
          <m:sSub>
            <m:sSubPr>
              <m:ctrlPr>
                <w:rPr>
                  <w:rFonts w:ascii="Cambria Math" w:hAnsi="Cambria Math" w:cs="Times New Roman"/>
                  <w:spacing w:val="2"/>
                  <w:sz w:val="21"/>
                  <w:szCs w:val="21"/>
                </w:rPr>
              </m:ctrlPr>
            </m:sSubPr>
            <m:e>
              <m:r>
                <w:rPr>
                  <w:rFonts w:ascii="Cambria Math" w:hAnsi="Cambria Math" w:cs="Times New Roman"/>
                  <w:spacing w:val="2"/>
                  <w:sz w:val="21"/>
                  <w:szCs w:val="21"/>
                </w:rPr>
                <m:t>l</m:t>
              </m:r>
            </m:e>
            <m:sub>
              <m:r>
                <w:rPr>
                  <w:rFonts w:ascii="Cambria Math" w:hAnsi="Cambria Math" w:cs="Times New Roman"/>
                  <w:spacing w:val="2"/>
                  <w:sz w:val="21"/>
                  <w:szCs w:val="21"/>
                </w:rPr>
                <m:t>n</m:t>
              </m:r>
            </m:sub>
          </m:sSub>
          <m:r>
            <m:rPr>
              <m:sty m:val="p"/>
            </m:rPr>
            <w:rPr>
              <w:rFonts w:ascii="Cambria Math" w:hAnsi="Cambria Math" w:cs="Times New Roman"/>
              <w:spacing w:val="2"/>
              <w:sz w:val="21"/>
              <w:szCs w:val="21"/>
            </w:rPr>
            <m:t>=</m:t>
          </m:r>
          <m:r>
            <w:rPr>
              <w:rFonts w:ascii="Cambria Math" w:hAnsi="Cambria Math" w:cs="Times New Roman"/>
              <w:spacing w:val="2"/>
              <w:sz w:val="21"/>
              <w:szCs w:val="21"/>
            </w:rPr>
            <m:t>MEAN</m:t>
          </m:r>
          <m:d>
            <m:dPr>
              <m:ctrlPr>
                <w:rPr>
                  <w:rFonts w:ascii="Cambria Math" w:hAnsi="Cambria Math" w:cs="Times New Roman"/>
                  <w:spacing w:val="2"/>
                  <w:sz w:val="21"/>
                  <w:szCs w:val="21"/>
                </w:rPr>
              </m:ctrlPr>
            </m:dPr>
            <m:e>
              <m:nary>
                <m:naryPr>
                  <m:chr m:val="∑"/>
                  <m:ctrlPr>
                    <w:rPr>
                      <w:rFonts w:ascii="Cambria Math" w:hAnsi="Cambria Math" w:cs="Times New Roman"/>
                      <w:spacing w:val="2"/>
                      <w:sz w:val="21"/>
                      <w:szCs w:val="21"/>
                    </w:rPr>
                  </m:ctrlPr>
                </m:naryPr>
                <m:sub>
                  <m:r>
                    <w:rPr>
                      <w:rFonts w:ascii="Cambria Math" w:hAnsi="Cambria Math" w:cs="Times New Roman"/>
                      <w:spacing w:val="2"/>
                      <w:sz w:val="21"/>
                      <w:szCs w:val="21"/>
                    </w:rPr>
                    <m:t>i</m:t>
                  </m:r>
                  <m:r>
                    <m:rPr>
                      <m:sty m:val="p"/>
                    </m:rPr>
                    <w:rPr>
                      <w:rFonts w:ascii="Cambria Math" w:hAnsi="Cambria Math" w:cs="Times New Roman"/>
                      <w:spacing w:val="2"/>
                      <w:sz w:val="21"/>
                      <w:szCs w:val="21"/>
                    </w:rPr>
                    <m:t>=1</m:t>
                  </m:r>
                </m:sub>
                <m:sup>
                  <m:r>
                    <m:rPr>
                      <m:sty m:val="p"/>
                    </m:rPr>
                    <w:rPr>
                      <w:rFonts w:ascii="Cambria Math" w:hAnsi="Cambria Math" w:cs="Times New Roman"/>
                      <w:spacing w:val="2"/>
                      <w:sz w:val="21"/>
                      <w:szCs w:val="21"/>
                    </w:rPr>
                    <m:t>14</m:t>
                  </m:r>
                </m:sup>
                <m:e>
                  <m:sSup>
                    <m:sSupPr>
                      <m:ctrlPr>
                        <w:rPr>
                          <w:rFonts w:ascii="Cambria Math" w:hAnsi="Cambria Math" w:cs="Times New Roman"/>
                          <w:spacing w:val="2"/>
                          <w:sz w:val="21"/>
                          <w:szCs w:val="21"/>
                        </w:rPr>
                      </m:ctrlPr>
                    </m:sSupPr>
                    <m:e>
                      <m:d>
                        <m:dPr>
                          <m:ctrlPr>
                            <w:rPr>
                              <w:rFonts w:ascii="Cambria Math" w:hAnsi="Cambria Math" w:cs="Times New Roman"/>
                              <w:spacing w:val="2"/>
                              <w:sz w:val="21"/>
                              <w:szCs w:val="21"/>
                            </w:rPr>
                          </m:ctrlPr>
                        </m:dPr>
                        <m:e>
                          <m:r>
                            <w:rPr>
                              <w:rFonts w:ascii="Cambria Math" w:hAnsi="Cambria Math" w:cs="Times New Roman"/>
                              <w:spacing w:val="2"/>
                              <w:sz w:val="21"/>
                              <w:szCs w:val="21"/>
                            </w:rPr>
                            <m:t>E</m:t>
                          </m:r>
                          <m:sSub>
                            <m:sSubPr>
                              <m:ctrlPr>
                                <w:rPr>
                                  <w:rFonts w:ascii="Cambria Math" w:hAnsi="Cambria Math" w:cs="Times New Roman"/>
                                  <w:spacing w:val="2"/>
                                  <w:sz w:val="21"/>
                                  <w:szCs w:val="21"/>
                                </w:rPr>
                              </m:ctrlPr>
                            </m:sSubPr>
                            <m:e>
                              <m:r>
                                <w:rPr>
                                  <w:rFonts w:ascii="Cambria Math" w:hAnsi="Cambria Math" w:cs="Times New Roman"/>
                                  <w:spacing w:val="2"/>
                                  <w:sz w:val="21"/>
                                  <w:szCs w:val="21"/>
                                </w:rPr>
                                <m:t>D</m:t>
                              </m:r>
                            </m:e>
                            <m:sub>
                              <m:r>
                                <w:rPr>
                                  <w:rFonts w:ascii="Cambria Math" w:hAnsi="Cambria Math" w:cs="Times New Roman"/>
                                  <w:spacing w:val="2"/>
                                  <w:sz w:val="21"/>
                                  <w:szCs w:val="21"/>
                                </w:rPr>
                                <m:t>i</m:t>
                              </m:r>
                            </m:sub>
                          </m:sSub>
                          <m:r>
                            <m:rPr>
                              <m:sty m:val="p"/>
                            </m:rPr>
                            <w:rPr>
                              <w:rFonts w:ascii="Cambria Math" w:hAnsi="Cambria Math" w:cs="Times New Roman"/>
                              <w:spacing w:val="2"/>
                              <w:sz w:val="21"/>
                              <w:szCs w:val="21"/>
                            </w:rPr>
                            <m:t>×</m:t>
                          </m:r>
                          <m:sSub>
                            <m:sSubPr>
                              <m:ctrlPr>
                                <w:rPr>
                                  <w:rFonts w:ascii="Cambria Math" w:hAnsi="Cambria Math" w:cs="Times New Roman"/>
                                  <w:spacing w:val="2"/>
                                  <w:sz w:val="21"/>
                                  <w:szCs w:val="21"/>
                                </w:rPr>
                              </m:ctrlPr>
                            </m:sSubPr>
                            <m:e>
                              <m:r>
                                <w:rPr>
                                  <w:rFonts w:ascii="Cambria Math" w:hAnsi="Cambria Math" w:cs="Times New Roman"/>
                                  <w:spacing w:val="2"/>
                                  <w:sz w:val="21"/>
                                  <w:szCs w:val="21"/>
                                </w:rPr>
                                <m:t>W</m:t>
                              </m:r>
                            </m:e>
                            <m:sub>
                              <m:r>
                                <w:rPr>
                                  <w:rFonts w:ascii="Cambria Math" w:hAnsi="Cambria Math" w:cs="Times New Roman"/>
                                  <w:spacing w:val="2"/>
                                  <w:sz w:val="21"/>
                                  <w:szCs w:val="21"/>
                                </w:rPr>
                                <m:t>i</m:t>
                              </m:r>
                            </m:sub>
                          </m:sSub>
                        </m:e>
                      </m:d>
                    </m:e>
                    <m:sup>
                      <m:r>
                        <m:rPr>
                          <m:sty m:val="p"/>
                        </m:rPr>
                        <w:rPr>
                          <w:rFonts w:ascii="Cambria Math" w:hAnsi="Cambria Math" w:cs="Times New Roman"/>
                          <w:spacing w:val="2"/>
                          <w:sz w:val="21"/>
                          <w:szCs w:val="21"/>
                        </w:rPr>
                        <m:t>2</m:t>
                      </m:r>
                    </m:sup>
                  </m:sSup>
                </m:e>
              </m:nary>
            </m:e>
          </m:d>
        </m:oMath>
      </m:oMathPara>
    </w:p>
    <w:p w14:paraId="44F36E5E"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t>A significant negative correlation (p &lt; 0.01) was observed between the LLO validation R² and the AED, confirming that a smaller environmental distance yields higher predictive reliability (</w:t>
      </w:r>
      <w:r w:rsidRPr="00496530">
        <w:rPr>
          <w:rStyle w:val="af3"/>
          <w:rFonts w:ascii="Times New Roman" w:hAnsi="Times New Roman" w:cs="Times New Roman"/>
          <w:spacing w:val="2"/>
          <w:sz w:val="21"/>
          <w:szCs w:val="21"/>
        </w:rPr>
        <w:t>Supplementary Fig. 3</w:t>
      </w:r>
      <w:r w:rsidRPr="00496530">
        <w:rPr>
          <w:rFonts w:ascii="Times New Roman" w:hAnsi="Times New Roman" w:cs="Times New Roman"/>
          <w:spacing w:val="2"/>
          <w:sz w:val="21"/>
          <w:szCs w:val="21"/>
        </w:rPr>
        <w:t>).</w:t>
      </w:r>
    </w:p>
    <w:p w14:paraId="49DDEED4" w14:textId="77777777" w:rsidR="00091BDD" w:rsidRPr="00496530" w:rsidRDefault="00091BDD" w:rsidP="00091BDD">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4. Fuzzy Membership, Multi-model Fusion, and Uncertainty Evaluation</w:t>
      </w:r>
      <w:r w:rsidRPr="00496530">
        <w:rPr>
          <w:rFonts w:ascii="Times New Roman" w:hAnsi="Times New Roman" w:cs="Times New Roman"/>
          <w:spacing w:val="2"/>
          <w:sz w:val="21"/>
          <w:szCs w:val="21"/>
        </w:rPr>
        <w:br/>
        <w:t>To evaluate model applicability at a target meteorological station, we constructed a Gaussian fuzzy membership function:</w:t>
      </w:r>
    </w:p>
    <w:p w14:paraId="1D544752" w14:textId="21E28C51" w:rsidR="00091BDD" w:rsidRPr="003319A7" w:rsidRDefault="00091BDD" w:rsidP="003319A7">
      <w:pPr>
        <w:pStyle w:val="af2"/>
        <w:rPr>
          <w:rFonts w:ascii="Times New Roman" w:hAnsi="Times New Roman" w:cs="Times New Roman"/>
          <w:spacing w:val="2"/>
          <w:sz w:val="21"/>
          <w:szCs w:val="21"/>
        </w:rPr>
      </w:pPr>
      <m:oMathPara>
        <m:oMath>
          <m:r>
            <w:rPr>
              <w:rFonts w:ascii="Cambria Math" w:hAnsi="Cambria Math" w:cs="Times New Roman"/>
              <w:spacing w:val="2"/>
              <w:sz w:val="21"/>
              <w:szCs w:val="21"/>
            </w:rPr>
            <m:t>F</m:t>
          </m:r>
          <m:d>
            <m:dPr>
              <m:ctrlPr>
                <w:rPr>
                  <w:rFonts w:ascii="Cambria Math" w:hAnsi="Cambria Math" w:cs="Times New Roman"/>
                  <w:spacing w:val="2"/>
                  <w:sz w:val="21"/>
                  <w:szCs w:val="21"/>
                </w:rPr>
              </m:ctrlPr>
            </m:dPr>
            <m:e>
              <m:r>
                <w:rPr>
                  <w:rFonts w:ascii="Cambria Math" w:hAnsi="Cambria Math" w:cs="Times New Roman"/>
                  <w:spacing w:val="2"/>
                  <w:sz w:val="21"/>
                  <w:szCs w:val="21"/>
                </w:rPr>
                <m:t>x</m:t>
              </m:r>
            </m:e>
          </m:d>
          <m:r>
            <m:rPr>
              <m:sty m:val="p"/>
            </m:rPr>
            <w:rPr>
              <w:rFonts w:ascii="Cambria Math" w:hAnsi="Cambria Math" w:cs="Times New Roman"/>
              <w:spacing w:val="2"/>
              <w:sz w:val="21"/>
              <w:szCs w:val="21"/>
            </w:rPr>
            <m:t>=</m:t>
          </m:r>
          <m:func>
            <m:funcPr>
              <m:ctrlPr>
                <w:rPr>
                  <w:rFonts w:ascii="Cambria Math" w:hAnsi="Cambria Math" w:cs="Times New Roman"/>
                  <w:spacing w:val="2"/>
                  <w:sz w:val="21"/>
                  <w:szCs w:val="21"/>
                </w:rPr>
              </m:ctrlPr>
            </m:funcPr>
            <m:fName>
              <m:r>
                <m:rPr>
                  <m:sty m:val="p"/>
                </m:rPr>
                <w:rPr>
                  <w:rFonts w:ascii="Cambria Math" w:hAnsi="Cambria Math" w:cs="Times New Roman"/>
                  <w:spacing w:val="2"/>
                  <w:sz w:val="21"/>
                  <w:szCs w:val="21"/>
                </w:rPr>
                <m:t>exp</m:t>
              </m:r>
            </m:fName>
            <m:e>
              <m:d>
                <m:dPr>
                  <m:ctrlPr>
                    <w:rPr>
                      <w:rFonts w:ascii="Cambria Math" w:hAnsi="Cambria Math" w:cs="Times New Roman"/>
                      <w:spacing w:val="2"/>
                      <w:sz w:val="21"/>
                      <w:szCs w:val="21"/>
                    </w:rPr>
                  </m:ctrlPr>
                </m:dPr>
                <m:e>
                  <m:f>
                    <m:fPr>
                      <m:ctrlPr>
                        <w:rPr>
                          <w:rFonts w:ascii="Cambria Math" w:hAnsi="Cambria Math" w:cs="Times New Roman"/>
                          <w:spacing w:val="2"/>
                          <w:sz w:val="21"/>
                          <w:szCs w:val="21"/>
                        </w:rPr>
                      </m:ctrlPr>
                    </m:fPr>
                    <m:num>
                      <m:r>
                        <m:rPr>
                          <m:sty m:val="p"/>
                        </m:rPr>
                        <w:rPr>
                          <w:rFonts w:ascii="Cambria Math" w:hAnsi="Cambria Math" w:cs="Times New Roman"/>
                          <w:spacing w:val="2"/>
                          <w:sz w:val="21"/>
                          <w:szCs w:val="21"/>
                        </w:rPr>
                        <m:t>-</m:t>
                      </m:r>
                      <m:sSup>
                        <m:sSupPr>
                          <m:ctrlPr>
                            <w:rPr>
                              <w:rFonts w:ascii="Cambria Math" w:hAnsi="Cambria Math" w:cs="Times New Roman"/>
                              <w:spacing w:val="2"/>
                              <w:sz w:val="21"/>
                              <w:szCs w:val="21"/>
                            </w:rPr>
                          </m:ctrlPr>
                        </m:sSupPr>
                        <m:e>
                          <m:d>
                            <m:dPr>
                              <m:ctrlPr>
                                <w:rPr>
                                  <w:rFonts w:ascii="Cambria Math" w:hAnsi="Cambria Math" w:cs="Times New Roman"/>
                                  <w:spacing w:val="2"/>
                                  <w:sz w:val="21"/>
                                  <w:szCs w:val="21"/>
                                </w:rPr>
                              </m:ctrlPr>
                            </m:dPr>
                            <m:e>
                              <m:r>
                                <w:rPr>
                                  <w:rFonts w:ascii="Cambria Math" w:hAnsi="Cambria Math" w:cs="Times New Roman"/>
                                  <w:spacing w:val="2"/>
                                  <w:sz w:val="21"/>
                                  <w:szCs w:val="21"/>
                                </w:rPr>
                                <m:t>x</m:t>
                              </m:r>
                              <m:r>
                                <m:rPr>
                                  <m:sty m:val="p"/>
                                </m:rPr>
                                <w:rPr>
                                  <w:rFonts w:ascii="Cambria Math" w:hAnsi="Cambria Math" w:cs="Times New Roman"/>
                                  <w:spacing w:val="2"/>
                                  <w:sz w:val="21"/>
                                  <w:szCs w:val="21"/>
                                </w:rPr>
                                <m:t>-</m:t>
                              </m:r>
                              <m:r>
                                <w:rPr>
                                  <w:rFonts w:ascii="Cambria Math" w:hAnsi="Cambria Math" w:cs="Times New Roman"/>
                                  <w:spacing w:val="2"/>
                                  <w:sz w:val="21"/>
                                  <w:szCs w:val="21"/>
                                </w:rPr>
                                <m:t>C</m:t>
                              </m:r>
                            </m:e>
                          </m:d>
                        </m:e>
                        <m:sup>
                          <m:r>
                            <m:rPr>
                              <m:sty m:val="p"/>
                            </m:rPr>
                            <w:rPr>
                              <w:rFonts w:ascii="Cambria Math" w:hAnsi="Cambria Math" w:cs="Times New Roman"/>
                              <w:spacing w:val="2"/>
                              <w:sz w:val="21"/>
                              <w:szCs w:val="21"/>
                            </w:rPr>
                            <m:t>2</m:t>
                          </m:r>
                        </m:sup>
                      </m:sSup>
                    </m:num>
                    <m:den>
                      <m:r>
                        <m:rPr>
                          <m:sty m:val="p"/>
                        </m:rPr>
                        <w:rPr>
                          <w:rFonts w:ascii="Cambria Math" w:hAnsi="Cambria Math" w:cs="Times New Roman"/>
                          <w:spacing w:val="2"/>
                          <w:sz w:val="21"/>
                          <w:szCs w:val="21"/>
                        </w:rPr>
                        <m:t>2</m:t>
                      </m:r>
                      <m:sSup>
                        <m:sSupPr>
                          <m:ctrlPr>
                            <w:rPr>
                              <w:rFonts w:ascii="Cambria Math" w:hAnsi="Cambria Math" w:cs="Times New Roman"/>
                              <w:spacing w:val="2"/>
                              <w:sz w:val="21"/>
                              <w:szCs w:val="21"/>
                            </w:rPr>
                          </m:ctrlPr>
                        </m:sSupPr>
                        <m:e>
                          <m:r>
                            <w:rPr>
                              <w:rFonts w:ascii="Cambria Math" w:hAnsi="Cambria Math" w:cs="Times New Roman"/>
                              <w:spacing w:val="2"/>
                              <w:sz w:val="21"/>
                              <w:szCs w:val="21"/>
                            </w:rPr>
                            <m:t>σ</m:t>
                          </m:r>
                        </m:e>
                        <m:sup>
                          <m:r>
                            <m:rPr>
                              <m:sty m:val="p"/>
                            </m:rPr>
                            <w:rPr>
                              <w:rFonts w:ascii="Cambria Math" w:hAnsi="Cambria Math" w:cs="Times New Roman"/>
                              <w:spacing w:val="2"/>
                              <w:sz w:val="21"/>
                              <w:szCs w:val="21"/>
                            </w:rPr>
                            <m:t>2</m:t>
                          </m:r>
                        </m:sup>
                      </m:sSup>
                    </m:den>
                  </m:f>
                </m:e>
              </m:d>
            </m:e>
          </m:func>
        </m:oMath>
      </m:oMathPara>
    </w:p>
    <w:p w14:paraId="08C0EB22"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t>where F(x) represents the fuzzy membership degree, x is the calculated AED, C is the distance at maximum membership (C=0), and σ is the width parameter determined by the optimal AED threshold (median AED of models with R² &gt; 0.5).</w:t>
      </w:r>
    </w:p>
    <w:p w14:paraId="6C0924FB"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t>Only models yielding a membership degree ≥ 0.5 were deemed applicable for a given station. The overall classification accuracies of this similarity-based evaluation framework were 79.8% for GPP and 76.8% for Reco, proving its efficacy in identifying reliable model extrapolations (</w:t>
      </w:r>
      <w:r w:rsidRPr="00496530">
        <w:rPr>
          <w:rStyle w:val="af3"/>
          <w:rFonts w:ascii="Times New Roman" w:hAnsi="Times New Roman" w:cs="Times New Roman"/>
          <w:spacing w:val="2"/>
          <w:sz w:val="21"/>
          <w:szCs w:val="21"/>
        </w:rPr>
        <w:t>Supplementary Fig. 4</w:t>
      </w:r>
      <w:r w:rsidRPr="00496530">
        <w:rPr>
          <w:rFonts w:ascii="Times New Roman" w:hAnsi="Times New Roman" w:cs="Times New Roman"/>
          <w:spacing w:val="2"/>
          <w:sz w:val="21"/>
          <w:szCs w:val="21"/>
        </w:rPr>
        <w:t>).</w:t>
      </w:r>
    </w:p>
    <w:p w14:paraId="35DCA2C7" w14:textId="77777777" w:rsidR="00091BDD" w:rsidRPr="00496530" w:rsidRDefault="00091BDD" w:rsidP="00091BDD">
      <w:pPr>
        <w:pStyle w:val="af2"/>
        <w:rPr>
          <w:rFonts w:ascii="Times New Roman" w:hAnsi="Times New Roman" w:cs="Times New Roman"/>
          <w:spacing w:val="2"/>
          <w:sz w:val="21"/>
          <w:szCs w:val="21"/>
        </w:rPr>
      </w:pPr>
      <w:r w:rsidRPr="00496530">
        <w:rPr>
          <w:rFonts w:ascii="Times New Roman" w:hAnsi="Times New Roman" w:cs="Times New Roman"/>
          <w:spacing w:val="2"/>
          <w:sz w:val="21"/>
          <w:szCs w:val="21"/>
        </w:rPr>
        <w:lastRenderedPageBreak/>
        <w:t>When a meteorological station matched multiple applicable models, a weighted average of their predictions was calculated based on their respective membership degrees, resulting in a robust, fused daily carbon flux estimation. Furthermore, the prediction uncertainty (</w:t>
      </w:r>
      <w:proofErr w:type="spellStart"/>
      <w:r w:rsidRPr="00496530">
        <w:rPr>
          <w:rFonts w:ascii="Times New Roman" w:hAnsi="Times New Roman" w:cs="Times New Roman"/>
          <w:spacing w:val="2"/>
          <w:sz w:val="21"/>
          <w:szCs w:val="21"/>
        </w:rPr>
        <w:t>U_i</w:t>
      </w:r>
      <w:proofErr w:type="spellEnd"/>
      <w:r w:rsidRPr="00496530">
        <w:rPr>
          <w:rFonts w:ascii="Times New Roman" w:hAnsi="Times New Roman" w:cs="Times New Roman"/>
          <w:spacing w:val="2"/>
          <w:sz w:val="21"/>
          <w:szCs w:val="21"/>
        </w:rPr>
        <w:t xml:space="preserve">) for each meteorological </w:t>
      </w:r>
      <w:proofErr w:type="gramStart"/>
      <w:r w:rsidRPr="00496530">
        <w:rPr>
          <w:rFonts w:ascii="Times New Roman" w:hAnsi="Times New Roman" w:cs="Times New Roman"/>
          <w:spacing w:val="2"/>
          <w:sz w:val="21"/>
          <w:szCs w:val="21"/>
        </w:rPr>
        <w:t xml:space="preserve">station </w:t>
      </w:r>
      <w:proofErr w:type="spellStart"/>
      <w:r w:rsidRPr="00496530">
        <w:rPr>
          <w:rFonts w:ascii="Times New Roman" w:hAnsi="Times New Roman" w:cs="Times New Roman"/>
          <w:spacing w:val="2"/>
          <w:sz w:val="21"/>
          <w:szCs w:val="21"/>
        </w:rPr>
        <w:t>i</w:t>
      </w:r>
      <w:proofErr w:type="spellEnd"/>
      <w:proofErr w:type="gramEnd"/>
      <w:r w:rsidRPr="00496530">
        <w:rPr>
          <w:rFonts w:ascii="Times New Roman" w:hAnsi="Times New Roman" w:cs="Times New Roman"/>
          <w:spacing w:val="2"/>
          <w:sz w:val="21"/>
          <w:szCs w:val="21"/>
        </w:rPr>
        <w:t xml:space="preserve"> was quantified based on the maximum environmental similarity among the t applicable models:</w:t>
      </w:r>
    </w:p>
    <w:p w14:paraId="55A8A239" w14:textId="77777777" w:rsidR="00091BDD" w:rsidRPr="00496530" w:rsidRDefault="00091BDD">
      <w:pPr>
        <w:widowControl/>
        <w:jc w:val="left"/>
        <w:rPr>
          <w:rFonts w:ascii="Times New Roman" w:eastAsia="宋体" w:hAnsi="Times New Roman" w:cs="Times New Roman"/>
          <w:spacing w:val="2"/>
          <w:szCs w:val="21"/>
        </w:rPr>
      </w:pPr>
      <m:oMathPara>
        <m:oMath>
          <m:sSub>
            <m:sSubPr>
              <m:ctrlPr>
                <w:rPr>
                  <w:rFonts w:ascii="Cambria Math" w:hAnsi="Cambria Math" w:cs="Times New Roman"/>
                  <w:i/>
                  <w:spacing w:val="2"/>
                  <w:szCs w:val="21"/>
                </w:rPr>
              </m:ctrlPr>
            </m:sSubPr>
            <m:e>
              <m:r>
                <w:rPr>
                  <w:rFonts w:ascii="Cambria Math" w:hAnsi="Cambria Math" w:cs="Times New Roman"/>
                  <w:spacing w:val="2"/>
                  <w:szCs w:val="21"/>
                </w:rPr>
                <m:t>U</m:t>
              </m:r>
            </m:e>
            <m:sub>
              <m:r>
                <w:rPr>
                  <w:rFonts w:ascii="Cambria Math" w:hAnsi="Cambria Math" w:cs="Times New Roman"/>
                  <w:spacing w:val="2"/>
                  <w:szCs w:val="21"/>
                </w:rPr>
                <m:t>i</m:t>
              </m:r>
            </m:sub>
          </m:sSub>
          <m:r>
            <w:rPr>
              <w:rFonts w:ascii="Cambria Math" w:hAnsi="Cambria Math" w:cs="Times New Roman"/>
              <w:spacing w:val="2"/>
              <w:szCs w:val="21"/>
            </w:rPr>
            <m:t>=1-</m:t>
          </m:r>
          <m:func>
            <m:funcPr>
              <m:ctrlPr>
                <w:rPr>
                  <w:rFonts w:ascii="Cambria Math" w:hAnsi="Cambria Math" w:cs="Times New Roman"/>
                  <w:spacing w:val="2"/>
                  <w:szCs w:val="21"/>
                </w:rPr>
              </m:ctrlPr>
            </m:funcPr>
            <m:fName>
              <m:r>
                <m:rPr>
                  <m:sty m:val="p"/>
                </m:rPr>
                <w:rPr>
                  <w:rFonts w:ascii="Cambria Math" w:hAnsi="Cambria Math" w:cs="Times New Roman"/>
                  <w:spacing w:val="2"/>
                  <w:szCs w:val="21"/>
                </w:rPr>
                <m:t>max</m:t>
              </m:r>
              <m:ctrlPr>
                <w:rPr>
                  <w:rFonts w:ascii="Cambria Math" w:hAnsi="Cambria Math" w:cs="Times New Roman"/>
                  <w:i/>
                  <w:spacing w:val="2"/>
                  <w:szCs w:val="21"/>
                </w:rPr>
              </m:ctrlPr>
            </m:fName>
            <m:e>
              <m:d>
                <m:dPr>
                  <m:ctrlPr>
                    <w:rPr>
                      <w:rFonts w:ascii="Cambria Math" w:hAnsi="Cambria Math" w:cs="Times New Roman"/>
                      <w:i/>
                      <w:spacing w:val="2"/>
                      <w:szCs w:val="21"/>
                    </w:rPr>
                  </m:ctrlPr>
                </m:dPr>
                <m:e>
                  <m:sSub>
                    <m:sSubPr>
                      <m:ctrlPr>
                        <w:rPr>
                          <w:rFonts w:ascii="Cambria Math" w:hAnsi="Cambria Math" w:cs="Times New Roman"/>
                          <w:i/>
                          <w:spacing w:val="2"/>
                          <w:szCs w:val="21"/>
                        </w:rPr>
                      </m:ctrlPr>
                    </m:sSubPr>
                    <m:e>
                      <m:r>
                        <w:rPr>
                          <w:rFonts w:ascii="Cambria Math" w:hAnsi="Cambria Math" w:cs="Times New Roman"/>
                          <w:spacing w:val="2"/>
                          <w:szCs w:val="21"/>
                        </w:rPr>
                        <m:t>V</m:t>
                      </m:r>
                    </m:e>
                    <m:sub>
                      <m:r>
                        <w:rPr>
                          <w:rFonts w:ascii="Cambria Math" w:hAnsi="Cambria Math" w:cs="Times New Roman"/>
                          <w:spacing w:val="2"/>
                          <w:szCs w:val="21"/>
                        </w:rPr>
                        <m:t>i,1</m:t>
                      </m:r>
                    </m:sub>
                  </m:sSub>
                  <m:r>
                    <w:rPr>
                      <w:rFonts w:ascii="Cambria Math" w:hAnsi="Cambria Math" w:cs="Times New Roman"/>
                      <w:spacing w:val="2"/>
                      <w:szCs w:val="21"/>
                    </w:rPr>
                    <m:t>,</m:t>
                  </m:r>
                  <m:sSub>
                    <m:sSubPr>
                      <m:ctrlPr>
                        <w:rPr>
                          <w:rFonts w:ascii="Cambria Math" w:hAnsi="Cambria Math" w:cs="Times New Roman"/>
                          <w:i/>
                          <w:spacing w:val="2"/>
                          <w:szCs w:val="21"/>
                        </w:rPr>
                      </m:ctrlPr>
                    </m:sSubPr>
                    <m:e>
                      <m:r>
                        <w:rPr>
                          <w:rFonts w:ascii="Cambria Math" w:hAnsi="Cambria Math" w:cs="Times New Roman"/>
                          <w:spacing w:val="2"/>
                          <w:szCs w:val="21"/>
                        </w:rPr>
                        <m:t>V</m:t>
                      </m:r>
                    </m:e>
                    <m:sub>
                      <m:r>
                        <w:rPr>
                          <w:rFonts w:ascii="Cambria Math" w:hAnsi="Cambria Math" w:cs="Times New Roman"/>
                          <w:spacing w:val="2"/>
                          <w:szCs w:val="21"/>
                        </w:rPr>
                        <m:t>i,2</m:t>
                      </m:r>
                    </m:sub>
                  </m:sSub>
                  <m:r>
                    <w:rPr>
                      <w:rFonts w:ascii="Cambria Math" w:hAnsi="Cambria Math" w:cs="Times New Roman"/>
                      <w:spacing w:val="2"/>
                      <w:szCs w:val="21"/>
                    </w:rPr>
                    <m:t>,…,</m:t>
                  </m:r>
                  <m:sSub>
                    <m:sSubPr>
                      <m:ctrlPr>
                        <w:rPr>
                          <w:rFonts w:ascii="Cambria Math" w:hAnsi="Cambria Math" w:cs="Times New Roman"/>
                          <w:i/>
                          <w:spacing w:val="2"/>
                          <w:szCs w:val="21"/>
                        </w:rPr>
                      </m:ctrlPr>
                    </m:sSubPr>
                    <m:e>
                      <m:r>
                        <w:rPr>
                          <w:rFonts w:ascii="Cambria Math" w:hAnsi="Cambria Math" w:cs="Times New Roman"/>
                          <w:spacing w:val="2"/>
                          <w:szCs w:val="21"/>
                        </w:rPr>
                        <m:t>V</m:t>
                      </m:r>
                    </m:e>
                    <m:sub>
                      <m:r>
                        <w:rPr>
                          <w:rFonts w:ascii="Cambria Math" w:hAnsi="Cambria Math" w:cs="Times New Roman"/>
                          <w:spacing w:val="2"/>
                          <w:szCs w:val="21"/>
                        </w:rPr>
                        <m:t>i,t</m:t>
                      </m:r>
                    </m:sub>
                  </m:sSub>
                </m:e>
              </m:d>
            </m:e>
          </m:func>
        </m:oMath>
      </m:oMathPara>
    </w:p>
    <w:p w14:paraId="388B22E2" w14:textId="2B10858D" w:rsidR="00746580" w:rsidRPr="00496530" w:rsidRDefault="00091BDD" w:rsidP="00091BDD">
      <w:pPr>
        <w:pStyle w:val="af2"/>
        <w:rPr>
          <w:rFonts w:ascii="Times New Roman" w:hAnsi="Times New Roman" w:cs="Times New Roman"/>
          <w:spacing w:val="2"/>
          <w:szCs w:val="21"/>
        </w:rPr>
      </w:pPr>
      <w:r w:rsidRPr="00496530">
        <w:rPr>
          <w:rFonts w:ascii="Times New Roman" w:hAnsi="Times New Roman" w:cs="Times New Roman"/>
          <w:spacing w:val="2"/>
          <w:sz w:val="21"/>
          <w:szCs w:val="21"/>
        </w:rPr>
        <w:t>Applying this framework globally, approximately 70% of the GSOD meteorological stations successfully matched at least one applicable model. These retained stations are predominantly distributed across the Northern Hemisphere, providing a reliable and extensively evaluated site-scale carbon flux dataset for our spatial analyses (</w:t>
      </w:r>
      <w:r w:rsidRPr="00496530">
        <w:rPr>
          <w:rFonts w:ascii="Times New Roman" w:hAnsi="Times New Roman" w:cs="Times New Roman"/>
          <w:b/>
          <w:bCs/>
        </w:rPr>
        <w:t>Supplementary Fig. 5</w:t>
      </w:r>
      <w:r w:rsidRPr="00496530">
        <w:rPr>
          <w:rFonts w:ascii="Times New Roman" w:hAnsi="Times New Roman" w:cs="Times New Roman"/>
          <w:spacing w:val="2"/>
          <w:sz w:val="21"/>
          <w:szCs w:val="21"/>
        </w:rPr>
        <w:t>).</w:t>
      </w:r>
      <w:r w:rsidR="00746580" w:rsidRPr="00496530">
        <w:rPr>
          <w:rFonts w:ascii="Times New Roman" w:hAnsi="Times New Roman" w:cs="Times New Roman"/>
          <w:spacing w:val="2"/>
          <w:sz w:val="21"/>
          <w:szCs w:val="21"/>
        </w:rPr>
        <w:br w:type="page"/>
      </w:r>
    </w:p>
    <w:p w14:paraId="53CA5C57" w14:textId="77777777" w:rsidR="00212D1C" w:rsidRPr="00496530" w:rsidRDefault="00212D1C" w:rsidP="00212D1C">
      <w:pPr>
        <w:widowControl/>
        <w:spacing w:before="100" w:beforeAutospacing="1" w:after="100" w:afterAutospacing="1"/>
        <w:jc w:val="left"/>
        <w:rPr>
          <w:rFonts w:ascii="Times New Roman" w:eastAsia="宋体" w:hAnsi="Times New Roman" w:cs="Times New Roman"/>
          <w:spacing w:val="2"/>
          <w:kern w:val="0"/>
          <w:szCs w:val="21"/>
        </w:rPr>
      </w:pPr>
      <w:r w:rsidRPr="00496530">
        <w:rPr>
          <w:rFonts w:ascii="Times New Roman" w:eastAsia="宋体" w:hAnsi="Times New Roman" w:cs="Times New Roman"/>
          <w:b/>
          <w:bCs/>
          <w:spacing w:val="2"/>
          <w:kern w:val="0"/>
          <w:szCs w:val="21"/>
        </w:rPr>
        <w:lastRenderedPageBreak/>
        <w:t>Supplementary Table 1. Explanatory variables used for the development of carbon flux models.</w:t>
      </w:r>
    </w:p>
    <w:tbl>
      <w:tblPr>
        <w:tblW w:w="0" w:type="auto"/>
        <w:tblCellMar>
          <w:top w:w="15" w:type="dxa"/>
          <w:left w:w="15" w:type="dxa"/>
          <w:bottom w:w="15" w:type="dxa"/>
          <w:right w:w="15" w:type="dxa"/>
        </w:tblCellMar>
        <w:tblLook w:val="04A0" w:firstRow="1" w:lastRow="0" w:firstColumn="1" w:lastColumn="0" w:noHBand="0" w:noVBand="1"/>
      </w:tblPr>
      <w:tblGrid>
        <w:gridCol w:w="459"/>
        <w:gridCol w:w="736"/>
        <w:gridCol w:w="2238"/>
        <w:gridCol w:w="615"/>
        <w:gridCol w:w="2099"/>
        <w:gridCol w:w="1857"/>
      </w:tblGrid>
      <w:tr w:rsidR="00212D1C" w:rsidRPr="00496530" w14:paraId="4AC96457" w14:textId="77777777">
        <w:trPr>
          <w:tblHeader/>
        </w:trPr>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5454E53" w14:textId="77777777" w:rsidR="00212D1C" w:rsidRPr="00496530" w:rsidRDefault="00212D1C" w:rsidP="00212D1C">
            <w:pPr>
              <w:widowControl/>
              <w:spacing w:before="240" w:after="240"/>
              <w:jc w:val="left"/>
              <w:rPr>
                <w:rFonts w:ascii="Times New Roman" w:eastAsia="宋体" w:hAnsi="Times New Roman" w:cs="Times New Roman"/>
                <w:b/>
                <w:bCs/>
                <w:spacing w:val="2"/>
                <w:kern w:val="0"/>
                <w:sz w:val="15"/>
                <w:szCs w:val="15"/>
              </w:rPr>
            </w:pPr>
            <w:r w:rsidRPr="00496530">
              <w:rPr>
                <w:rFonts w:ascii="Times New Roman" w:eastAsia="宋体" w:hAnsi="Times New Roman" w:cs="Times New Roman"/>
                <w:b/>
                <w:bCs/>
                <w:spacing w:val="2"/>
                <w:kern w:val="0"/>
                <w:sz w:val="15"/>
                <w:szCs w:val="15"/>
              </w:rPr>
              <w:t>Nr.</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EDA9308" w14:textId="77777777" w:rsidR="00212D1C" w:rsidRPr="00496530" w:rsidRDefault="00212D1C" w:rsidP="00212D1C">
            <w:pPr>
              <w:widowControl/>
              <w:spacing w:before="240" w:after="240"/>
              <w:jc w:val="left"/>
              <w:rPr>
                <w:rFonts w:ascii="Times New Roman" w:eastAsia="宋体" w:hAnsi="Times New Roman" w:cs="Times New Roman"/>
                <w:b/>
                <w:bCs/>
                <w:spacing w:val="2"/>
                <w:kern w:val="0"/>
                <w:sz w:val="15"/>
                <w:szCs w:val="15"/>
              </w:rPr>
            </w:pPr>
            <w:r w:rsidRPr="00496530">
              <w:rPr>
                <w:rFonts w:ascii="Times New Roman" w:eastAsia="宋体" w:hAnsi="Times New Roman" w:cs="Times New Roman"/>
                <w:b/>
                <w:bCs/>
                <w:spacing w:val="2"/>
                <w:kern w:val="0"/>
                <w:sz w:val="15"/>
                <w:szCs w:val="15"/>
              </w:rPr>
              <w:t>ID</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2475B52" w14:textId="77777777" w:rsidR="00212D1C" w:rsidRPr="00496530" w:rsidRDefault="00212D1C" w:rsidP="00212D1C">
            <w:pPr>
              <w:widowControl/>
              <w:spacing w:before="240" w:after="240"/>
              <w:jc w:val="left"/>
              <w:rPr>
                <w:rFonts w:ascii="Times New Roman" w:eastAsia="宋体" w:hAnsi="Times New Roman" w:cs="Times New Roman"/>
                <w:b/>
                <w:bCs/>
                <w:spacing w:val="2"/>
                <w:kern w:val="0"/>
                <w:sz w:val="15"/>
                <w:szCs w:val="15"/>
              </w:rPr>
            </w:pPr>
            <w:r w:rsidRPr="00496530">
              <w:rPr>
                <w:rFonts w:ascii="Times New Roman" w:eastAsia="宋体" w:hAnsi="Times New Roman" w:cs="Times New Roman"/>
                <w:b/>
                <w:bCs/>
                <w:spacing w:val="2"/>
                <w:kern w:val="0"/>
                <w:sz w:val="15"/>
                <w:szCs w:val="15"/>
              </w:rPr>
              <w:t>Description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6872238" w14:textId="77777777" w:rsidR="00212D1C" w:rsidRPr="00496530" w:rsidRDefault="00212D1C" w:rsidP="00212D1C">
            <w:pPr>
              <w:widowControl/>
              <w:spacing w:before="240" w:after="240"/>
              <w:jc w:val="left"/>
              <w:rPr>
                <w:rFonts w:ascii="Times New Roman" w:eastAsia="宋体" w:hAnsi="Times New Roman" w:cs="Times New Roman"/>
                <w:b/>
                <w:bCs/>
                <w:spacing w:val="2"/>
                <w:kern w:val="0"/>
                <w:sz w:val="15"/>
                <w:szCs w:val="15"/>
              </w:rPr>
            </w:pPr>
            <w:r w:rsidRPr="00496530">
              <w:rPr>
                <w:rFonts w:ascii="Times New Roman" w:eastAsia="宋体" w:hAnsi="Times New Roman" w:cs="Times New Roman"/>
                <w:b/>
                <w:bCs/>
                <w:spacing w:val="2"/>
                <w:kern w:val="0"/>
                <w:sz w:val="15"/>
                <w:szCs w:val="15"/>
              </w:rPr>
              <w:t>Unit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938987B" w14:textId="77777777" w:rsidR="00212D1C" w:rsidRPr="00496530" w:rsidRDefault="00212D1C" w:rsidP="00212D1C">
            <w:pPr>
              <w:widowControl/>
              <w:spacing w:before="240" w:after="240"/>
              <w:jc w:val="left"/>
              <w:rPr>
                <w:rFonts w:ascii="Times New Roman" w:eastAsia="宋体" w:hAnsi="Times New Roman" w:cs="Times New Roman"/>
                <w:b/>
                <w:bCs/>
                <w:spacing w:val="2"/>
                <w:kern w:val="0"/>
                <w:sz w:val="15"/>
                <w:szCs w:val="15"/>
              </w:rPr>
            </w:pPr>
            <w:r w:rsidRPr="00496530">
              <w:rPr>
                <w:rFonts w:ascii="Times New Roman" w:eastAsia="宋体" w:hAnsi="Times New Roman" w:cs="Times New Roman"/>
                <w:b/>
                <w:bCs/>
                <w:spacing w:val="2"/>
                <w:kern w:val="0"/>
                <w:sz w:val="15"/>
                <w:szCs w:val="15"/>
              </w:rPr>
              <w:t>Temporal/Spatial resolution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B3E943B" w14:textId="77777777" w:rsidR="00212D1C" w:rsidRPr="00496530" w:rsidRDefault="00212D1C" w:rsidP="00212D1C">
            <w:pPr>
              <w:widowControl/>
              <w:spacing w:before="240" w:after="240"/>
              <w:jc w:val="left"/>
              <w:rPr>
                <w:rFonts w:ascii="Times New Roman" w:eastAsia="宋体" w:hAnsi="Times New Roman" w:cs="Times New Roman"/>
                <w:b/>
                <w:bCs/>
                <w:spacing w:val="2"/>
                <w:kern w:val="0"/>
                <w:sz w:val="15"/>
                <w:szCs w:val="15"/>
              </w:rPr>
            </w:pPr>
            <w:r w:rsidRPr="00496530">
              <w:rPr>
                <w:rFonts w:ascii="Times New Roman" w:eastAsia="宋体" w:hAnsi="Times New Roman" w:cs="Times New Roman"/>
                <w:b/>
                <w:bCs/>
                <w:spacing w:val="2"/>
                <w:kern w:val="0"/>
                <w:sz w:val="15"/>
                <w:szCs w:val="15"/>
              </w:rPr>
              <w:t>Source</w:t>
            </w:r>
          </w:p>
        </w:tc>
      </w:tr>
      <w:tr w:rsidR="00212D1C" w:rsidRPr="00496530" w14:paraId="3CD0BD87"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B1B2D55"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1</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CA6D38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T-Max</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70E6825"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Maximum Air Temperature</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EBE1574"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D49DDF5"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5D4B92D"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Sites</w:t>
            </w:r>
          </w:p>
        </w:tc>
      </w:tr>
      <w:tr w:rsidR="00212D1C" w:rsidRPr="00496530" w14:paraId="4696A56A"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F03B724"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2</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C95A46A"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T-Min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3D14329"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Minimum Air Temperature</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E0A4EC5"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C7C8B0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0ED31A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Sites</w:t>
            </w:r>
          </w:p>
        </w:tc>
      </w:tr>
      <w:tr w:rsidR="00212D1C" w:rsidRPr="00496530" w14:paraId="0C3A9361"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C54B3DE"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3</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88515C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T-Mean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4A0593E"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Mean Air Temperature</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68C67F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37DD476"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D4C8942"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Sites</w:t>
            </w:r>
          </w:p>
        </w:tc>
      </w:tr>
      <w:tr w:rsidR="00212D1C" w:rsidRPr="00496530" w14:paraId="1723AF8F"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E34A104"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4</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411F9D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P</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0A94E7E"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Precipitation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A351EE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mm</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2EE4ED2"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B5280C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Sites</w:t>
            </w:r>
          </w:p>
        </w:tc>
      </w:tr>
      <w:tr w:rsidR="00212D1C" w:rsidRPr="00496530" w14:paraId="66D81551"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F12C32F"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5</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DD6D1C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WS</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53B2BEA"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Wind Speed</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A10A1AC"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m/s</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B17326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3F4867C"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Sites</w:t>
            </w:r>
          </w:p>
        </w:tc>
      </w:tr>
      <w:tr w:rsidR="00212D1C" w:rsidRPr="00496530" w14:paraId="29E55FCC"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AB6AF34"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6</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D6C0B26"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VPD</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4F47F8E"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Vapor pressure deficit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2CE40C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proofErr w:type="spellStart"/>
            <w:r w:rsidRPr="00496530">
              <w:rPr>
                <w:rFonts w:ascii="Times New Roman" w:eastAsia="宋体" w:hAnsi="Times New Roman" w:cs="Times New Roman"/>
                <w:spacing w:val="2"/>
                <w:kern w:val="0"/>
                <w:sz w:val="15"/>
                <w:szCs w:val="15"/>
              </w:rPr>
              <w:t>hPa</w:t>
            </w:r>
            <w:proofErr w:type="spellEnd"/>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D97019A"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5257AD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Sites</w:t>
            </w:r>
          </w:p>
        </w:tc>
      </w:tr>
      <w:tr w:rsidR="00212D1C" w:rsidRPr="00496530" w14:paraId="1914C93F"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F98CD9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7</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4148B8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LAI</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3387F53"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Leaf Area Index</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979541D"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m²/m²</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E9CC8E2"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8-day/500m</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FD3529A"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MODIS</w:t>
            </w:r>
          </w:p>
        </w:tc>
      </w:tr>
      <w:tr w:rsidR="00212D1C" w:rsidRPr="00496530" w14:paraId="341EAAFA"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D792D8F"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8</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CD59F3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DSR</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A49D9C5"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Downward shortwave Radiation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E343DC6"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W/m²</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5329B4A"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Daily/500m</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17C2EDD"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Seoul National University</w:t>
            </w:r>
          </w:p>
        </w:tc>
      </w:tr>
      <w:tr w:rsidR="00212D1C" w:rsidRPr="00496530" w14:paraId="779DF742"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79218B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9</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ACB849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DEM</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CAA79B5"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Elevation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30C0153"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m</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E9BAE8F"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Static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58482E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GLOBE from NOAA</w:t>
            </w:r>
          </w:p>
        </w:tc>
      </w:tr>
      <w:tr w:rsidR="00212D1C" w:rsidRPr="00496530" w14:paraId="7D7E2C0C"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2239332"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10</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9D28E2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Aspect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DA42F5C"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Aspect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EB9A7F2"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36CF2B6"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Static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5A81D7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GLOBE from NOAA</w:t>
            </w:r>
          </w:p>
        </w:tc>
      </w:tr>
      <w:tr w:rsidR="00212D1C" w:rsidRPr="00496530" w14:paraId="53AD3D5E"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C6CCACF"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11</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4AD4A2E"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Slope</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7039E9B"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Slope</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0E85642"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C41F36C"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Static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9246116"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GLOBE from NOAA</w:t>
            </w:r>
          </w:p>
        </w:tc>
      </w:tr>
      <w:tr w:rsidR="00212D1C" w:rsidRPr="00496530" w14:paraId="13D49017"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81817B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lastRenderedPageBreak/>
              <w:t>12</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F5295C9"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Clay</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E48EC6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Topsoil clay fraction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EA10D1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380330E"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Static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83351C3"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HWSD from FAO</w:t>
            </w:r>
          </w:p>
        </w:tc>
      </w:tr>
      <w:tr w:rsidR="00212D1C" w:rsidRPr="00496530" w14:paraId="55BB1A9F"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CA88B8F"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13</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48FED88C"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Sand</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3C64667"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Topsoil sand fraction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1887CB9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2C992DC1"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Static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B7D01CF"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HWSD from FAO</w:t>
            </w:r>
          </w:p>
        </w:tc>
      </w:tr>
      <w:tr w:rsidR="00212D1C" w:rsidRPr="00496530" w14:paraId="71CA5669" w14:textId="77777777">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05F916FD"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14</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3FF3977D"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Silt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F077D5C"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Topsoil silt fraction</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5D61224A"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726D5210"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Static</w:t>
            </w:r>
          </w:p>
        </w:tc>
        <w:tc>
          <w:tcPr>
            <w:tcW w:w="0" w:type="auto"/>
            <w:tcBorders>
              <w:top w:val="single" w:sz="6" w:space="0" w:color="808080"/>
              <w:left w:val="single" w:sz="6" w:space="0" w:color="808080"/>
              <w:bottom w:val="single" w:sz="6" w:space="0" w:color="808080"/>
              <w:right w:val="single" w:sz="6" w:space="0" w:color="808080"/>
            </w:tcBorders>
            <w:tcMar>
              <w:top w:w="120" w:type="dxa"/>
              <w:left w:w="120" w:type="dxa"/>
              <w:bottom w:w="120" w:type="dxa"/>
              <w:right w:w="120" w:type="dxa"/>
            </w:tcMar>
            <w:vAlign w:val="center"/>
            <w:hideMark/>
          </w:tcPr>
          <w:p w14:paraId="66F22034" w14:textId="77777777" w:rsidR="00212D1C" w:rsidRPr="00496530" w:rsidRDefault="00212D1C" w:rsidP="00212D1C">
            <w:pPr>
              <w:widowControl/>
              <w:spacing w:before="240" w:after="240"/>
              <w:jc w:val="left"/>
              <w:rPr>
                <w:rFonts w:ascii="Times New Roman" w:eastAsia="宋体" w:hAnsi="Times New Roman" w:cs="Times New Roman"/>
                <w:spacing w:val="2"/>
                <w:kern w:val="0"/>
                <w:sz w:val="15"/>
                <w:szCs w:val="15"/>
              </w:rPr>
            </w:pPr>
            <w:r w:rsidRPr="00496530">
              <w:rPr>
                <w:rFonts w:ascii="Times New Roman" w:eastAsia="宋体" w:hAnsi="Times New Roman" w:cs="Times New Roman"/>
                <w:spacing w:val="2"/>
                <w:kern w:val="0"/>
                <w:sz w:val="15"/>
                <w:szCs w:val="15"/>
              </w:rPr>
              <w:t>HWSD from FAO</w:t>
            </w:r>
          </w:p>
        </w:tc>
      </w:tr>
    </w:tbl>
    <w:p w14:paraId="369B7ACE" w14:textId="77777777" w:rsidR="00212D1C" w:rsidRPr="00496530" w:rsidRDefault="00212D1C">
      <w:pPr>
        <w:widowControl/>
        <w:jc w:val="left"/>
        <w:rPr>
          <w:rFonts w:ascii="Times New Roman" w:eastAsia="宋体" w:hAnsi="Times New Roman" w:cs="Times New Roman"/>
          <w:spacing w:val="2"/>
          <w:kern w:val="0"/>
          <w:szCs w:val="21"/>
        </w:rPr>
      </w:pPr>
    </w:p>
    <w:p w14:paraId="4C560D66" w14:textId="4CF09F22" w:rsidR="002210FC" w:rsidRPr="00496530" w:rsidRDefault="002210FC">
      <w:pPr>
        <w:widowControl/>
        <w:jc w:val="left"/>
        <w:rPr>
          <w:rFonts w:ascii="Times New Roman" w:eastAsia="宋体" w:hAnsi="Times New Roman" w:cs="Times New Roman"/>
          <w:spacing w:val="2"/>
          <w:kern w:val="0"/>
          <w:szCs w:val="21"/>
        </w:rPr>
      </w:pPr>
      <w:r w:rsidRPr="00496530">
        <w:rPr>
          <w:rFonts w:ascii="Times New Roman" w:hAnsi="Times New Roman" w:cs="Times New Roman"/>
          <w:spacing w:val="2"/>
          <w:szCs w:val="21"/>
        </w:rPr>
        <w:br w:type="page"/>
      </w:r>
    </w:p>
    <w:p w14:paraId="4615BC02" w14:textId="77777777" w:rsidR="00627A95" w:rsidRPr="00496530" w:rsidRDefault="00627A95" w:rsidP="006974D0">
      <w:pPr>
        <w:pStyle w:val="af2"/>
        <w:rPr>
          <w:rFonts w:ascii="Times New Roman" w:hAnsi="Times New Roman" w:cs="Times New Roman"/>
          <w:spacing w:val="2"/>
          <w:sz w:val="21"/>
          <w:szCs w:val="21"/>
        </w:rPr>
      </w:pPr>
    </w:p>
    <w:p w14:paraId="2151E923" w14:textId="48A0A77F" w:rsidR="006974D0" w:rsidRPr="00496530" w:rsidRDefault="002534ED" w:rsidP="007B61A6">
      <w:pPr>
        <w:rPr>
          <w:rFonts w:ascii="Times New Roman" w:hAnsi="Times New Roman" w:cs="Times New Roman"/>
          <w:spacing w:val="2"/>
          <w:szCs w:val="21"/>
          <w:shd w:val="clear" w:color="auto" w:fill="F1F1F1"/>
        </w:rPr>
      </w:pPr>
      <w:r w:rsidRPr="00496530">
        <w:rPr>
          <w:rFonts w:ascii="Times New Roman" w:hAnsi="Times New Roman" w:cs="Times New Roman"/>
          <w:noProof/>
          <w:spacing w:val="2"/>
          <w:szCs w:val="21"/>
          <w:shd w:val="clear" w:color="auto" w:fill="F1F1F1"/>
        </w:rPr>
        <w:drawing>
          <wp:inline distT="0" distB="0" distL="0" distR="0" wp14:anchorId="56469ECF" wp14:editId="48DC9EE3">
            <wp:extent cx="2550400" cy="1578428"/>
            <wp:effectExtent l="0" t="0" r="2540" b="3175"/>
            <wp:docPr id="198574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457" cy="1589603"/>
                    </a:xfrm>
                    <a:prstGeom prst="rect">
                      <a:avLst/>
                    </a:prstGeom>
                    <a:noFill/>
                    <a:ln>
                      <a:noFill/>
                    </a:ln>
                  </pic:spPr>
                </pic:pic>
              </a:graphicData>
            </a:graphic>
          </wp:inline>
        </w:drawing>
      </w:r>
      <w:r w:rsidRPr="00496530">
        <w:rPr>
          <w:rFonts w:ascii="Times New Roman" w:hAnsi="Times New Roman" w:cs="Times New Roman"/>
          <w:noProof/>
          <w:spacing w:val="2"/>
          <w:szCs w:val="21"/>
          <w:shd w:val="clear" w:color="auto" w:fill="F1F1F1"/>
        </w:rPr>
        <w:drawing>
          <wp:inline distT="0" distB="0" distL="0" distR="0" wp14:anchorId="2994CA97" wp14:editId="187A1DE4">
            <wp:extent cx="2547257" cy="1576483"/>
            <wp:effectExtent l="0" t="0" r="5715" b="5080"/>
            <wp:docPr id="635758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174" cy="1589428"/>
                    </a:xfrm>
                    <a:prstGeom prst="rect">
                      <a:avLst/>
                    </a:prstGeom>
                    <a:noFill/>
                    <a:ln>
                      <a:noFill/>
                    </a:ln>
                  </pic:spPr>
                </pic:pic>
              </a:graphicData>
            </a:graphic>
          </wp:inline>
        </w:drawing>
      </w:r>
    </w:p>
    <w:p w14:paraId="41584A26" w14:textId="02750253" w:rsidR="00182585" w:rsidRPr="00496530" w:rsidRDefault="006974D0" w:rsidP="006974D0">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Supplementary Figure 1.</w:t>
      </w:r>
      <w:r w:rsidRPr="00496530">
        <w:rPr>
          <w:rFonts w:ascii="Times New Roman" w:hAnsi="Times New Roman" w:cs="Times New Roman"/>
          <w:spacing w:val="2"/>
          <w:sz w:val="21"/>
          <w:szCs w:val="21"/>
        </w:rPr>
        <w:t> </w:t>
      </w:r>
      <w:r w:rsidRPr="00496530">
        <w:rPr>
          <w:rStyle w:val="af3"/>
          <w:rFonts w:ascii="Times New Roman" w:hAnsi="Times New Roman" w:cs="Times New Roman"/>
          <w:spacing w:val="2"/>
          <w:sz w:val="21"/>
          <w:szCs w:val="21"/>
        </w:rPr>
        <w:t>Boxplots of the coefficient of determination (R²) for the LSTM models.</w:t>
      </w:r>
      <w:r w:rsidRPr="00496530">
        <w:rPr>
          <w:rFonts w:ascii="Times New Roman" w:hAnsi="Times New Roman" w:cs="Times New Roman"/>
          <w:spacing w:val="2"/>
          <w:sz w:val="21"/>
          <w:szCs w:val="21"/>
        </w:rPr>
        <w:t> Performance of the LLO cross-validation for GPP and Reco (ER) across arid, semi-arid, dry sub-humid, and humid regions. The red dashed line indicates the R² threshold of 0.5 used for model selection.</w:t>
      </w:r>
    </w:p>
    <w:p w14:paraId="5DE6D5FC" w14:textId="77777777" w:rsidR="00182585" w:rsidRPr="00496530" w:rsidRDefault="00182585">
      <w:pPr>
        <w:widowControl/>
        <w:jc w:val="left"/>
        <w:rPr>
          <w:rFonts w:ascii="Times New Roman" w:eastAsia="宋体" w:hAnsi="Times New Roman" w:cs="Times New Roman"/>
          <w:spacing w:val="2"/>
          <w:kern w:val="0"/>
          <w:szCs w:val="21"/>
        </w:rPr>
      </w:pPr>
      <w:r w:rsidRPr="00496530">
        <w:rPr>
          <w:rFonts w:ascii="Times New Roman" w:hAnsi="Times New Roman" w:cs="Times New Roman"/>
          <w:spacing w:val="2"/>
          <w:szCs w:val="21"/>
        </w:rPr>
        <w:br w:type="page"/>
      </w:r>
    </w:p>
    <w:p w14:paraId="4CE18340" w14:textId="77777777" w:rsidR="006974D0" w:rsidRPr="00496530" w:rsidRDefault="006974D0" w:rsidP="006974D0">
      <w:pPr>
        <w:pStyle w:val="af2"/>
        <w:rPr>
          <w:rFonts w:ascii="Times New Roman" w:hAnsi="Times New Roman" w:cs="Times New Roman"/>
          <w:spacing w:val="2"/>
          <w:sz w:val="21"/>
          <w:szCs w:val="21"/>
        </w:rPr>
      </w:pPr>
    </w:p>
    <w:p w14:paraId="4D117859" w14:textId="3DB63A76" w:rsidR="0049541D" w:rsidRPr="00496530" w:rsidRDefault="0049541D" w:rsidP="006974D0">
      <w:pPr>
        <w:pStyle w:val="af2"/>
        <w:rPr>
          <w:rFonts w:ascii="Times New Roman" w:hAnsi="Times New Roman" w:cs="Times New Roman"/>
          <w:spacing w:val="2"/>
          <w:sz w:val="21"/>
          <w:szCs w:val="21"/>
        </w:rPr>
      </w:pPr>
      <w:r w:rsidRPr="00496530">
        <w:rPr>
          <w:rFonts w:ascii="Times New Roman" w:hAnsi="Times New Roman" w:cs="Times New Roman"/>
          <w:noProof/>
        </w:rPr>
        <w:drawing>
          <wp:inline distT="0" distB="0" distL="0" distR="0" wp14:anchorId="12EDA7AC" wp14:editId="360E854D">
            <wp:extent cx="5274310" cy="4790440"/>
            <wp:effectExtent l="0" t="0" r="2540" b="0"/>
            <wp:docPr id="510339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39114" name=""/>
                    <pic:cNvPicPr/>
                  </pic:nvPicPr>
                  <pic:blipFill>
                    <a:blip r:embed="rId10"/>
                    <a:stretch>
                      <a:fillRect/>
                    </a:stretch>
                  </pic:blipFill>
                  <pic:spPr>
                    <a:xfrm>
                      <a:off x="0" y="0"/>
                      <a:ext cx="5274310" cy="4790440"/>
                    </a:xfrm>
                    <a:prstGeom prst="rect">
                      <a:avLst/>
                    </a:prstGeom>
                  </pic:spPr>
                </pic:pic>
              </a:graphicData>
            </a:graphic>
          </wp:inline>
        </w:drawing>
      </w:r>
    </w:p>
    <w:p w14:paraId="7321779B" w14:textId="71502F4F" w:rsidR="006974D0" w:rsidRPr="00496530" w:rsidRDefault="006974D0" w:rsidP="006974D0">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Supplementary Figure 2.</w:t>
      </w:r>
      <w:r w:rsidR="0049541D" w:rsidRPr="00496530">
        <w:rPr>
          <w:rStyle w:val="af3"/>
          <w:rFonts w:ascii="Times New Roman" w:hAnsi="Times New Roman" w:cs="Times New Roman"/>
          <w:spacing w:val="2"/>
          <w:sz w:val="21"/>
          <w:szCs w:val="21"/>
        </w:rPr>
        <w:t xml:space="preserve"> </w:t>
      </w:r>
      <w:r w:rsidRPr="00496530">
        <w:rPr>
          <w:rStyle w:val="af3"/>
          <w:rFonts w:ascii="Times New Roman" w:hAnsi="Times New Roman" w:cs="Times New Roman"/>
          <w:spacing w:val="2"/>
          <w:sz w:val="21"/>
          <w:szCs w:val="21"/>
        </w:rPr>
        <w:t>Sensitivity analysis of the explanatory variables.</w:t>
      </w:r>
      <w:r w:rsidRPr="00496530">
        <w:rPr>
          <w:rFonts w:ascii="Times New Roman" w:hAnsi="Times New Roman" w:cs="Times New Roman"/>
          <w:spacing w:val="2"/>
          <w:sz w:val="21"/>
          <w:szCs w:val="21"/>
        </w:rPr>
        <w:t> Gradient-based sensitivity of the LSTM models for GPP (a) and Reco (b) across the four distinct climatic regions.</w:t>
      </w:r>
    </w:p>
    <w:p w14:paraId="763A6244" w14:textId="257E4159" w:rsidR="0049541D" w:rsidRPr="00496530" w:rsidRDefault="0049541D" w:rsidP="006974D0">
      <w:pPr>
        <w:pStyle w:val="af2"/>
        <w:rPr>
          <w:rFonts w:ascii="Times New Roman" w:hAnsi="Times New Roman" w:cs="Times New Roman"/>
          <w:spacing w:val="2"/>
          <w:sz w:val="21"/>
          <w:szCs w:val="21"/>
        </w:rPr>
      </w:pPr>
      <w:r w:rsidRPr="00496530">
        <w:rPr>
          <w:rFonts w:ascii="Times New Roman" w:hAnsi="Times New Roman" w:cs="Times New Roman"/>
          <w:noProof/>
        </w:rPr>
        <w:lastRenderedPageBreak/>
        <w:drawing>
          <wp:inline distT="0" distB="0" distL="0" distR="0" wp14:anchorId="779DA84E" wp14:editId="6CA8C342">
            <wp:extent cx="5274310" cy="6165215"/>
            <wp:effectExtent l="0" t="0" r="2540" b="6985"/>
            <wp:docPr id="1575276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76168" name=""/>
                    <pic:cNvPicPr/>
                  </pic:nvPicPr>
                  <pic:blipFill>
                    <a:blip r:embed="rId11"/>
                    <a:stretch>
                      <a:fillRect/>
                    </a:stretch>
                  </pic:blipFill>
                  <pic:spPr>
                    <a:xfrm>
                      <a:off x="0" y="0"/>
                      <a:ext cx="5274310" cy="6165215"/>
                    </a:xfrm>
                    <a:prstGeom prst="rect">
                      <a:avLst/>
                    </a:prstGeom>
                  </pic:spPr>
                </pic:pic>
              </a:graphicData>
            </a:graphic>
          </wp:inline>
        </w:drawing>
      </w:r>
    </w:p>
    <w:p w14:paraId="65F67369" w14:textId="577FC16E" w:rsidR="006974D0" w:rsidRPr="00496530" w:rsidRDefault="006974D0" w:rsidP="006974D0">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Supplementary Figure 3.</w:t>
      </w:r>
      <w:r w:rsidRPr="00496530">
        <w:rPr>
          <w:rFonts w:ascii="Times New Roman" w:hAnsi="Times New Roman" w:cs="Times New Roman"/>
          <w:spacing w:val="2"/>
          <w:sz w:val="21"/>
          <w:szCs w:val="21"/>
        </w:rPr>
        <w:t> </w:t>
      </w:r>
      <w:r w:rsidRPr="00496530">
        <w:rPr>
          <w:rStyle w:val="af3"/>
          <w:rFonts w:ascii="Times New Roman" w:hAnsi="Times New Roman" w:cs="Times New Roman"/>
          <w:spacing w:val="2"/>
          <w:sz w:val="21"/>
          <w:szCs w:val="21"/>
        </w:rPr>
        <w:t>Relationship between the Aggregated Euclidean Distance (AED) and LLO validation R².</w:t>
      </w:r>
      <w:r w:rsidRPr="00496530">
        <w:rPr>
          <w:rFonts w:ascii="Times New Roman" w:hAnsi="Times New Roman" w:cs="Times New Roman"/>
          <w:spacing w:val="2"/>
          <w:sz w:val="21"/>
          <w:szCs w:val="21"/>
        </w:rPr>
        <w:t xml:space="preserve"> The significant negative correlation validates the use of AED as an indicator of model </w:t>
      </w:r>
      <w:proofErr w:type="spellStart"/>
      <w:r w:rsidRPr="00496530">
        <w:rPr>
          <w:rFonts w:ascii="Times New Roman" w:hAnsi="Times New Roman" w:cs="Times New Roman"/>
          <w:spacing w:val="2"/>
          <w:sz w:val="21"/>
          <w:szCs w:val="21"/>
        </w:rPr>
        <w:t>extrapolability</w:t>
      </w:r>
      <w:proofErr w:type="spellEnd"/>
      <w:r w:rsidRPr="00496530">
        <w:rPr>
          <w:rFonts w:ascii="Times New Roman" w:hAnsi="Times New Roman" w:cs="Times New Roman"/>
          <w:spacing w:val="2"/>
          <w:sz w:val="21"/>
          <w:szCs w:val="21"/>
        </w:rPr>
        <w:t>. The red dashed line represents the AED threshold, and the gray dashed line represents R² = 0.5.</w:t>
      </w:r>
    </w:p>
    <w:p w14:paraId="398A355D" w14:textId="615C5CF6" w:rsidR="0049541D" w:rsidRPr="00496530" w:rsidRDefault="0049541D" w:rsidP="006974D0">
      <w:pPr>
        <w:pStyle w:val="af2"/>
        <w:rPr>
          <w:rFonts w:ascii="Times New Roman" w:hAnsi="Times New Roman" w:cs="Times New Roman"/>
          <w:spacing w:val="2"/>
          <w:sz w:val="21"/>
          <w:szCs w:val="21"/>
        </w:rPr>
      </w:pPr>
      <w:r w:rsidRPr="00496530">
        <w:rPr>
          <w:rFonts w:ascii="Times New Roman" w:hAnsi="Times New Roman" w:cs="Times New Roman"/>
          <w:noProof/>
        </w:rPr>
        <w:lastRenderedPageBreak/>
        <w:drawing>
          <wp:inline distT="0" distB="0" distL="0" distR="0" wp14:anchorId="2F6741C7" wp14:editId="6EB6DF85">
            <wp:extent cx="5274310" cy="2549525"/>
            <wp:effectExtent l="0" t="0" r="2540" b="3175"/>
            <wp:docPr id="772426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26016" name=""/>
                    <pic:cNvPicPr/>
                  </pic:nvPicPr>
                  <pic:blipFill>
                    <a:blip r:embed="rId12"/>
                    <a:stretch>
                      <a:fillRect/>
                    </a:stretch>
                  </pic:blipFill>
                  <pic:spPr>
                    <a:xfrm>
                      <a:off x="0" y="0"/>
                      <a:ext cx="5274310" cy="2549525"/>
                    </a:xfrm>
                    <a:prstGeom prst="rect">
                      <a:avLst/>
                    </a:prstGeom>
                  </pic:spPr>
                </pic:pic>
              </a:graphicData>
            </a:graphic>
          </wp:inline>
        </w:drawing>
      </w:r>
    </w:p>
    <w:p w14:paraId="3AB677F5" w14:textId="2E719846" w:rsidR="006974D0" w:rsidRPr="00496530" w:rsidRDefault="006974D0" w:rsidP="006974D0">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Supplementary Figure 4.</w:t>
      </w:r>
      <w:r w:rsidRPr="00496530">
        <w:rPr>
          <w:rFonts w:ascii="Times New Roman" w:hAnsi="Times New Roman" w:cs="Times New Roman"/>
          <w:spacing w:val="2"/>
          <w:sz w:val="21"/>
          <w:szCs w:val="21"/>
        </w:rPr>
        <w:t> </w:t>
      </w:r>
      <w:r w:rsidRPr="00496530">
        <w:rPr>
          <w:rStyle w:val="af3"/>
          <w:rFonts w:ascii="Times New Roman" w:hAnsi="Times New Roman" w:cs="Times New Roman"/>
          <w:spacing w:val="2"/>
          <w:sz w:val="21"/>
          <w:szCs w:val="21"/>
        </w:rPr>
        <w:t>Confusion matrices of the extrapolation evaluation framework.</w:t>
      </w:r>
      <w:r w:rsidRPr="00496530">
        <w:rPr>
          <w:rFonts w:ascii="Times New Roman" w:hAnsi="Times New Roman" w:cs="Times New Roman"/>
          <w:spacing w:val="2"/>
          <w:sz w:val="21"/>
          <w:szCs w:val="21"/>
        </w:rPr>
        <w:t> Classification accuracy of the framework in identifying applicable (</w:t>
      </w:r>
      <w:proofErr w:type="spellStart"/>
      <w:r w:rsidRPr="00496530">
        <w:rPr>
          <w:rFonts w:ascii="Times New Roman" w:hAnsi="Times New Roman" w:cs="Times New Roman"/>
          <w:spacing w:val="2"/>
          <w:sz w:val="21"/>
          <w:szCs w:val="21"/>
        </w:rPr>
        <w:t>extrapolable</w:t>
      </w:r>
      <w:proofErr w:type="spellEnd"/>
      <w:r w:rsidRPr="00496530">
        <w:rPr>
          <w:rFonts w:ascii="Times New Roman" w:hAnsi="Times New Roman" w:cs="Times New Roman"/>
          <w:spacing w:val="2"/>
          <w:sz w:val="21"/>
          <w:szCs w:val="21"/>
        </w:rPr>
        <w:t>) models for GPP (a) and Reco (b) based on the fuzzy membership threshold.</w:t>
      </w:r>
    </w:p>
    <w:p w14:paraId="13A6121F" w14:textId="77777777" w:rsidR="0049541D" w:rsidRPr="00496530" w:rsidRDefault="0049541D" w:rsidP="006974D0">
      <w:pPr>
        <w:pStyle w:val="af2"/>
        <w:rPr>
          <w:rFonts w:ascii="Times New Roman" w:hAnsi="Times New Roman" w:cs="Times New Roman"/>
          <w:spacing w:val="2"/>
          <w:sz w:val="21"/>
          <w:szCs w:val="21"/>
        </w:rPr>
      </w:pPr>
    </w:p>
    <w:p w14:paraId="7E532EDE" w14:textId="274DB481" w:rsidR="0049541D" w:rsidRPr="00496530" w:rsidRDefault="0049541D" w:rsidP="006974D0">
      <w:pPr>
        <w:pStyle w:val="af2"/>
        <w:rPr>
          <w:rFonts w:ascii="Times New Roman" w:hAnsi="Times New Roman" w:cs="Times New Roman"/>
          <w:spacing w:val="2"/>
          <w:sz w:val="21"/>
          <w:szCs w:val="21"/>
        </w:rPr>
      </w:pPr>
      <w:r w:rsidRPr="00496530">
        <w:rPr>
          <w:rFonts w:ascii="Times New Roman" w:hAnsi="Times New Roman" w:cs="Times New Roman"/>
          <w:noProof/>
        </w:rPr>
        <w:lastRenderedPageBreak/>
        <w:drawing>
          <wp:inline distT="0" distB="0" distL="0" distR="0" wp14:anchorId="6B127361" wp14:editId="6B321424">
            <wp:extent cx="5104454" cy="5257800"/>
            <wp:effectExtent l="0" t="0" r="1270" b="0"/>
            <wp:docPr id="1569626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6023" name=""/>
                    <pic:cNvPicPr/>
                  </pic:nvPicPr>
                  <pic:blipFill rotWithShape="1">
                    <a:blip r:embed="rId13"/>
                    <a:srcRect l="4728"/>
                    <a:stretch>
                      <a:fillRect/>
                    </a:stretch>
                  </pic:blipFill>
                  <pic:spPr bwMode="auto">
                    <a:xfrm>
                      <a:off x="0" y="0"/>
                      <a:ext cx="5105310" cy="5258682"/>
                    </a:xfrm>
                    <a:prstGeom prst="rect">
                      <a:avLst/>
                    </a:prstGeom>
                    <a:ln>
                      <a:noFill/>
                    </a:ln>
                    <a:extLst>
                      <a:ext uri="{53640926-AAD7-44D8-BBD7-CCE9431645EC}">
                        <a14:shadowObscured xmlns:a14="http://schemas.microsoft.com/office/drawing/2010/main"/>
                      </a:ext>
                    </a:extLst>
                  </pic:spPr>
                </pic:pic>
              </a:graphicData>
            </a:graphic>
          </wp:inline>
        </w:drawing>
      </w:r>
    </w:p>
    <w:p w14:paraId="368C2683" w14:textId="38D6516E" w:rsidR="0049541D" w:rsidRPr="00496530" w:rsidRDefault="0049541D" w:rsidP="006974D0">
      <w:pPr>
        <w:pStyle w:val="af2"/>
        <w:rPr>
          <w:rFonts w:ascii="Times New Roman" w:hAnsi="Times New Roman" w:cs="Times New Roman"/>
          <w:spacing w:val="2"/>
          <w:sz w:val="21"/>
          <w:szCs w:val="21"/>
        </w:rPr>
      </w:pPr>
      <w:r w:rsidRPr="00496530">
        <w:rPr>
          <w:rFonts w:ascii="Times New Roman" w:hAnsi="Times New Roman" w:cs="Times New Roman"/>
          <w:noProof/>
        </w:rPr>
        <w:drawing>
          <wp:inline distT="0" distB="0" distL="0" distR="0" wp14:anchorId="10FEB2C5" wp14:editId="79646340">
            <wp:extent cx="5274310" cy="1414145"/>
            <wp:effectExtent l="0" t="0" r="2540" b="0"/>
            <wp:docPr id="1797098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8344" name=""/>
                    <pic:cNvPicPr/>
                  </pic:nvPicPr>
                  <pic:blipFill>
                    <a:blip r:embed="rId14"/>
                    <a:stretch>
                      <a:fillRect/>
                    </a:stretch>
                  </pic:blipFill>
                  <pic:spPr>
                    <a:xfrm>
                      <a:off x="0" y="0"/>
                      <a:ext cx="5274310" cy="1414145"/>
                    </a:xfrm>
                    <a:prstGeom prst="rect">
                      <a:avLst/>
                    </a:prstGeom>
                  </pic:spPr>
                </pic:pic>
              </a:graphicData>
            </a:graphic>
          </wp:inline>
        </w:drawing>
      </w:r>
    </w:p>
    <w:p w14:paraId="0524D2AA" w14:textId="54279565" w:rsidR="006974D0" w:rsidRPr="00496530" w:rsidRDefault="006974D0" w:rsidP="006974D0">
      <w:pPr>
        <w:pStyle w:val="af2"/>
        <w:rPr>
          <w:rFonts w:ascii="Times New Roman" w:hAnsi="Times New Roman" w:cs="Times New Roman"/>
          <w:spacing w:val="2"/>
          <w:sz w:val="21"/>
          <w:szCs w:val="21"/>
        </w:rPr>
      </w:pPr>
      <w:r w:rsidRPr="00496530">
        <w:rPr>
          <w:rStyle w:val="af3"/>
          <w:rFonts w:ascii="Times New Roman" w:hAnsi="Times New Roman" w:cs="Times New Roman"/>
          <w:spacing w:val="2"/>
          <w:sz w:val="21"/>
          <w:szCs w:val="21"/>
        </w:rPr>
        <w:t>Supplementary Figure 5.</w:t>
      </w:r>
      <w:r w:rsidRPr="00496530">
        <w:rPr>
          <w:rFonts w:ascii="Times New Roman" w:hAnsi="Times New Roman" w:cs="Times New Roman"/>
          <w:spacing w:val="2"/>
          <w:sz w:val="21"/>
          <w:szCs w:val="21"/>
        </w:rPr>
        <w:t> </w:t>
      </w:r>
      <w:r w:rsidRPr="00496530">
        <w:rPr>
          <w:rStyle w:val="af3"/>
          <w:rFonts w:ascii="Times New Roman" w:hAnsi="Times New Roman" w:cs="Times New Roman"/>
          <w:spacing w:val="2"/>
          <w:sz w:val="21"/>
          <w:szCs w:val="21"/>
        </w:rPr>
        <w:t>Global distribution and fuzzy membership of the extrapolated meteorological stations.</w:t>
      </w:r>
      <w:r w:rsidRPr="00496530">
        <w:rPr>
          <w:rFonts w:ascii="Times New Roman" w:hAnsi="Times New Roman" w:cs="Times New Roman"/>
          <w:spacing w:val="2"/>
          <w:sz w:val="21"/>
          <w:szCs w:val="21"/>
        </w:rPr>
        <w:t> Stations with dark green dots represent high model applicability (membership &gt; 0.7), light green dots represent moderate applicability (0.5–0.7), and red dots indicate stations without suitable carbon flux models (membership &lt; 0.5), which were excluded from the analysis.</w:t>
      </w:r>
    </w:p>
    <w:p w14:paraId="3CED455E" w14:textId="77777777" w:rsidR="006974D0" w:rsidRPr="00496530" w:rsidRDefault="006974D0" w:rsidP="007B61A6">
      <w:pPr>
        <w:rPr>
          <w:rFonts w:ascii="Times New Roman" w:eastAsia="宋体" w:hAnsi="Times New Roman" w:cs="Times New Roman"/>
        </w:rPr>
      </w:pPr>
    </w:p>
    <w:p w14:paraId="77CCD89F" w14:textId="77777777" w:rsidR="006974D0" w:rsidRPr="00496530" w:rsidRDefault="006974D0" w:rsidP="007B61A6">
      <w:pPr>
        <w:rPr>
          <w:rFonts w:ascii="Times New Roman" w:eastAsia="宋体" w:hAnsi="Times New Roman" w:cs="Times New Roman"/>
        </w:rPr>
      </w:pPr>
    </w:p>
    <w:sectPr w:rsidR="006974D0" w:rsidRPr="004965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C0C35" w14:textId="77777777" w:rsidR="003A1A3D" w:rsidRDefault="003A1A3D" w:rsidP="007B61A6">
      <w:pPr>
        <w:rPr>
          <w:rFonts w:hint="eastAsia"/>
        </w:rPr>
      </w:pPr>
      <w:r>
        <w:separator/>
      </w:r>
    </w:p>
  </w:endnote>
  <w:endnote w:type="continuationSeparator" w:id="0">
    <w:p w14:paraId="6E2A3F67" w14:textId="77777777" w:rsidR="003A1A3D" w:rsidRDefault="003A1A3D" w:rsidP="007B61A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B34AD" w14:textId="77777777" w:rsidR="003A1A3D" w:rsidRDefault="003A1A3D" w:rsidP="007B61A6">
      <w:pPr>
        <w:rPr>
          <w:rFonts w:hint="eastAsia"/>
        </w:rPr>
      </w:pPr>
      <w:r>
        <w:separator/>
      </w:r>
    </w:p>
  </w:footnote>
  <w:footnote w:type="continuationSeparator" w:id="0">
    <w:p w14:paraId="30D22248" w14:textId="77777777" w:rsidR="003A1A3D" w:rsidRDefault="003A1A3D" w:rsidP="007B61A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C36"/>
    <w:rsid w:val="00086CF2"/>
    <w:rsid w:val="00091BDD"/>
    <w:rsid w:val="00182585"/>
    <w:rsid w:val="00212D1C"/>
    <w:rsid w:val="002210FC"/>
    <w:rsid w:val="002534ED"/>
    <w:rsid w:val="00301525"/>
    <w:rsid w:val="0032018F"/>
    <w:rsid w:val="003319A7"/>
    <w:rsid w:val="003A1A3D"/>
    <w:rsid w:val="00453ADA"/>
    <w:rsid w:val="0049541D"/>
    <w:rsid w:val="00496530"/>
    <w:rsid w:val="00627A95"/>
    <w:rsid w:val="006363F4"/>
    <w:rsid w:val="0067072B"/>
    <w:rsid w:val="006974D0"/>
    <w:rsid w:val="006D6EF6"/>
    <w:rsid w:val="00746580"/>
    <w:rsid w:val="007B61A6"/>
    <w:rsid w:val="00955C36"/>
    <w:rsid w:val="00A921BD"/>
    <w:rsid w:val="00B821BF"/>
    <w:rsid w:val="00BA1240"/>
    <w:rsid w:val="00D77A40"/>
    <w:rsid w:val="00E03372"/>
    <w:rsid w:val="00E64D41"/>
    <w:rsid w:val="00F23D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D603D"/>
  <w15:chartTrackingRefBased/>
  <w15:docId w15:val="{56F3B86B-56AE-438A-85EC-B7B8EDDC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55C3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55C3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955C3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55C3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55C3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955C3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55C3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55C3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55C3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55C3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55C3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955C3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55C36"/>
    <w:rPr>
      <w:rFonts w:cstheme="majorBidi"/>
      <w:color w:val="0F4761" w:themeColor="accent1" w:themeShade="BF"/>
      <w:sz w:val="28"/>
      <w:szCs w:val="28"/>
    </w:rPr>
  </w:style>
  <w:style w:type="character" w:customStyle="1" w:styleId="50">
    <w:name w:val="标题 5 字符"/>
    <w:basedOn w:val="a0"/>
    <w:link w:val="5"/>
    <w:uiPriority w:val="9"/>
    <w:semiHidden/>
    <w:rsid w:val="00955C36"/>
    <w:rPr>
      <w:rFonts w:cstheme="majorBidi"/>
      <w:color w:val="0F4761" w:themeColor="accent1" w:themeShade="BF"/>
      <w:sz w:val="24"/>
      <w:szCs w:val="24"/>
    </w:rPr>
  </w:style>
  <w:style w:type="character" w:customStyle="1" w:styleId="60">
    <w:name w:val="标题 6 字符"/>
    <w:basedOn w:val="a0"/>
    <w:link w:val="6"/>
    <w:uiPriority w:val="9"/>
    <w:semiHidden/>
    <w:rsid w:val="00955C36"/>
    <w:rPr>
      <w:rFonts w:cstheme="majorBidi"/>
      <w:b/>
      <w:bCs/>
      <w:color w:val="0F4761" w:themeColor="accent1" w:themeShade="BF"/>
    </w:rPr>
  </w:style>
  <w:style w:type="character" w:customStyle="1" w:styleId="70">
    <w:name w:val="标题 7 字符"/>
    <w:basedOn w:val="a0"/>
    <w:link w:val="7"/>
    <w:uiPriority w:val="9"/>
    <w:semiHidden/>
    <w:rsid w:val="00955C36"/>
    <w:rPr>
      <w:rFonts w:cstheme="majorBidi"/>
      <w:b/>
      <w:bCs/>
      <w:color w:val="595959" w:themeColor="text1" w:themeTint="A6"/>
    </w:rPr>
  </w:style>
  <w:style w:type="character" w:customStyle="1" w:styleId="80">
    <w:name w:val="标题 8 字符"/>
    <w:basedOn w:val="a0"/>
    <w:link w:val="8"/>
    <w:uiPriority w:val="9"/>
    <w:semiHidden/>
    <w:rsid w:val="00955C36"/>
    <w:rPr>
      <w:rFonts w:cstheme="majorBidi"/>
      <w:color w:val="595959" w:themeColor="text1" w:themeTint="A6"/>
    </w:rPr>
  </w:style>
  <w:style w:type="character" w:customStyle="1" w:styleId="90">
    <w:name w:val="标题 9 字符"/>
    <w:basedOn w:val="a0"/>
    <w:link w:val="9"/>
    <w:uiPriority w:val="9"/>
    <w:semiHidden/>
    <w:rsid w:val="00955C36"/>
    <w:rPr>
      <w:rFonts w:eastAsiaTheme="majorEastAsia" w:cstheme="majorBidi"/>
      <w:color w:val="595959" w:themeColor="text1" w:themeTint="A6"/>
    </w:rPr>
  </w:style>
  <w:style w:type="paragraph" w:styleId="a3">
    <w:name w:val="Title"/>
    <w:basedOn w:val="a"/>
    <w:next w:val="a"/>
    <w:link w:val="a4"/>
    <w:uiPriority w:val="10"/>
    <w:qFormat/>
    <w:rsid w:val="00955C3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55C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55C3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55C3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55C36"/>
    <w:pPr>
      <w:spacing w:before="160" w:after="160"/>
      <w:jc w:val="center"/>
    </w:pPr>
    <w:rPr>
      <w:i/>
      <w:iCs/>
      <w:color w:val="404040" w:themeColor="text1" w:themeTint="BF"/>
    </w:rPr>
  </w:style>
  <w:style w:type="character" w:customStyle="1" w:styleId="a8">
    <w:name w:val="引用 字符"/>
    <w:basedOn w:val="a0"/>
    <w:link w:val="a7"/>
    <w:uiPriority w:val="29"/>
    <w:rsid w:val="00955C36"/>
    <w:rPr>
      <w:i/>
      <w:iCs/>
      <w:color w:val="404040" w:themeColor="text1" w:themeTint="BF"/>
    </w:rPr>
  </w:style>
  <w:style w:type="paragraph" w:styleId="a9">
    <w:name w:val="List Paragraph"/>
    <w:basedOn w:val="a"/>
    <w:uiPriority w:val="34"/>
    <w:qFormat/>
    <w:rsid w:val="00955C36"/>
    <w:pPr>
      <w:ind w:left="720"/>
      <w:contextualSpacing/>
    </w:pPr>
  </w:style>
  <w:style w:type="character" w:styleId="aa">
    <w:name w:val="Intense Emphasis"/>
    <w:basedOn w:val="a0"/>
    <w:uiPriority w:val="21"/>
    <w:qFormat/>
    <w:rsid w:val="00955C36"/>
    <w:rPr>
      <w:i/>
      <w:iCs/>
      <w:color w:val="0F4761" w:themeColor="accent1" w:themeShade="BF"/>
    </w:rPr>
  </w:style>
  <w:style w:type="paragraph" w:styleId="ab">
    <w:name w:val="Intense Quote"/>
    <w:basedOn w:val="a"/>
    <w:next w:val="a"/>
    <w:link w:val="ac"/>
    <w:uiPriority w:val="30"/>
    <w:qFormat/>
    <w:rsid w:val="00955C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55C36"/>
    <w:rPr>
      <w:i/>
      <w:iCs/>
      <w:color w:val="0F4761" w:themeColor="accent1" w:themeShade="BF"/>
    </w:rPr>
  </w:style>
  <w:style w:type="character" w:styleId="ad">
    <w:name w:val="Intense Reference"/>
    <w:basedOn w:val="a0"/>
    <w:uiPriority w:val="32"/>
    <w:qFormat/>
    <w:rsid w:val="00955C36"/>
    <w:rPr>
      <w:b/>
      <w:bCs/>
      <w:smallCaps/>
      <w:color w:val="0F4761" w:themeColor="accent1" w:themeShade="BF"/>
      <w:spacing w:val="5"/>
    </w:rPr>
  </w:style>
  <w:style w:type="paragraph" w:styleId="ae">
    <w:name w:val="header"/>
    <w:basedOn w:val="a"/>
    <w:link w:val="af"/>
    <w:uiPriority w:val="99"/>
    <w:unhideWhenUsed/>
    <w:rsid w:val="007B61A6"/>
    <w:pPr>
      <w:tabs>
        <w:tab w:val="center" w:pos="4153"/>
        <w:tab w:val="right" w:pos="8306"/>
      </w:tabs>
      <w:snapToGrid w:val="0"/>
      <w:jc w:val="center"/>
    </w:pPr>
    <w:rPr>
      <w:sz w:val="18"/>
      <w:szCs w:val="18"/>
    </w:rPr>
  </w:style>
  <w:style w:type="character" w:customStyle="1" w:styleId="af">
    <w:name w:val="页眉 字符"/>
    <w:basedOn w:val="a0"/>
    <w:link w:val="ae"/>
    <w:uiPriority w:val="99"/>
    <w:rsid w:val="007B61A6"/>
    <w:rPr>
      <w:sz w:val="18"/>
      <w:szCs w:val="18"/>
    </w:rPr>
  </w:style>
  <w:style w:type="paragraph" w:styleId="af0">
    <w:name w:val="footer"/>
    <w:basedOn w:val="a"/>
    <w:link w:val="af1"/>
    <w:uiPriority w:val="99"/>
    <w:unhideWhenUsed/>
    <w:rsid w:val="007B61A6"/>
    <w:pPr>
      <w:tabs>
        <w:tab w:val="center" w:pos="4153"/>
        <w:tab w:val="right" w:pos="8306"/>
      </w:tabs>
      <w:snapToGrid w:val="0"/>
      <w:jc w:val="left"/>
    </w:pPr>
    <w:rPr>
      <w:sz w:val="18"/>
      <w:szCs w:val="18"/>
    </w:rPr>
  </w:style>
  <w:style w:type="character" w:customStyle="1" w:styleId="af1">
    <w:name w:val="页脚 字符"/>
    <w:basedOn w:val="a0"/>
    <w:link w:val="af0"/>
    <w:uiPriority w:val="99"/>
    <w:rsid w:val="007B61A6"/>
    <w:rPr>
      <w:sz w:val="18"/>
      <w:szCs w:val="18"/>
    </w:rPr>
  </w:style>
  <w:style w:type="paragraph" w:styleId="af2">
    <w:name w:val="Normal (Web)"/>
    <w:basedOn w:val="a"/>
    <w:uiPriority w:val="99"/>
    <w:unhideWhenUsed/>
    <w:rsid w:val="007B61A6"/>
    <w:pPr>
      <w:widowControl/>
      <w:spacing w:before="100" w:beforeAutospacing="1" w:after="100" w:afterAutospacing="1"/>
      <w:jc w:val="left"/>
    </w:pPr>
    <w:rPr>
      <w:rFonts w:ascii="宋体" w:eastAsia="宋体" w:hAnsi="宋体" w:cs="宋体"/>
      <w:kern w:val="0"/>
      <w:sz w:val="24"/>
      <w:szCs w:val="24"/>
    </w:rPr>
  </w:style>
  <w:style w:type="character" w:styleId="af3">
    <w:name w:val="Strong"/>
    <w:basedOn w:val="a0"/>
    <w:uiPriority w:val="22"/>
    <w:qFormat/>
    <w:rsid w:val="007B61A6"/>
    <w:rPr>
      <w:b/>
      <w:bCs/>
    </w:rPr>
  </w:style>
  <w:style w:type="character" w:styleId="af4">
    <w:name w:val="Placeholder Text"/>
    <w:basedOn w:val="a0"/>
    <w:uiPriority w:val="99"/>
    <w:semiHidden/>
    <w:rsid w:val="007B61A6"/>
    <w:rPr>
      <w:color w:val="666666"/>
    </w:rPr>
  </w:style>
  <w:style w:type="character" w:styleId="af5">
    <w:name w:val="Emphasis"/>
    <w:basedOn w:val="a0"/>
    <w:uiPriority w:val="20"/>
    <w:qFormat/>
    <w:rsid w:val="006974D0"/>
    <w:rPr>
      <w:i/>
      <w:iCs/>
    </w:rPr>
  </w:style>
  <w:style w:type="character" w:styleId="af6">
    <w:name w:val="Hyperlink"/>
    <w:basedOn w:val="a0"/>
    <w:uiPriority w:val="99"/>
    <w:unhideWhenUsed/>
    <w:rsid w:val="006D6EF6"/>
    <w:rPr>
      <w:color w:val="467886" w:themeColor="hyperlink"/>
      <w:u w:val="single"/>
    </w:rPr>
  </w:style>
  <w:style w:type="character" w:styleId="af7">
    <w:name w:val="Unresolved Mention"/>
    <w:basedOn w:val="a0"/>
    <w:uiPriority w:val="99"/>
    <w:semiHidden/>
    <w:unhideWhenUsed/>
    <w:rsid w:val="006D6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luogp@ms.xjb.ac.cn"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zyhjq@sjtu.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1357</Words>
  <Characters>7741</Characters>
  <Application>Microsoft Office Word</Application>
  <DocSecurity>0</DocSecurity>
  <Lines>64</Lines>
  <Paragraphs>18</Paragraphs>
  <ScaleCrop>false</ScaleCrop>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Haiyang Shi</dc:creator>
  <cp:keywords/>
  <dc:description/>
  <cp:lastModifiedBy>Haiyang Shi</cp:lastModifiedBy>
  <cp:revision>28</cp:revision>
  <dcterms:created xsi:type="dcterms:W3CDTF">2026-05-25T09:45:00Z</dcterms:created>
  <dcterms:modified xsi:type="dcterms:W3CDTF">2026-05-25T10:27:00Z</dcterms:modified>
</cp:coreProperties>
</file>