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39AB" w14:textId="77777777" w:rsidR="00C5541E" w:rsidRDefault="00C5541E" w:rsidP="00C5541E">
      <w:pPr>
        <w:spacing w:after="120"/>
      </w:pPr>
      <w:r>
        <w:rPr>
          <w:b/>
          <w:sz w:val="26"/>
        </w:rPr>
        <w:t>SUPPLEMENTARY MATERIAL</w:t>
      </w:r>
    </w:p>
    <w:p w14:paraId="40595121" w14:textId="77777777" w:rsidR="00C5541E" w:rsidRDefault="00C5541E" w:rsidP="00C5541E">
      <w:pPr>
        <w:spacing w:after="360"/>
      </w:pPr>
      <w:r>
        <w:rPr>
          <w:sz w:val="20"/>
        </w:rPr>
        <w:t>The following supplementary materials are available online:</w:t>
      </w:r>
      <w:r>
        <w:rPr>
          <w:sz w:val="20"/>
        </w:rPr>
        <w:br/>
      </w:r>
      <w:r>
        <w:rPr>
          <w:sz w:val="20"/>
        </w:rPr>
        <w:br/>
        <w:t>Supplementary Figure 1. Spearman rank correlation matrix of key variables (n = 124). Bold values indicate moderate-to-strong correlations (|ρ| &gt; 0.30).</w:t>
      </w:r>
      <w:r>
        <w:rPr>
          <w:sz w:val="20"/>
        </w:rPr>
        <w:br/>
      </w:r>
      <w:r>
        <w:rPr>
          <w:sz w:val="20"/>
        </w:rPr>
        <w:br/>
        <w:t>Supplementary Figure 2. Distribution of extent of resection among 124 patients. GTR was achieved in 58.9%, NTR in 23.4%, STR in 10.5%, and biopsy in 1.6%.</w:t>
      </w:r>
      <w:r>
        <w:rPr>
          <w:sz w:val="20"/>
        </w:rPr>
        <w:br/>
      </w:r>
      <w:r>
        <w:rPr>
          <w:sz w:val="20"/>
        </w:rPr>
        <w:br/>
        <w:t>Supplementary Table 1. Detailed clinicopathological data of 19 patients with complete transcription factor analysis, including double expression cases.</w:t>
      </w:r>
      <w:r>
        <w:rPr>
          <w:sz w:val="20"/>
        </w:rPr>
        <w:br/>
      </w:r>
      <w:r>
        <w:rPr>
          <w:sz w:val="20"/>
        </w:rPr>
        <w:br/>
        <w:t>Supplementary Table 2. Exploratory transcription factor analysis by subtype (n = 19 patients, 22 profiles).</w:t>
      </w:r>
      <w:r>
        <w:rPr>
          <w:sz w:val="20"/>
        </w:rPr>
        <w:br/>
      </w:r>
      <w:r>
        <w:rPr>
          <w:sz w:val="20"/>
        </w:rPr>
        <w:br/>
        <w:t>Supplementary Table 3. Distribution of transcription factor profiles in 19 patients with complete immunohistochemical analysis.</w:t>
      </w:r>
    </w:p>
    <w:p w14:paraId="3D8A2A24" w14:textId="77777777" w:rsidR="00E023F9" w:rsidRDefault="00E023F9"/>
    <w:sectPr w:rsidR="00E023F9" w:rsidSect="00C554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1E"/>
    <w:rsid w:val="000C4033"/>
    <w:rsid w:val="00173ED8"/>
    <w:rsid w:val="004B42CB"/>
    <w:rsid w:val="004B76F8"/>
    <w:rsid w:val="005F2B46"/>
    <w:rsid w:val="006E1731"/>
    <w:rsid w:val="00866D74"/>
    <w:rsid w:val="00882A73"/>
    <w:rsid w:val="0095305D"/>
    <w:rsid w:val="00B10170"/>
    <w:rsid w:val="00B260B7"/>
    <w:rsid w:val="00B85331"/>
    <w:rsid w:val="00C5541E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299A"/>
  <w15:chartTrackingRefBased/>
  <w15:docId w15:val="{671DE388-B236-440F-8DED-1059D99B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41E"/>
    <w:pPr>
      <w:spacing w:after="200" w:line="276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54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4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4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4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4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41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41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41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41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5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4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5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41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5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41E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5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4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2026-06-12T15:23:00Z</dcterms:created>
  <dcterms:modified xsi:type="dcterms:W3CDTF">2026-06-12T15:24:00Z</dcterms:modified>
</cp:coreProperties>
</file>