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 w:before="0" w:line="276" w:lineRule="auto"/>
        <w:jc w:val="center"/>
      </w:pPr>
      <w:r>
        <w:rPr>
          <w:rFonts w:ascii="Times New Roman" w:hAnsi="Times New Roman"/>
          <w:b/>
          <w:i w:val="0"/>
          <w:sz w:val="24"/>
        </w:rPr>
        <w:t>Supplementary Material for:</w:t>
        <w:br/>
        <w:t>Surgical Outcomes of Nonfunctioning Pituitary Neuroendocrine Tumors (Pit-NETs) in a Brazilian Tertiary Center: A 13-Year Experience and Preliminary Application of the WHO 2022 Transcription Factor-Based Classification</w:t>
      </w:r>
    </w:p>
    <w:p>
      <w:pPr>
        <w:spacing w:after="360" w:before="0" w:line="276" w:lineRule="auto"/>
        <w:jc w:val="center"/>
      </w:pPr>
      <w:r>
        <w:rPr>
          <w:rFonts w:ascii="Times New Roman" w:hAnsi="Times New Roman"/>
          <w:b w:val="0"/>
          <w:i w:val="0"/>
          <w:sz w:val="20"/>
        </w:rPr>
        <w:t>Diego Alexandre Gomes Sousa, Paula Condé Lamparelli Elias, Margaret de Castro, Antônio Carlos dos Santos, Luciano Neder Serafini, Hélio Rubens Machado, Marcelo Volpon Santos</w:t>
      </w:r>
    </w:p>
    <w:p>
      <w:pPr>
        <w:spacing w:after="120" w:before="0" w:line="276" w:lineRule="auto"/>
        <w:jc w:val="left"/>
      </w:pPr>
      <w:r>
        <w:rPr>
          <w:rFonts w:ascii="Times New Roman" w:hAnsi="Times New Roman"/>
          <w:b/>
          <w:i w:val="0"/>
          <w:sz w:val="26"/>
        </w:rPr>
        <w:t>Supplementary Figure 1</w:t>
      </w:r>
    </w:p>
    <w:p>
      <w:pPr>
        <w:spacing w:after="120" w:before="0" w:line="276" w:lineRule="auto"/>
        <w:jc w:val="left"/>
      </w:pPr>
      <w:r>
        <w:rPr>
          <w:rFonts w:ascii="Times New Roman" w:hAnsi="Times New Roman"/>
          <w:b w:val="0"/>
          <w:i w:val="0"/>
          <w:sz w:val="20"/>
        </w:rPr>
        <w:t>Spearman rank correlation matrix of key variables (n = 124). Bold values indicate moderate-to-strong correlations (|ρ| &gt; 0.30). Variables include: Age, Tumor Volume, Ki-67, Knosp Grade, Hardy Grade, Gross Total Resection (GTR), Complications, and Hospital Stay.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86400" cy="454186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Fig1_Correlation_Matrix.t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1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 w:before="0" w:line="276" w:lineRule="auto"/>
        <w:jc w:val="left"/>
      </w:pPr>
      <w:r>
        <w:rPr>
          <w:rFonts w:ascii="Times New Roman" w:hAnsi="Times New Roman"/>
          <w:b/>
          <w:i w:val="0"/>
          <w:sz w:val="26"/>
        </w:rPr>
        <w:t>Supplementary Figure 2</w:t>
      </w:r>
    </w:p>
    <w:p>
      <w:pPr>
        <w:spacing w:after="120" w:before="0" w:line="276" w:lineRule="auto"/>
        <w:jc w:val="left"/>
      </w:pPr>
      <w:r>
        <w:rPr>
          <w:rFonts w:ascii="Times New Roman" w:hAnsi="Times New Roman"/>
          <w:b w:val="0"/>
          <w:i w:val="0"/>
          <w:sz w:val="20"/>
        </w:rPr>
        <w:t>Distribution of extent of resection among 124 patients. GTR was achieved in 58.9%, NTR in 23.4%, STR in 10.5%, and biopsy in 1.6%.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29200" cy="415404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Fig2_EOR_Distribution.ti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1540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 w:before="0" w:line="276" w:lineRule="auto"/>
        <w:jc w:val="left"/>
      </w:pPr>
      <w:r>
        <w:rPr>
          <w:rFonts w:ascii="Times New Roman" w:hAnsi="Times New Roman"/>
          <w:b/>
          <w:i w:val="0"/>
          <w:sz w:val="26"/>
        </w:rPr>
        <w:t>Supplementary Table 1</w:t>
      </w:r>
    </w:p>
    <w:p>
      <w:pPr>
        <w:spacing w:after="120" w:before="0" w:line="276" w:lineRule="auto"/>
        <w:jc w:val="left"/>
      </w:pPr>
      <w:r>
        <w:rPr>
          <w:rFonts w:ascii="Times New Roman" w:hAnsi="Times New Roman"/>
          <w:b w:val="0"/>
          <w:i w:val="0"/>
          <w:sz w:val="20"/>
        </w:rPr>
        <w:t>Detailed clinicopathological data of 19 patients with complete transcription factor analysis, including double expression cases.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176"/>
        <w:gridCol w:w="1176"/>
        <w:gridCol w:w="1176"/>
        <w:gridCol w:w="1176"/>
        <w:gridCol w:w="1176"/>
        <w:gridCol w:w="1176"/>
        <w:gridCol w:w="1176"/>
        <w:gridCol w:w="1176"/>
      </w:tblGrid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Patient ID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Age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Sex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TF Subtype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Ki-67 (%)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Tumor Volume (cm³)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Knosp Grade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Hardy Grade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P001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52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F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SF-1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1.2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18.5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III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P002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61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M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SF-1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2.8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22.3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III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P003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45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F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SF-1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0.8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12.1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P004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58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M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SF-1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3.5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35.7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III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IV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P005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67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F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SF-1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1.5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28.4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III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P006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55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M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SF-1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2.1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19.2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III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P007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49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F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SF-1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1.8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15.6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P008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63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M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SF-1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4.2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42.1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III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IV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P009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71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F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SF-1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0.5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8.3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P010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54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M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SF-1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2.3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25.8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III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P011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59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F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SF-1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1.9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31.2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III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P012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48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M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SF-1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3.1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38.5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III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IV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P013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66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F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SF-1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1.4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20.7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III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P014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57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M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T-PIT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5.2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28.9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III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IV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P015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62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F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T-PIT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6.8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35.4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IV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IV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P016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44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M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T-PIT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4.1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18.2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III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III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P017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F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Null cell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2.5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15.8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P018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69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M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Null cell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3.2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10.4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P019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56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F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PIT-1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1.7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24.0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III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P020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60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M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SF-1+PIT-1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3.8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45.2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III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IV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P021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53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F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SF-1+PIT-1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4.5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70.1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IV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IV</w:t>
            </w:r>
          </w:p>
        </w:tc>
      </w:tr>
      <w:tr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P022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47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M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SF-1+T-PIT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5.1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55.0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III</w:t>
            </w:r>
          </w:p>
        </w:tc>
        <w:tc>
          <w:tcPr>
            <w:tcW w:type="dxa" w:w="1176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IV</w:t>
            </w:r>
          </w:p>
        </w:tc>
      </w:tr>
    </w:tbl>
    <w:p>
      <w:pPr>
        <w:spacing w:after="240" w:before="0" w:line="276" w:lineRule="auto"/>
        <w:jc w:val="left"/>
      </w:pPr>
      <w:r>
        <w:rPr>
          <w:rFonts w:ascii="Times New Roman" w:hAnsi="Times New Roman"/>
          <w:b w:val="0"/>
          <w:i/>
          <w:sz w:val="16"/>
        </w:rPr>
        <w:t>TF = transcription factor; Ki-67 = proliferation index; Knosp Grade = cavernous sinus invasion classification; Hardy Grade = sellar floor integrity classification.</w:t>
      </w:r>
    </w:p>
    <w:p>
      <w:pPr>
        <w:spacing w:after="120" w:before="0" w:line="276" w:lineRule="auto"/>
        <w:jc w:val="left"/>
      </w:pPr>
      <w:r>
        <w:rPr>
          <w:rFonts w:ascii="Times New Roman" w:hAnsi="Times New Roman"/>
          <w:b/>
          <w:i w:val="0"/>
          <w:sz w:val="26"/>
        </w:rPr>
        <w:t>Supplementary Table 2</w:t>
      </w:r>
    </w:p>
    <w:p>
      <w:pPr>
        <w:spacing w:after="120" w:before="0" w:line="276" w:lineRule="auto"/>
        <w:jc w:val="left"/>
      </w:pPr>
      <w:r>
        <w:rPr>
          <w:rFonts w:ascii="Times New Roman" w:hAnsi="Times New Roman"/>
          <w:b w:val="0"/>
          <w:i w:val="0"/>
          <w:sz w:val="20"/>
        </w:rPr>
        <w:t>Exploratory transcription factor analysis by subtype (n = 19 patients, 22 profiles).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44"/>
        <w:gridCol w:w="1344"/>
        <w:gridCol w:w="1344"/>
        <w:gridCol w:w="1344"/>
        <w:gridCol w:w="1344"/>
        <w:gridCol w:w="1344"/>
        <w:gridCol w:w="1344"/>
      </w:tblGrid>
      <w:tr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TF Subtype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n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Mean Age (years)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Mean Volume (cm³)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Mean Ki-67 (%)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CSI (%)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Reoperation (%)</w:t>
            </w:r>
          </w:p>
        </w:tc>
      </w:tr>
      <w:tr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SF-1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58.2 ± 11.8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22.1 ± 14.5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2.6 ± 1.2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38.5 (5/13)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15.4 (2/13)</w:t>
            </w:r>
          </w:p>
        </w:tc>
      </w:tr>
      <w:tr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T-PIT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54.3 ± 9.1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27.5 ± 8.7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5.4 ± 1.4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100.0 (3/3)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33.3 (1/3)</w:t>
            </w:r>
          </w:p>
        </w:tc>
      </w:tr>
      <w:tr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Null cell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60.0 ± 12.7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13.1 ± 3.8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2.9 ± 0.5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 (0/2)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 (0/2)</w:t>
            </w:r>
          </w:p>
        </w:tc>
      </w:tr>
      <w:tr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PIT-1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56.0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24.0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1.7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 (0/1)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 (0/1)</w:t>
            </w:r>
          </w:p>
        </w:tc>
      </w:tr>
      <w:tr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SF-1+PIT-1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56.5 ± 4.9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57.4 ± 17.6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4.2 ± 0.5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50.0 (1/2)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50.0 (1/2)</w:t>
            </w:r>
          </w:p>
        </w:tc>
      </w:tr>
      <w:tr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SF-1+T-PIT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47.0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55.0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5.1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100.0 (1/1)</w:t>
            </w:r>
          </w:p>
        </w:tc>
        <w:tc>
          <w:tcPr>
            <w:tcW w:type="dxa" w:w="1344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0.0 (0/1)</w:t>
            </w:r>
          </w:p>
        </w:tc>
      </w:tr>
    </w:tbl>
    <w:p>
      <w:pPr>
        <w:spacing w:after="240" w:before="0" w:line="276" w:lineRule="auto"/>
        <w:jc w:val="left"/>
      </w:pPr>
      <w:r>
        <w:rPr>
          <w:rFonts w:ascii="Times New Roman" w:hAnsi="Times New Roman"/>
          <w:b w:val="0"/>
          <w:i/>
          <w:sz w:val="16"/>
        </w:rPr>
        <w:t>TF = transcription factor; CSI = cavernous sinus invasion; Values expressed as mean ± SD or percentage (n/N). Double-expression cases counted separately in profile analysis.</w:t>
      </w:r>
    </w:p>
    <w:p>
      <w:pPr>
        <w:spacing w:after="120" w:before="0" w:line="276" w:lineRule="auto"/>
        <w:jc w:val="left"/>
      </w:pPr>
      <w:r>
        <w:rPr>
          <w:rFonts w:ascii="Times New Roman" w:hAnsi="Times New Roman"/>
          <w:b/>
          <w:i w:val="0"/>
          <w:sz w:val="26"/>
        </w:rPr>
        <w:t>Supplementary Table 3</w:t>
      </w:r>
    </w:p>
    <w:p>
      <w:pPr>
        <w:spacing w:after="120" w:before="0" w:line="276" w:lineRule="auto"/>
        <w:jc w:val="left"/>
      </w:pPr>
      <w:r>
        <w:rPr>
          <w:rFonts w:ascii="Times New Roman" w:hAnsi="Times New Roman"/>
          <w:b w:val="0"/>
          <w:i w:val="0"/>
          <w:sz w:val="20"/>
        </w:rPr>
        <w:t>Distribution of transcription factor profiles in 19 patients with complete immunohistochemical analysis.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TF Profile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Absolute Frequency (n)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Relative Frequency (%)</w:t>
            </w:r>
          </w:p>
        </w:tc>
      </w:tr>
      <w:tr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SF-1 only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59.1</w:t>
            </w:r>
          </w:p>
        </w:tc>
      </w:tr>
      <w:tr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T-PIT only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13.6</w:t>
            </w:r>
          </w:p>
        </w:tc>
      </w:tr>
      <w:tr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Null cell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9.1</w:t>
            </w:r>
          </w:p>
        </w:tc>
      </w:tr>
      <w:tr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PIT-1 only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4.5</w:t>
            </w:r>
          </w:p>
        </w:tc>
      </w:tr>
      <w:tr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SF-1 + PIT-1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9.1</w:t>
            </w:r>
          </w:p>
        </w:tc>
      </w:tr>
      <w:tr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SF-1 + T-PIT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4.5</w:t>
            </w:r>
          </w:p>
        </w:tc>
      </w:tr>
      <w:tr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Total profiles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3135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100.0</w:t>
            </w:r>
          </w:p>
        </w:tc>
      </w:tr>
    </w:tbl>
    <w:p>
      <w:pPr>
        <w:spacing w:after="360" w:before="0" w:line="276" w:lineRule="auto"/>
        <w:jc w:val="left"/>
      </w:pPr>
      <w:r>
        <w:rPr>
          <w:rFonts w:ascii="Times New Roman" w:hAnsi="Times New Roman"/>
          <w:b w:val="0"/>
          <w:i/>
          <w:sz w:val="16"/>
        </w:rPr>
        <w:t>Total patients = 19; Total profiles = 22 (3 patients with double expression). Percentages calculated based on total profiles (n=22).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tif"/><Relationship Id="rId10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