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4"/>
        </w:rPr>
        <w:t>Additional file 1</w:t>
      </w:r>
    </w:p>
    <w:p>
      <w:r>
        <w:rPr>
          <w:b/>
          <w:sz w:val="24"/>
        </w:rPr>
        <w:t>Variables used in propensity score matching</w:t>
      </w:r>
    </w:p>
    <w:p>
      <w:r>
        <w:t>This file lists the baseline variables included in the propensity score model. These variables were selected because they may influence both the likelihood of immediate postnatal surgery and clinical outcomes in neonates with critical congenital heart disease.</w:t>
      </w:r>
    </w:p>
    <w:tbl>
      <w:tblPr>
        <w:tblStyle w:val="TableGrid"/>
        <w:tblW w:type="auto" w:w="0"/>
        <w:jc w:val="center"/>
        <w:tblLayout w:type="autofit"/>
        <w:tblLook w:firstColumn="1" w:firstRow="1" w:lastColumn="0" w:lastRow="0" w:noHBand="0" w:noVBand="1" w:val="04A0"/>
      </w:tblPr>
      <w:tblGrid>
        <w:gridCol w:w="3456"/>
        <w:gridCol w:w="3456"/>
        <w:gridCol w:w="3456"/>
        <w:gridCol w:w="3456"/>
      </w:tblGrid>
      <w:tr>
        <w:tc>
          <w:tcPr>
            <w:tcW w:type="dxa" w:w="2160"/>
            <w:vAlign w:val="center"/>
          </w:tcPr>
          <w:p>
            <w:r>
              <w:rPr>
                <w:rFonts w:ascii="Times New Roman" w:hAnsi="Times New Roman" w:eastAsia="Times New Roman"/>
                <w:sz w:val="20"/>
              </w:rPr>
            </w:r>
            <w:r>
              <w:rPr>
                <w:rFonts w:ascii="Times New Roman" w:hAnsi="Times New Roman" w:eastAsia="Times New Roman"/>
                <w:b/>
                <w:sz w:val="20"/>
              </w:rPr>
              <w:t>Variable</w:t>
            </w:r>
          </w:p>
        </w:tc>
        <w:tc>
          <w:tcPr>
            <w:tcW w:type="dxa" w:w="4464"/>
            <w:vAlign w:val="center"/>
          </w:tcPr>
          <w:p>
            <w:r>
              <w:rPr>
                <w:rFonts w:ascii="Times New Roman" w:hAnsi="Times New Roman" w:eastAsia="Times New Roman"/>
                <w:sz w:val="20"/>
              </w:rPr>
            </w:r>
            <w:r>
              <w:rPr>
                <w:rFonts w:ascii="Times New Roman" w:hAnsi="Times New Roman" w:eastAsia="Times New Roman"/>
                <w:b/>
                <w:sz w:val="20"/>
              </w:rPr>
              <w:t>Coding or definition</w:t>
            </w:r>
          </w:p>
        </w:tc>
        <w:tc>
          <w:tcPr>
            <w:tcW w:type="dxa" w:w="4320"/>
            <w:vAlign w:val="center"/>
          </w:tcPr>
          <w:p>
            <w:r>
              <w:rPr>
                <w:rFonts w:ascii="Times New Roman" w:hAnsi="Times New Roman" w:eastAsia="Times New Roman"/>
                <w:sz w:val="20"/>
              </w:rPr>
            </w:r>
            <w:r>
              <w:rPr>
                <w:rFonts w:ascii="Times New Roman" w:hAnsi="Times New Roman" w:eastAsia="Times New Roman"/>
                <w:b/>
                <w:sz w:val="20"/>
              </w:rPr>
              <w:t>Timing/source</w:t>
            </w:r>
          </w:p>
        </w:tc>
        <w:tc>
          <w:tcPr>
            <w:tcW w:type="dxa" w:w="5760"/>
            <w:vAlign w:val="center"/>
          </w:tcPr>
          <w:p>
            <w:r>
              <w:rPr>
                <w:rFonts w:ascii="Times New Roman" w:hAnsi="Times New Roman" w:eastAsia="Times New Roman"/>
                <w:sz w:val="20"/>
              </w:rPr>
            </w:r>
            <w:r>
              <w:rPr>
                <w:rFonts w:ascii="Times New Roman" w:hAnsi="Times New Roman" w:eastAsia="Times New Roman"/>
                <w:b/>
                <w:sz w:val="20"/>
              </w:rPr>
              <w:t>Clinical rationale</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Sex</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Male or female</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Recorded at birth</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Sex may be associated with neonatal physiology, surgical risk, and outcomes.</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Body length</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Continuous variable, cm</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Birth record or preoperative record</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Body size reflects neonatal growth and may influence operative management.</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Birth weight</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Continuous variable, kg</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Birth record or preoperative record</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Birth weight is an important determinant of neonatal surgical risk.</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Prematurity</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Yes or no; defined according to the clinical record, generally gestational age &lt;37 completed weeks</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Birth and neonatal record</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Prematurity may influence organ maturity, perioperative risk, and postoperative recovery.</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RACHS-1 category</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Risk Adjustment for Congenital Heart Surgery-1 category</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Assigned according to the index operation</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Surgical complexity is a major determinant of perioperative risk.</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Diagnosis category</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Transposition of the great arteries, pulmonary atresia, severe pulmonary stenosis, or total anomalous pulmonary venous connection</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Preoperative echocardiography and operative diagnosis</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Underlying cardiac anatomy strongly affects surgical timing, perioperative risk, and reintervention risk.</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Prenatal diagnosis</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Yes or no</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Fetal echocardiography and referral records</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Prenatal diagnosis may determine delivery planning and the feasibility of immediate surgery.</w:t>
            </w:r>
          </w:p>
        </w:tc>
      </w:tr>
      <w:tr>
        <w:tc>
          <w:tcPr>
            <w:tcW w:type="dxa" w:w="2160"/>
            <w:vAlign w:val="top"/>
          </w:tcPr>
          <w:p>
            <w:r>
              <w:rPr>
                <w:rFonts w:ascii="Times New Roman" w:hAnsi="Times New Roman" w:eastAsia="Times New Roman"/>
                <w:sz w:val="20"/>
              </w:rPr>
            </w:r>
            <w:r>
              <w:rPr>
                <w:rFonts w:ascii="Times New Roman" w:hAnsi="Times New Roman" w:eastAsia="Times New Roman"/>
                <w:b w:val="0"/>
                <w:sz w:val="20"/>
              </w:rPr>
              <w:t>Inborn status</w:t>
            </w:r>
          </w:p>
        </w:tc>
        <w:tc>
          <w:tcPr>
            <w:tcW w:type="dxa" w:w="4464"/>
            <w:vAlign w:val="top"/>
          </w:tcPr>
          <w:p>
            <w:r>
              <w:rPr>
                <w:rFonts w:ascii="Times New Roman" w:hAnsi="Times New Roman" w:eastAsia="Times New Roman"/>
                <w:sz w:val="20"/>
              </w:rPr>
            </w:r>
            <w:r>
              <w:rPr>
                <w:rFonts w:ascii="Times New Roman" w:hAnsi="Times New Roman" w:eastAsia="Times New Roman"/>
                <w:b w:val="0"/>
                <w:sz w:val="20"/>
              </w:rPr>
              <w:t>Yes or no; birth in the study hospital or associated delivery pathway</w:t>
            </w:r>
          </w:p>
        </w:tc>
        <w:tc>
          <w:tcPr>
            <w:tcW w:type="dxa" w:w="4320"/>
            <w:vAlign w:val="top"/>
          </w:tcPr>
          <w:p>
            <w:r>
              <w:rPr>
                <w:rFonts w:ascii="Times New Roman" w:hAnsi="Times New Roman" w:eastAsia="Times New Roman"/>
                <w:sz w:val="20"/>
              </w:rPr>
            </w:r>
            <w:r>
              <w:rPr>
                <w:rFonts w:ascii="Times New Roman" w:hAnsi="Times New Roman" w:eastAsia="Times New Roman"/>
                <w:b w:val="0"/>
                <w:sz w:val="20"/>
              </w:rPr>
              <w:t>Delivery and admission records</w:t>
            </w:r>
          </w:p>
        </w:tc>
        <w:tc>
          <w:tcPr>
            <w:tcW w:type="dxa" w:w="5760"/>
            <w:vAlign w:val="top"/>
          </w:tcPr>
          <w:p>
            <w:r>
              <w:rPr>
                <w:rFonts w:ascii="Times New Roman" w:hAnsi="Times New Roman" w:eastAsia="Times New Roman"/>
                <w:sz w:val="20"/>
              </w:rPr>
            </w:r>
            <w:r>
              <w:rPr>
                <w:rFonts w:ascii="Times New Roman" w:hAnsi="Times New Roman" w:eastAsia="Times New Roman"/>
                <w:b w:val="0"/>
                <w:sz w:val="20"/>
              </w:rPr>
              <w:t>Inborn delivery may reduce transfer delay and facilitate immediate access to cardiac surgery and intensive care.</w:t>
            </w:r>
          </w:p>
        </w:tc>
      </w:tr>
    </w:tbl>
    <w:p>
      <w:r>
        <w:t>Outcome variables were not included in the propensity score model.</w:t>
      </w:r>
    </w:p>
    <w:p>
      <w:r>
        <w:t>Abbreviations: RACHS-1, Risk Adjustment for Congenital Heart Surgery-1.</w:t>
      </w:r>
    </w:p>
    <w:sectPr w:rsidR="00FC693F" w:rsidRPr="0006063C" w:rsidSect="00034616">
      <w:pgSz w:w="15840" w:h="12240" w:orient="landscape"/>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 PSM variables</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