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BBEC8" w14:textId="42B04AD8" w:rsidR="00307A39" w:rsidRDefault="00307A39" w:rsidP="0050672C">
      <w:pPr>
        <w:pStyle w:val="a3"/>
        <w:adjustRightInd w:val="0"/>
        <w:snapToGrid w:val="0"/>
        <w:spacing w:beforeAutospacing="0" w:afterAutospacing="0" w:line="360" w:lineRule="auto"/>
        <w:jc w:val="center"/>
        <w:rPr>
          <w:rFonts w:ascii="Times New Roman" w:hAnsi="Times New Roman"/>
          <w:b/>
          <w:bCs/>
          <w:color w:val="000000" w:themeColor="text1"/>
          <w:sz w:val="36"/>
          <w:szCs w:val="36"/>
        </w:rPr>
      </w:pPr>
      <w:r w:rsidRPr="00307A39">
        <w:rPr>
          <w:rFonts w:ascii="Times New Roman" w:hAnsi="Times New Roman"/>
          <w:b/>
          <w:bCs/>
          <w:color w:val="000000" w:themeColor="text1"/>
          <w:sz w:val="36"/>
          <w:szCs w:val="36"/>
        </w:rPr>
        <w:t>Empty scaffold allocation bias in molecular distribution shift evaluation</w:t>
      </w:r>
    </w:p>
    <w:p w14:paraId="5174FCFC" w14:textId="77777777" w:rsidR="00307A39" w:rsidRPr="00307A39" w:rsidRDefault="00307A39" w:rsidP="0050672C">
      <w:pPr>
        <w:pStyle w:val="a3"/>
        <w:adjustRightInd w:val="0"/>
        <w:snapToGrid w:val="0"/>
        <w:spacing w:beforeAutospacing="0" w:afterAutospacing="0" w:line="360" w:lineRule="auto"/>
        <w:jc w:val="center"/>
        <w:rPr>
          <w:rFonts w:ascii="Times New Roman" w:hAnsi="Times New Roman"/>
          <w:b/>
          <w:bCs/>
          <w:color w:val="000000" w:themeColor="text1"/>
          <w:sz w:val="36"/>
          <w:szCs w:val="36"/>
        </w:rPr>
      </w:pPr>
    </w:p>
    <w:p w14:paraId="1CA6A01E" w14:textId="0DBC5747" w:rsidR="007C6E6C" w:rsidRPr="00307A39" w:rsidRDefault="007C6E6C" w:rsidP="0050672C">
      <w:pPr>
        <w:pStyle w:val="a3"/>
        <w:adjustRightInd w:val="0"/>
        <w:snapToGrid w:val="0"/>
        <w:spacing w:beforeAutospacing="0" w:afterAutospacing="0" w:line="360" w:lineRule="auto"/>
        <w:jc w:val="center"/>
        <w:rPr>
          <w:rFonts w:ascii="Times New Roman" w:hAnsi="Times New Roman"/>
          <w:b/>
          <w:bCs/>
          <w:color w:val="000000" w:themeColor="text1"/>
          <w:sz w:val="30"/>
          <w:szCs w:val="30"/>
        </w:rPr>
      </w:pPr>
      <w:r w:rsidRPr="00307A39">
        <w:rPr>
          <w:rFonts w:ascii="Times New Roman" w:hAnsi="Times New Roman"/>
          <w:b/>
          <w:bCs/>
          <w:color w:val="000000" w:themeColor="text1"/>
          <w:sz w:val="30"/>
          <w:szCs w:val="30"/>
        </w:rPr>
        <w:t>Supp</w:t>
      </w:r>
      <w:r w:rsidR="0052287D">
        <w:rPr>
          <w:rFonts w:ascii="Times New Roman" w:hAnsi="Times New Roman" w:hint="eastAsia"/>
          <w:b/>
          <w:bCs/>
          <w:color w:val="000000" w:themeColor="text1"/>
          <w:sz w:val="30"/>
          <w:szCs w:val="30"/>
        </w:rPr>
        <w:t>lementary</w:t>
      </w:r>
      <w:r w:rsidRPr="00307A39">
        <w:rPr>
          <w:rFonts w:ascii="Times New Roman" w:hAnsi="Times New Roman"/>
          <w:b/>
          <w:bCs/>
          <w:color w:val="000000" w:themeColor="text1"/>
          <w:sz w:val="30"/>
          <w:szCs w:val="30"/>
        </w:rPr>
        <w:t xml:space="preserve"> </w:t>
      </w:r>
      <w:r w:rsidR="0052287D">
        <w:rPr>
          <w:rFonts w:ascii="Times New Roman" w:hAnsi="Times New Roman" w:hint="eastAsia"/>
          <w:b/>
          <w:bCs/>
          <w:color w:val="000000" w:themeColor="text1"/>
          <w:sz w:val="30"/>
          <w:szCs w:val="30"/>
        </w:rPr>
        <w:t>i</w:t>
      </w:r>
      <w:r w:rsidRPr="00307A39">
        <w:rPr>
          <w:rFonts w:ascii="Times New Roman" w:hAnsi="Times New Roman"/>
          <w:b/>
          <w:bCs/>
          <w:color w:val="000000" w:themeColor="text1"/>
          <w:sz w:val="30"/>
          <w:szCs w:val="30"/>
        </w:rPr>
        <w:t>nformation</w:t>
      </w:r>
    </w:p>
    <w:p w14:paraId="6ABF5056" w14:textId="77777777" w:rsidR="0050672C" w:rsidRPr="00CB63E4" w:rsidRDefault="0050672C" w:rsidP="0050672C">
      <w:pPr>
        <w:pStyle w:val="a3"/>
        <w:adjustRightInd w:val="0"/>
        <w:snapToGrid w:val="0"/>
        <w:spacing w:beforeAutospacing="0" w:afterAutospacing="0" w:line="360" w:lineRule="auto"/>
        <w:jc w:val="center"/>
        <w:rPr>
          <w:rFonts w:ascii="Times New Roman" w:hAnsi="Times New Roman"/>
          <w:b/>
          <w:bCs/>
          <w:color w:val="000000" w:themeColor="text1"/>
        </w:rPr>
      </w:pPr>
    </w:p>
    <w:p w14:paraId="63F4B856" w14:textId="0EE994BC" w:rsidR="00640E85" w:rsidRPr="00640E85" w:rsidRDefault="00E935E3" w:rsidP="00640E85">
      <w:pPr>
        <w:pStyle w:val="a3"/>
        <w:adjustRightInd w:val="0"/>
        <w:snapToGrid w:val="0"/>
        <w:spacing w:beforeAutospacing="0" w:afterAutospacing="0" w:line="360" w:lineRule="auto"/>
        <w:jc w:val="both"/>
        <w:rPr>
          <w:rFonts w:ascii="Times New Roman" w:eastAsia="宋体" w:hAnsi="Times New Roman" w:hint="eastAsia"/>
          <w:b/>
          <w:bCs/>
          <w:color w:val="000000" w:themeColor="text1"/>
          <w:sz w:val="28"/>
          <w:szCs w:val="28"/>
        </w:rPr>
      </w:pPr>
      <w:r w:rsidRPr="00E935E3">
        <w:rPr>
          <w:rFonts w:ascii="Times New Roman" w:eastAsia="宋体" w:hAnsi="Times New Roman"/>
          <w:b/>
          <w:bCs/>
          <w:color w:val="000000" w:themeColor="text1"/>
          <w:sz w:val="28"/>
          <w:szCs w:val="28"/>
        </w:rPr>
        <w:t>Contents</w:t>
      </w:r>
    </w:p>
    <w:p w14:paraId="4E20798C" w14:textId="3E50A411" w:rsidR="007A3066" w:rsidRDefault="00640E85" w:rsidP="00640E85">
      <w:pPr>
        <w:pStyle w:val="a3"/>
        <w:adjustRightInd w:val="0"/>
        <w:snapToGrid w:val="0"/>
        <w:spacing w:beforeAutospacing="0" w:afterAutospacing="0" w:line="360" w:lineRule="auto"/>
        <w:jc w:val="both"/>
        <w:rPr>
          <w:rFonts w:ascii="Times New Roman" w:eastAsia="宋体" w:hAnsi="Times New Roman"/>
          <w:color w:val="000000" w:themeColor="text1"/>
        </w:rPr>
      </w:pPr>
      <w:r w:rsidRPr="00640E85">
        <w:rPr>
          <w:rFonts w:ascii="Times New Roman" w:eastAsia="宋体" w:hAnsi="Times New Roman"/>
          <w:color w:val="000000" w:themeColor="text1"/>
        </w:rPr>
        <w:t>Supplementary Tables 1–5 provide dataset-level prevalence statistics, task-level distribution-shift summaries, and representative no-scaffold allocation examples. Supplementary Figs. 1–3 provide additional classification and regression summaries related to near-baseline ranking behavior and model-level regression sensitivity. Supplementary Fig. 7 provides fingerprint-based UMAP visualizations of the relative chemical-space localization of no-scaffold molecules across retained datasets. Supplementary Notes 1</w:t>
      </w:r>
      <w:r w:rsidRPr="00640E85">
        <w:rPr>
          <w:rFonts w:ascii="Times New Roman" w:eastAsia="宋体" w:hAnsi="Times New Roman" w:hint="eastAsia"/>
          <w:color w:val="000000" w:themeColor="text1"/>
        </w:rPr>
        <w:t>–</w:t>
      </w:r>
      <w:r w:rsidRPr="00640E85">
        <w:rPr>
          <w:rFonts w:ascii="Times New Roman" w:eastAsia="宋体" w:hAnsi="Times New Roman"/>
          <w:color w:val="000000" w:themeColor="text1"/>
        </w:rPr>
        <w:t>4 provide methodological and diagnostic details: Supplementary Note 1 describes metric selection and sensitivity analyses and accompanies Supplementary Tables 6–11; Supplementary Note 2 describes diagnostic association analyses and accompanies Supplementary Figs. 4 and 5 and Supplementary Tables 12–15; Supplementary Note 3 describes the Empty-Scaffold-Aware repair procedure and accompanies Supplementary Algorithm 1; and Supplementary Note 4 describes ESA configuration selection and supplementary split-level diagnostics and accompanies Supplementary Tables 16 and 17 and Supplementary Fig. 6.</w:t>
      </w:r>
    </w:p>
    <w:p w14:paraId="1FF73B63" w14:textId="77777777" w:rsidR="00640E85" w:rsidRPr="00CB63E4" w:rsidRDefault="00640E85" w:rsidP="00640E85">
      <w:pPr>
        <w:pStyle w:val="a3"/>
        <w:adjustRightInd w:val="0"/>
        <w:snapToGrid w:val="0"/>
        <w:spacing w:beforeAutospacing="0" w:afterAutospacing="0" w:line="360" w:lineRule="auto"/>
        <w:jc w:val="both"/>
        <w:rPr>
          <w:rFonts w:ascii="Times New Roman" w:eastAsia="宋体" w:hAnsi="Times New Roman"/>
          <w:color w:val="000000" w:themeColor="text1"/>
        </w:rPr>
      </w:pPr>
    </w:p>
    <w:p w14:paraId="16475796" w14:textId="57F5B2B3" w:rsidR="007C6E6C" w:rsidRPr="004B4A6F" w:rsidRDefault="00F7243E" w:rsidP="00F7243E">
      <w:pPr>
        <w:pStyle w:val="a3"/>
        <w:keepNext/>
        <w:widowControl/>
        <w:adjustRightInd w:val="0"/>
        <w:snapToGrid w:val="0"/>
        <w:spacing w:beforeAutospacing="0" w:afterAutospacing="0" w:line="360" w:lineRule="auto"/>
        <w:jc w:val="both"/>
        <w:rPr>
          <w:rFonts w:ascii="Times New Roman" w:hAnsi="Times New Roman"/>
          <w:color w:val="000000" w:themeColor="text1"/>
        </w:rPr>
      </w:pPr>
      <w:r w:rsidRPr="004B4A6F">
        <w:rPr>
          <w:rFonts w:ascii="Times New Roman" w:hAnsi="Times New Roman"/>
          <w:b/>
          <w:bCs/>
          <w:color w:val="000000" w:themeColor="text1"/>
        </w:rPr>
        <w:t xml:space="preserve">Supplementary Table 1. Prevalence of no-scaffold molecules across </w:t>
      </w:r>
      <w:proofErr w:type="spellStart"/>
      <w:r w:rsidRPr="004B4A6F">
        <w:rPr>
          <w:rFonts w:ascii="Times New Roman" w:hAnsi="Times New Roman"/>
          <w:b/>
          <w:bCs/>
          <w:color w:val="000000" w:themeColor="text1"/>
        </w:rPr>
        <w:t>MoleculeNet</w:t>
      </w:r>
      <w:proofErr w:type="spellEnd"/>
      <w:r w:rsidRPr="004B4A6F">
        <w:rPr>
          <w:rFonts w:ascii="Times New Roman" w:hAnsi="Times New Roman"/>
          <w:b/>
          <w:bCs/>
          <w:color w:val="000000" w:themeColor="text1"/>
        </w:rPr>
        <w:t xml:space="preserve"> datasets. </w:t>
      </w:r>
      <w:r w:rsidRPr="004B4A6F">
        <w:rPr>
          <w:rFonts w:ascii="Times New Roman" w:hAnsi="Times New Roman"/>
          <w:color w:val="000000" w:themeColor="text1"/>
        </w:rPr>
        <w:t>The table reports the final molecule count after preprocessing, the number of molecules with an empty Bemis–Murcko scaffold representation, and the no-scaffold proportion for each dataset.</w:t>
      </w:r>
    </w:p>
    <w:tbl>
      <w:tblPr>
        <w:tblW w:w="8031" w:type="dxa"/>
        <w:tblInd w:w="250" w:type="dxa"/>
        <w:tblLayout w:type="fixed"/>
        <w:tblLook w:val="04A0" w:firstRow="1" w:lastRow="0" w:firstColumn="1" w:lastColumn="0" w:noHBand="0" w:noVBand="1"/>
      </w:tblPr>
      <w:tblGrid>
        <w:gridCol w:w="1650"/>
        <w:gridCol w:w="1548"/>
        <w:gridCol w:w="1463"/>
        <w:gridCol w:w="1654"/>
        <w:gridCol w:w="1716"/>
      </w:tblGrid>
      <w:tr w:rsidR="0050672C" w:rsidRPr="00CB63E4" w14:paraId="5A3ED6C1" w14:textId="77777777" w:rsidTr="00CB63E4">
        <w:trPr>
          <w:trHeight w:val="285"/>
        </w:trPr>
        <w:tc>
          <w:tcPr>
            <w:tcW w:w="1650" w:type="dxa"/>
            <w:tcBorders>
              <w:top w:val="single" w:sz="4" w:space="0" w:color="auto"/>
              <w:left w:val="nil"/>
              <w:bottom w:val="single" w:sz="4" w:space="0" w:color="auto"/>
              <w:right w:val="single" w:sz="4" w:space="0" w:color="auto"/>
            </w:tcBorders>
            <w:shd w:val="clear" w:color="auto" w:fill="1F4E78"/>
            <w:noWrap/>
            <w:vAlign w:val="center"/>
          </w:tcPr>
          <w:p w14:paraId="49F7D0E9" w14:textId="77777777" w:rsidR="007C6E6C" w:rsidRPr="00CB63E4" w:rsidRDefault="007C6E6C" w:rsidP="002F0411">
            <w:pPr>
              <w:widowControl/>
              <w:jc w:val="center"/>
              <w:textAlignment w:val="center"/>
              <w:rPr>
                <w:rFonts w:ascii="Times New Roman" w:eastAsia="等线" w:hAnsi="Times New Roman" w:cs="Times New Roman"/>
                <w:b/>
                <w:bCs/>
                <w:color w:val="FFFFFF" w:themeColor="background1"/>
                <w:sz w:val="18"/>
                <w:szCs w:val="18"/>
              </w:rPr>
            </w:pPr>
            <w:r w:rsidRPr="00CB63E4">
              <w:rPr>
                <w:rFonts w:ascii="Times New Roman" w:eastAsia="等线" w:hAnsi="Times New Roman" w:cs="Times New Roman"/>
                <w:b/>
                <w:bCs/>
                <w:color w:val="FFFFFF" w:themeColor="background1"/>
                <w:kern w:val="0"/>
                <w:sz w:val="18"/>
                <w:szCs w:val="18"/>
                <w:lang w:bidi="ar"/>
              </w:rPr>
              <w:t>Prediction type</w:t>
            </w:r>
          </w:p>
        </w:tc>
        <w:tc>
          <w:tcPr>
            <w:tcW w:w="1548" w:type="dxa"/>
            <w:tcBorders>
              <w:top w:val="single" w:sz="4" w:space="0" w:color="auto"/>
              <w:left w:val="nil"/>
              <w:bottom w:val="single" w:sz="4" w:space="0" w:color="auto"/>
              <w:right w:val="single" w:sz="4" w:space="0" w:color="auto"/>
            </w:tcBorders>
            <w:shd w:val="clear" w:color="auto" w:fill="1F4E78"/>
            <w:noWrap/>
            <w:vAlign w:val="center"/>
          </w:tcPr>
          <w:p w14:paraId="4316560F" w14:textId="77777777" w:rsidR="007C6E6C" w:rsidRPr="00CB63E4" w:rsidRDefault="007C6E6C" w:rsidP="002F0411">
            <w:pPr>
              <w:widowControl/>
              <w:jc w:val="center"/>
              <w:textAlignment w:val="center"/>
              <w:rPr>
                <w:rFonts w:ascii="Times New Roman" w:eastAsia="等线" w:hAnsi="Times New Roman" w:cs="Times New Roman"/>
                <w:b/>
                <w:bCs/>
                <w:color w:val="FFFFFF" w:themeColor="background1"/>
                <w:sz w:val="18"/>
                <w:szCs w:val="18"/>
              </w:rPr>
            </w:pPr>
            <w:r w:rsidRPr="00CB63E4">
              <w:rPr>
                <w:rFonts w:ascii="Times New Roman" w:eastAsia="等线" w:hAnsi="Times New Roman" w:cs="Times New Roman"/>
                <w:b/>
                <w:bCs/>
                <w:color w:val="FFFFFF" w:themeColor="background1"/>
                <w:kern w:val="0"/>
                <w:sz w:val="18"/>
                <w:szCs w:val="18"/>
                <w:lang w:bidi="ar"/>
              </w:rPr>
              <w:t>Dataset</w:t>
            </w:r>
          </w:p>
        </w:tc>
        <w:tc>
          <w:tcPr>
            <w:tcW w:w="1463" w:type="dxa"/>
            <w:tcBorders>
              <w:top w:val="single" w:sz="4" w:space="0" w:color="auto"/>
              <w:left w:val="nil"/>
              <w:bottom w:val="single" w:sz="4" w:space="0" w:color="auto"/>
              <w:right w:val="single" w:sz="4" w:space="0" w:color="auto"/>
            </w:tcBorders>
            <w:shd w:val="clear" w:color="auto" w:fill="1F4E78"/>
            <w:noWrap/>
            <w:vAlign w:val="center"/>
          </w:tcPr>
          <w:p w14:paraId="4AF04801" w14:textId="77777777" w:rsidR="007C6E6C" w:rsidRPr="00CB63E4" w:rsidRDefault="007C6E6C" w:rsidP="002F0411">
            <w:pPr>
              <w:widowControl/>
              <w:jc w:val="center"/>
              <w:textAlignment w:val="center"/>
              <w:rPr>
                <w:rFonts w:ascii="Times New Roman" w:eastAsia="等线" w:hAnsi="Times New Roman" w:cs="Times New Roman"/>
                <w:b/>
                <w:bCs/>
                <w:color w:val="FFFFFF" w:themeColor="background1"/>
                <w:sz w:val="18"/>
                <w:szCs w:val="18"/>
              </w:rPr>
            </w:pPr>
            <w:r w:rsidRPr="00CB63E4">
              <w:rPr>
                <w:rFonts w:ascii="Times New Roman" w:eastAsia="等线" w:hAnsi="Times New Roman" w:cs="Times New Roman"/>
                <w:b/>
                <w:bCs/>
                <w:color w:val="FFFFFF" w:themeColor="background1"/>
                <w:kern w:val="0"/>
                <w:sz w:val="18"/>
                <w:szCs w:val="18"/>
                <w:lang w:bidi="ar"/>
              </w:rPr>
              <w:t>Total Molecules</w:t>
            </w:r>
          </w:p>
        </w:tc>
        <w:tc>
          <w:tcPr>
            <w:tcW w:w="1654" w:type="dxa"/>
            <w:tcBorders>
              <w:top w:val="single" w:sz="4" w:space="0" w:color="auto"/>
              <w:left w:val="nil"/>
              <w:bottom w:val="single" w:sz="4" w:space="0" w:color="auto"/>
              <w:right w:val="single" w:sz="4" w:space="0" w:color="auto"/>
            </w:tcBorders>
            <w:shd w:val="clear" w:color="auto" w:fill="1F4E78"/>
            <w:noWrap/>
            <w:vAlign w:val="center"/>
          </w:tcPr>
          <w:p w14:paraId="7F071DEF" w14:textId="77777777" w:rsidR="007C6E6C" w:rsidRPr="00CB63E4" w:rsidRDefault="007C6E6C" w:rsidP="002F0411">
            <w:pPr>
              <w:widowControl/>
              <w:jc w:val="center"/>
              <w:textAlignment w:val="center"/>
              <w:rPr>
                <w:rFonts w:ascii="Times New Roman" w:eastAsia="等线" w:hAnsi="Times New Roman" w:cs="Times New Roman"/>
                <w:b/>
                <w:bCs/>
                <w:color w:val="FFFFFF" w:themeColor="background1"/>
                <w:sz w:val="18"/>
                <w:szCs w:val="18"/>
              </w:rPr>
            </w:pPr>
            <w:r w:rsidRPr="00CB63E4">
              <w:rPr>
                <w:rFonts w:ascii="Times New Roman" w:eastAsia="等线" w:hAnsi="Times New Roman" w:cs="Times New Roman"/>
                <w:b/>
                <w:bCs/>
                <w:color w:val="FFFFFF" w:themeColor="background1"/>
                <w:kern w:val="0"/>
                <w:sz w:val="18"/>
                <w:szCs w:val="18"/>
                <w:lang w:bidi="ar"/>
              </w:rPr>
              <w:t>No-scaffold Molecules</w:t>
            </w:r>
          </w:p>
        </w:tc>
        <w:tc>
          <w:tcPr>
            <w:tcW w:w="1716" w:type="dxa"/>
            <w:tcBorders>
              <w:top w:val="single" w:sz="4" w:space="0" w:color="auto"/>
              <w:left w:val="nil"/>
              <w:bottom w:val="single" w:sz="4" w:space="0" w:color="auto"/>
              <w:right w:val="single" w:sz="4" w:space="0" w:color="auto"/>
            </w:tcBorders>
            <w:shd w:val="clear" w:color="auto" w:fill="1F4E78"/>
            <w:noWrap/>
            <w:vAlign w:val="center"/>
          </w:tcPr>
          <w:p w14:paraId="4F145648" w14:textId="77777777" w:rsidR="007C6E6C" w:rsidRPr="00CB63E4" w:rsidRDefault="007C6E6C" w:rsidP="002F0411">
            <w:pPr>
              <w:widowControl/>
              <w:jc w:val="center"/>
              <w:textAlignment w:val="center"/>
              <w:rPr>
                <w:rFonts w:ascii="Times New Roman" w:eastAsia="等线" w:hAnsi="Times New Roman" w:cs="Times New Roman"/>
                <w:b/>
                <w:bCs/>
                <w:color w:val="FFFFFF" w:themeColor="background1"/>
                <w:sz w:val="18"/>
                <w:szCs w:val="18"/>
              </w:rPr>
            </w:pPr>
            <w:r w:rsidRPr="00CB63E4">
              <w:rPr>
                <w:rFonts w:ascii="Times New Roman" w:eastAsia="等线" w:hAnsi="Times New Roman" w:cs="Times New Roman"/>
                <w:b/>
                <w:bCs/>
                <w:color w:val="FFFFFF" w:themeColor="background1"/>
                <w:kern w:val="0"/>
                <w:sz w:val="18"/>
                <w:szCs w:val="18"/>
                <w:lang w:bidi="ar"/>
              </w:rPr>
              <w:t>No-scaffold Proportion</w:t>
            </w:r>
          </w:p>
        </w:tc>
      </w:tr>
      <w:tr w:rsidR="0050672C" w:rsidRPr="00CB63E4" w14:paraId="12E8B2FB" w14:textId="77777777" w:rsidTr="002F0411">
        <w:trPr>
          <w:trHeight w:val="285"/>
        </w:trPr>
        <w:tc>
          <w:tcPr>
            <w:tcW w:w="1650" w:type="dxa"/>
            <w:tcBorders>
              <w:top w:val="nil"/>
              <w:left w:val="nil"/>
              <w:bottom w:val="single" w:sz="4" w:space="0" w:color="auto"/>
              <w:right w:val="single" w:sz="4" w:space="0" w:color="auto"/>
            </w:tcBorders>
            <w:noWrap/>
            <w:vAlign w:val="center"/>
          </w:tcPr>
          <w:p w14:paraId="37C198B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1548" w:type="dxa"/>
            <w:tcBorders>
              <w:top w:val="nil"/>
              <w:left w:val="nil"/>
              <w:bottom w:val="single" w:sz="4" w:space="0" w:color="auto"/>
              <w:right w:val="single" w:sz="4" w:space="0" w:color="auto"/>
            </w:tcBorders>
            <w:noWrap/>
            <w:vAlign w:val="center"/>
          </w:tcPr>
          <w:p w14:paraId="190C357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FreeSolv</w:t>
            </w:r>
            <w:proofErr w:type="spellEnd"/>
          </w:p>
        </w:tc>
        <w:tc>
          <w:tcPr>
            <w:tcW w:w="1463" w:type="dxa"/>
            <w:tcBorders>
              <w:top w:val="nil"/>
              <w:left w:val="nil"/>
              <w:bottom w:val="single" w:sz="4" w:space="0" w:color="auto"/>
              <w:right w:val="single" w:sz="4" w:space="0" w:color="auto"/>
            </w:tcBorders>
            <w:noWrap/>
            <w:vAlign w:val="center"/>
          </w:tcPr>
          <w:p w14:paraId="046CDF2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642</w:t>
            </w:r>
          </w:p>
        </w:tc>
        <w:tc>
          <w:tcPr>
            <w:tcW w:w="1654" w:type="dxa"/>
            <w:tcBorders>
              <w:top w:val="nil"/>
              <w:left w:val="nil"/>
              <w:bottom w:val="single" w:sz="4" w:space="0" w:color="auto"/>
              <w:right w:val="single" w:sz="4" w:space="0" w:color="auto"/>
            </w:tcBorders>
            <w:noWrap/>
            <w:vAlign w:val="center"/>
          </w:tcPr>
          <w:p w14:paraId="5FBA378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320</w:t>
            </w:r>
          </w:p>
        </w:tc>
        <w:tc>
          <w:tcPr>
            <w:tcW w:w="1716" w:type="dxa"/>
            <w:tcBorders>
              <w:top w:val="nil"/>
              <w:left w:val="nil"/>
              <w:bottom w:val="single" w:sz="4" w:space="0" w:color="auto"/>
              <w:right w:val="single" w:sz="4" w:space="0" w:color="auto"/>
            </w:tcBorders>
            <w:noWrap/>
            <w:vAlign w:val="center"/>
          </w:tcPr>
          <w:p w14:paraId="05F13E1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49.84%</w:t>
            </w:r>
          </w:p>
        </w:tc>
      </w:tr>
      <w:tr w:rsidR="0050672C" w:rsidRPr="00CB63E4" w14:paraId="4664FE80" w14:textId="77777777" w:rsidTr="002F0411">
        <w:trPr>
          <w:trHeight w:val="285"/>
        </w:trPr>
        <w:tc>
          <w:tcPr>
            <w:tcW w:w="1650" w:type="dxa"/>
            <w:tcBorders>
              <w:top w:val="nil"/>
              <w:left w:val="nil"/>
              <w:bottom w:val="single" w:sz="4" w:space="0" w:color="auto"/>
              <w:right w:val="single" w:sz="4" w:space="0" w:color="auto"/>
            </w:tcBorders>
            <w:noWrap/>
            <w:vAlign w:val="center"/>
          </w:tcPr>
          <w:p w14:paraId="042715DD"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1548" w:type="dxa"/>
            <w:tcBorders>
              <w:top w:val="nil"/>
              <w:left w:val="nil"/>
              <w:bottom w:val="single" w:sz="4" w:space="0" w:color="auto"/>
              <w:right w:val="single" w:sz="4" w:space="0" w:color="auto"/>
            </w:tcBorders>
            <w:noWrap/>
            <w:vAlign w:val="center"/>
          </w:tcPr>
          <w:p w14:paraId="6A7E681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QM7</w:t>
            </w:r>
          </w:p>
        </w:tc>
        <w:tc>
          <w:tcPr>
            <w:tcW w:w="1463" w:type="dxa"/>
            <w:tcBorders>
              <w:top w:val="nil"/>
              <w:left w:val="nil"/>
              <w:bottom w:val="single" w:sz="4" w:space="0" w:color="auto"/>
              <w:right w:val="single" w:sz="4" w:space="0" w:color="auto"/>
            </w:tcBorders>
            <w:noWrap/>
            <w:vAlign w:val="center"/>
          </w:tcPr>
          <w:p w14:paraId="0E6D46E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6832</w:t>
            </w:r>
          </w:p>
        </w:tc>
        <w:tc>
          <w:tcPr>
            <w:tcW w:w="1654" w:type="dxa"/>
            <w:tcBorders>
              <w:top w:val="nil"/>
              <w:left w:val="nil"/>
              <w:bottom w:val="single" w:sz="4" w:space="0" w:color="auto"/>
              <w:right w:val="single" w:sz="4" w:space="0" w:color="auto"/>
            </w:tcBorders>
            <w:noWrap/>
            <w:vAlign w:val="center"/>
          </w:tcPr>
          <w:p w14:paraId="1144E28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3035</w:t>
            </w:r>
          </w:p>
        </w:tc>
        <w:tc>
          <w:tcPr>
            <w:tcW w:w="1716" w:type="dxa"/>
            <w:tcBorders>
              <w:top w:val="nil"/>
              <w:left w:val="nil"/>
              <w:bottom w:val="single" w:sz="4" w:space="0" w:color="auto"/>
              <w:right w:val="single" w:sz="4" w:space="0" w:color="auto"/>
            </w:tcBorders>
            <w:noWrap/>
            <w:vAlign w:val="center"/>
          </w:tcPr>
          <w:p w14:paraId="1AB2549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44.42%</w:t>
            </w:r>
          </w:p>
        </w:tc>
      </w:tr>
      <w:tr w:rsidR="0050672C" w:rsidRPr="00CB63E4" w14:paraId="5BBC16F2" w14:textId="77777777" w:rsidTr="002F0411">
        <w:trPr>
          <w:trHeight w:val="285"/>
        </w:trPr>
        <w:tc>
          <w:tcPr>
            <w:tcW w:w="1650" w:type="dxa"/>
            <w:tcBorders>
              <w:top w:val="nil"/>
              <w:left w:val="nil"/>
              <w:bottom w:val="single" w:sz="4" w:space="0" w:color="auto"/>
              <w:right w:val="single" w:sz="4" w:space="0" w:color="auto"/>
            </w:tcBorders>
            <w:noWrap/>
            <w:vAlign w:val="center"/>
          </w:tcPr>
          <w:p w14:paraId="2B844AD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1548" w:type="dxa"/>
            <w:tcBorders>
              <w:top w:val="nil"/>
              <w:left w:val="nil"/>
              <w:bottom w:val="single" w:sz="4" w:space="0" w:color="auto"/>
              <w:right w:val="single" w:sz="4" w:space="0" w:color="auto"/>
            </w:tcBorders>
            <w:noWrap/>
            <w:vAlign w:val="center"/>
          </w:tcPr>
          <w:p w14:paraId="0D37175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ESOL</w:t>
            </w:r>
          </w:p>
        </w:tc>
        <w:tc>
          <w:tcPr>
            <w:tcW w:w="1463" w:type="dxa"/>
            <w:tcBorders>
              <w:top w:val="nil"/>
              <w:left w:val="nil"/>
              <w:bottom w:val="single" w:sz="4" w:space="0" w:color="auto"/>
              <w:right w:val="single" w:sz="4" w:space="0" w:color="auto"/>
            </w:tcBorders>
            <w:noWrap/>
            <w:vAlign w:val="center"/>
          </w:tcPr>
          <w:p w14:paraId="1587D95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1117</w:t>
            </w:r>
          </w:p>
        </w:tc>
        <w:tc>
          <w:tcPr>
            <w:tcW w:w="1654" w:type="dxa"/>
            <w:tcBorders>
              <w:top w:val="nil"/>
              <w:left w:val="nil"/>
              <w:bottom w:val="single" w:sz="4" w:space="0" w:color="auto"/>
              <w:right w:val="single" w:sz="4" w:space="0" w:color="auto"/>
            </w:tcBorders>
            <w:noWrap/>
            <w:vAlign w:val="center"/>
          </w:tcPr>
          <w:p w14:paraId="17A901C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316</w:t>
            </w:r>
          </w:p>
        </w:tc>
        <w:tc>
          <w:tcPr>
            <w:tcW w:w="1716" w:type="dxa"/>
            <w:tcBorders>
              <w:top w:val="nil"/>
              <w:left w:val="nil"/>
              <w:bottom w:val="single" w:sz="4" w:space="0" w:color="auto"/>
              <w:right w:val="single" w:sz="4" w:space="0" w:color="auto"/>
            </w:tcBorders>
            <w:noWrap/>
            <w:vAlign w:val="center"/>
          </w:tcPr>
          <w:p w14:paraId="49B5BA6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28.29%</w:t>
            </w:r>
          </w:p>
        </w:tc>
      </w:tr>
      <w:tr w:rsidR="0050672C" w:rsidRPr="00CB63E4" w14:paraId="6C557D03" w14:textId="77777777" w:rsidTr="002F0411">
        <w:trPr>
          <w:trHeight w:val="285"/>
        </w:trPr>
        <w:tc>
          <w:tcPr>
            <w:tcW w:w="1650" w:type="dxa"/>
            <w:tcBorders>
              <w:top w:val="nil"/>
              <w:left w:val="nil"/>
              <w:bottom w:val="single" w:sz="4" w:space="0" w:color="auto"/>
              <w:right w:val="single" w:sz="4" w:space="0" w:color="auto"/>
            </w:tcBorders>
            <w:noWrap/>
            <w:vAlign w:val="center"/>
          </w:tcPr>
          <w:p w14:paraId="59C9177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1548" w:type="dxa"/>
            <w:tcBorders>
              <w:top w:val="nil"/>
              <w:left w:val="nil"/>
              <w:bottom w:val="single" w:sz="4" w:space="0" w:color="auto"/>
              <w:right w:val="single" w:sz="4" w:space="0" w:color="auto"/>
            </w:tcBorders>
            <w:noWrap/>
            <w:vAlign w:val="center"/>
          </w:tcPr>
          <w:p w14:paraId="1296B42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ToxCast</w:t>
            </w:r>
            <w:proofErr w:type="spellEnd"/>
          </w:p>
        </w:tc>
        <w:tc>
          <w:tcPr>
            <w:tcW w:w="1463" w:type="dxa"/>
            <w:tcBorders>
              <w:top w:val="nil"/>
              <w:left w:val="nil"/>
              <w:bottom w:val="single" w:sz="4" w:space="0" w:color="auto"/>
              <w:right w:val="single" w:sz="4" w:space="0" w:color="auto"/>
            </w:tcBorders>
            <w:noWrap/>
            <w:vAlign w:val="center"/>
          </w:tcPr>
          <w:p w14:paraId="3A8A40A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8577</w:t>
            </w:r>
          </w:p>
        </w:tc>
        <w:tc>
          <w:tcPr>
            <w:tcW w:w="1654" w:type="dxa"/>
            <w:tcBorders>
              <w:top w:val="nil"/>
              <w:left w:val="nil"/>
              <w:bottom w:val="single" w:sz="4" w:space="0" w:color="auto"/>
              <w:right w:val="single" w:sz="4" w:space="0" w:color="auto"/>
            </w:tcBorders>
            <w:noWrap/>
            <w:vAlign w:val="center"/>
          </w:tcPr>
          <w:p w14:paraId="64DEB2C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1956</w:t>
            </w:r>
          </w:p>
        </w:tc>
        <w:tc>
          <w:tcPr>
            <w:tcW w:w="1716" w:type="dxa"/>
            <w:tcBorders>
              <w:top w:val="nil"/>
              <w:left w:val="nil"/>
              <w:bottom w:val="single" w:sz="4" w:space="0" w:color="auto"/>
              <w:right w:val="single" w:sz="4" w:space="0" w:color="auto"/>
            </w:tcBorders>
            <w:noWrap/>
            <w:vAlign w:val="center"/>
          </w:tcPr>
          <w:p w14:paraId="4E7EAA3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22.81%</w:t>
            </w:r>
          </w:p>
        </w:tc>
      </w:tr>
      <w:tr w:rsidR="0050672C" w:rsidRPr="00CB63E4" w14:paraId="59BBBE29" w14:textId="77777777" w:rsidTr="002F0411">
        <w:trPr>
          <w:trHeight w:val="285"/>
        </w:trPr>
        <w:tc>
          <w:tcPr>
            <w:tcW w:w="1650" w:type="dxa"/>
            <w:tcBorders>
              <w:top w:val="nil"/>
              <w:left w:val="nil"/>
              <w:bottom w:val="single" w:sz="4" w:space="0" w:color="auto"/>
              <w:right w:val="single" w:sz="4" w:space="0" w:color="auto"/>
            </w:tcBorders>
            <w:noWrap/>
            <w:vAlign w:val="center"/>
          </w:tcPr>
          <w:p w14:paraId="26A9C54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1548" w:type="dxa"/>
            <w:tcBorders>
              <w:top w:val="nil"/>
              <w:left w:val="nil"/>
              <w:bottom w:val="single" w:sz="4" w:space="0" w:color="auto"/>
              <w:right w:val="single" w:sz="4" w:space="0" w:color="auto"/>
            </w:tcBorders>
            <w:noWrap/>
            <w:vAlign w:val="center"/>
          </w:tcPr>
          <w:p w14:paraId="5A02829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Tox21</w:t>
            </w:r>
          </w:p>
        </w:tc>
        <w:tc>
          <w:tcPr>
            <w:tcW w:w="1463" w:type="dxa"/>
            <w:tcBorders>
              <w:top w:val="nil"/>
              <w:left w:val="nil"/>
              <w:bottom w:val="single" w:sz="4" w:space="0" w:color="auto"/>
              <w:right w:val="single" w:sz="4" w:space="0" w:color="auto"/>
            </w:tcBorders>
            <w:noWrap/>
            <w:vAlign w:val="center"/>
          </w:tcPr>
          <w:p w14:paraId="2D59E65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7831</w:t>
            </w:r>
          </w:p>
        </w:tc>
        <w:tc>
          <w:tcPr>
            <w:tcW w:w="1654" w:type="dxa"/>
            <w:tcBorders>
              <w:top w:val="nil"/>
              <w:left w:val="nil"/>
              <w:bottom w:val="single" w:sz="4" w:space="0" w:color="auto"/>
              <w:right w:val="single" w:sz="4" w:space="0" w:color="auto"/>
            </w:tcBorders>
            <w:noWrap/>
            <w:vAlign w:val="center"/>
          </w:tcPr>
          <w:p w14:paraId="6CE5F2D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1781</w:t>
            </w:r>
          </w:p>
        </w:tc>
        <w:tc>
          <w:tcPr>
            <w:tcW w:w="1716" w:type="dxa"/>
            <w:tcBorders>
              <w:top w:val="nil"/>
              <w:left w:val="nil"/>
              <w:bottom w:val="single" w:sz="4" w:space="0" w:color="auto"/>
              <w:right w:val="single" w:sz="4" w:space="0" w:color="auto"/>
            </w:tcBorders>
            <w:noWrap/>
            <w:vAlign w:val="center"/>
          </w:tcPr>
          <w:p w14:paraId="4CA10EA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22.74%</w:t>
            </w:r>
          </w:p>
        </w:tc>
      </w:tr>
      <w:tr w:rsidR="0050672C" w:rsidRPr="00CB63E4" w14:paraId="440D46CA" w14:textId="77777777" w:rsidTr="002F0411">
        <w:trPr>
          <w:trHeight w:val="285"/>
        </w:trPr>
        <w:tc>
          <w:tcPr>
            <w:tcW w:w="1650" w:type="dxa"/>
            <w:tcBorders>
              <w:top w:val="nil"/>
              <w:left w:val="nil"/>
              <w:bottom w:val="single" w:sz="4" w:space="0" w:color="auto"/>
              <w:right w:val="single" w:sz="4" w:space="0" w:color="auto"/>
            </w:tcBorders>
            <w:noWrap/>
            <w:vAlign w:val="center"/>
          </w:tcPr>
          <w:p w14:paraId="127B0C2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lastRenderedPageBreak/>
              <w:t>Regression</w:t>
            </w:r>
          </w:p>
        </w:tc>
        <w:tc>
          <w:tcPr>
            <w:tcW w:w="1548" w:type="dxa"/>
            <w:tcBorders>
              <w:top w:val="nil"/>
              <w:left w:val="nil"/>
              <w:bottom w:val="single" w:sz="4" w:space="0" w:color="auto"/>
              <w:right w:val="single" w:sz="4" w:space="0" w:color="auto"/>
            </w:tcBorders>
            <w:noWrap/>
            <w:vAlign w:val="center"/>
          </w:tcPr>
          <w:p w14:paraId="158E052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QM8</w:t>
            </w:r>
          </w:p>
        </w:tc>
        <w:tc>
          <w:tcPr>
            <w:tcW w:w="1463" w:type="dxa"/>
            <w:tcBorders>
              <w:top w:val="nil"/>
              <w:left w:val="nil"/>
              <w:bottom w:val="single" w:sz="4" w:space="0" w:color="auto"/>
              <w:right w:val="single" w:sz="4" w:space="0" w:color="auto"/>
            </w:tcBorders>
            <w:noWrap/>
            <w:vAlign w:val="center"/>
          </w:tcPr>
          <w:p w14:paraId="046903A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21766</w:t>
            </w:r>
          </w:p>
        </w:tc>
        <w:tc>
          <w:tcPr>
            <w:tcW w:w="1654" w:type="dxa"/>
            <w:tcBorders>
              <w:top w:val="nil"/>
              <w:left w:val="nil"/>
              <w:bottom w:val="single" w:sz="4" w:space="0" w:color="auto"/>
              <w:right w:val="single" w:sz="4" w:space="0" w:color="auto"/>
            </w:tcBorders>
            <w:noWrap/>
            <w:vAlign w:val="center"/>
          </w:tcPr>
          <w:p w14:paraId="4BBE375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3643</w:t>
            </w:r>
          </w:p>
        </w:tc>
        <w:tc>
          <w:tcPr>
            <w:tcW w:w="1716" w:type="dxa"/>
            <w:tcBorders>
              <w:top w:val="nil"/>
              <w:left w:val="nil"/>
              <w:bottom w:val="single" w:sz="4" w:space="0" w:color="auto"/>
              <w:right w:val="single" w:sz="4" w:space="0" w:color="auto"/>
            </w:tcBorders>
            <w:noWrap/>
            <w:vAlign w:val="center"/>
          </w:tcPr>
          <w:p w14:paraId="5B5E19B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16.74%</w:t>
            </w:r>
          </w:p>
        </w:tc>
      </w:tr>
      <w:tr w:rsidR="0050672C" w:rsidRPr="00CB63E4" w14:paraId="38B7E8EF" w14:textId="77777777" w:rsidTr="002F0411">
        <w:trPr>
          <w:trHeight w:val="285"/>
        </w:trPr>
        <w:tc>
          <w:tcPr>
            <w:tcW w:w="1650" w:type="dxa"/>
            <w:tcBorders>
              <w:top w:val="nil"/>
              <w:left w:val="nil"/>
              <w:bottom w:val="single" w:sz="4" w:space="0" w:color="auto"/>
              <w:right w:val="single" w:sz="4" w:space="0" w:color="auto"/>
            </w:tcBorders>
            <w:noWrap/>
            <w:vAlign w:val="center"/>
          </w:tcPr>
          <w:p w14:paraId="4C618DE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1548" w:type="dxa"/>
            <w:tcBorders>
              <w:top w:val="nil"/>
              <w:left w:val="nil"/>
              <w:bottom w:val="single" w:sz="4" w:space="0" w:color="auto"/>
              <w:right w:val="single" w:sz="4" w:space="0" w:color="auto"/>
            </w:tcBorders>
            <w:noWrap/>
            <w:vAlign w:val="center"/>
          </w:tcPr>
          <w:p w14:paraId="558D743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SIDER</w:t>
            </w:r>
          </w:p>
        </w:tc>
        <w:tc>
          <w:tcPr>
            <w:tcW w:w="1463" w:type="dxa"/>
            <w:tcBorders>
              <w:top w:val="nil"/>
              <w:left w:val="nil"/>
              <w:bottom w:val="single" w:sz="4" w:space="0" w:color="auto"/>
              <w:right w:val="single" w:sz="4" w:space="0" w:color="auto"/>
            </w:tcBorders>
            <w:noWrap/>
            <w:vAlign w:val="center"/>
          </w:tcPr>
          <w:p w14:paraId="2EB03CA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1427</w:t>
            </w:r>
          </w:p>
        </w:tc>
        <w:tc>
          <w:tcPr>
            <w:tcW w:w="1654" w:type="dxa"/>
            <w:tcBorders>
              <w:top w:val="nil"/>
              <w:left w:val="nil"/>
              <w:bottom w:val="single" w:sz="4" w:space="0" w:color="auto"/>
              <w:right w:val="single" w:sz="4" w:space="0" w:color="auto"/>
            </w:tcBorders>
            <w:noWrap/>
            <w:vAlign w:val="center"/>
          </w:tcPr>
          <w:p w14:paraId="3A13578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154</w:t>
            </w:r>
          </w:p>
        </w:tc>
        <w:tc>
          <w:tcPr>
            <w:tcW w:w="1716" w:type="dxa"/>
            <w:tcBorders>
              <w:top w:val="nil"/>
              <w:left w:val="nil"/>
              <w:bottom w:val="single" w:sz="4" w:space="0" w:color="auto"/>
              <w:right w:val="single" w:sz="4" w:space="0" w:color="auto"/>
            </w:tcBorders>
            <w:noWrap/>
            <w:vAlign w:val="center"/>
          </w:tcPr>
          <w:p w14:paraId="13121B8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10.79%</w:t>
            </w:r>
          </w:p>
        </w:tc>
      </w:tr>
      <w:tr w:rsidR="0050672C" w:rsidRPr="00CB63E4" w14:paraId="1818FFE1" w14:textId="77777777" w:rsidTr="002F0411">
        <w:trPr>
          <w:trHeight w:val="285"/>
        </w:trPr>
        <w:tc>
          <w:tcPr>
            <w:tcW w:w="1650" w:type="dxa"/>
            <w:tcBorders>
              <w:top w:val="nil"/>
              <w:left w:val="nil"/>
              <w:bottom w:val="single" w:sz="4" w:space="0" w:color="auto"/>
              <w:right w:val="single" w:sz="4" w:space="0" w:color="auto"/>
            </w:tcBorders>
            <w:noWrap/>
            <w:vAlign w:val="center"/>
          </w:tcPr>
          <w:p w14:paraId="026FE43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1548" w:type="dxa"/>
            <w:tcBorders>
              <w:top w:val="nil"/>
              <w:left w:val="nil"/>
              <w:bottom w:val="single" w:sz="4" w:space="0" w:color="auto"/>
              <w:right w:val="single" w:sz="4" w:space="0" w:color="auto"/>
            </w:tcBorders>
            <w:noWrap/>
            <w:vAlign w:val="center"/>
          </w:tcPr>
          <w:p w14:paraId="19926E6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QM9</w:t>
            </w:r>
          </w:p>
        </w:tc>
        <w:tc>
          <w:tcPr>
            <w:tcW w:w="1463" w:type="dxa"/>
            <w:tcBorders>
              <w:top w:val="nil"/>
              <w:left w:val="nil"/>
              <w:bottom w:val="single" w:sz="4" w:space="0" w:color="auto"/>
              <w:right w:val="single" w:sz="4" w:space="0" w:color="auto"/>
            </w:tcBorders>
            <w:noWrap/>
            <w:vAlign w:val="center"/>
          </w:tcPr>
          <w:p w14:paraId="21A1C17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133798</w:t>
            </w:r>
          </w:p>
        </w:tc>
        <w:tc>
          <w:tcPr>
            <w:tcW w:w="1654" w:type="dxa"/>
            <w:tcBorders>
              <w:top w:val="nil"/>
              <w:left w:val="nil"/>
              <w:bottom w:val="single" w:sz="4" w:space="0" w:color="auto"/>
              <w:right w:val="single" w:sz="4" w:space="0" w:color="auto"/>
            </w:tcBorders>
            <w:noWrap/>
            <w:vAlign w:val="center"/>
          </w:tcPr>
          <w:p w14:paraId="558768C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13998</w:t>
            </w:r>
          </w:p>
        </w:tc>
        <w:tc>
          <w:tcPr>
            <w:tcW w:w="1716" w:type="dxa"/>
            <w:tcBorders>
              <w:top w:val="nil"/>
              <w:left w:val="nil"/>
              <w:bottom w:val="single" w:sz="4" w:space="0" w:color="auto"/>
              <w:right w:val="single" w:sz="4" w:space="0" w:color="auto"/>
            </w:tcBorders>
            <w:noWrap/>
            <w:vAlign w:val="center"/>
          </w:tcPr>
          <w:p w14:paraId="46CBEB9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10.46%</w:t>
            </w:r>
          </w:p>
        </w:tc>
      </w:tr>
      <w:tr w:rsidR="0050672C" w:rsidRPr="00CB63E4" w14:paraId="5411E99F" w14:textId="77777777" w:rsidTr="002F0411">
        <w:trPr>
          <w:trHeight w:val="285"/>
        </w:trPr>
        <w:tc>
          <w:tcPr>
            <w:tcW w:w="1650" w:type="dxa"/>
            <w:tcBorders>
              <w:top w:val="nil"/>
              <w:left w:val="nil"/>
              <w:bottom w:val="single" w:sz="4" w:space="0" w:color="auto"/>
              <w:right w:val="single" w:sz="4" w:space="0" w:color="auto"/>
            </w:tcBorders>
            <w:noWrap/>
            <w:vAlign w:val="center"/>
          </w:tcPr>
          <w:p w14:paraId="121D2B4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1548" w:type="dxa"/>
            <w:tcBorders>
              <w:top w:val="nil"/>
              <w:left w:val="nil"/>
              <w:bottom w:val="single" w:sz="4" w:space="0" w:color="auto"/>
              <w:right w:val="single" w:sz="4" w:space="0" w:color="auto"/>
            </w:tcBorders>
            <w:noWrap/>
            <w:vAlign w:val="center"/>
          </w:tcPr>
          <w:p w14:paraId="0412737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ClinTox</w:t>
            </w:r>
            <w:proofErr w:type="spellEnd"/>
          </w:p>
        </w:tc>
        <w:tc>
          <w:tcPr>
            <w:tcW w:w="1463" w:type="dxa"/>
            <w:tcBorders>
              <w:top w:val="nil"/>
              <w:left w:val="nil"/>
              <w:bottom w:val="single" w:sz="4" w:space="0" w:color="auto"/>
              <w:right w:val="single" w:sz="4" w:space="0" w:color="auto"/>
            </w:tcBorders>
            <w:noWrap/>
            <w:vAlign w:val="center"/>
          </w:tcPr>
          <w:p w14:paraId="52E4CEA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1459</w:t>
            </w:r>
          </w:p>
        </w:tc>
        <w:tc>
          <w:tcPr>
            <w:tcW w:w="1654" w:type="dxa"/>
            <w:tcBorders>
              <w:top w:val="nil"/>
              <w:left w:val="nil"/>
              <w:bottom w:val="single" w:sz="4" w:space="0" w:color="auto"/>
              <w:right w:val="single" w:sz="4" w:space="0" w:color="auto"/>
            </w:tcBorders>
            <w:noWrap/>
            <w:vAlign w:val="center"/>
          </w:tcPr>
          <w:p w14:paraId="2ED8095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129</w:t>
            </w:r>
          </w:p>
        </w:tc>
        <w:tc>
          <w:tcPr>
            <w:tcW w:w="1716" w:type="dxa"/>
            <w:tcBorders>
              <w:top w:val="nil"/>
              <w:left w:val="nil"/>
              <w:bottom w:val="single" w:sz="4" w:space="0" w:color="auto"/>
              <w:right w:val="single" w:sz="4" w:space="0" w:color="auto"/>
            </w:tcBorders>
            <w:noWrap/>
            <w:vAlign w:val="center"/>
          </w:tcPr>
          <w:p w14:paraId="30EB75C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8.84%</w:t>
            </w:r>
          </w:p>
        </w:tc>
      </w:tr>
      <w:tr w:rsidR="0050672C" w:rsidRPr="00CB63E4" w14:paraId="6F2D2F4A" w14:textId="77777777" w:rsidTr="002F0411">
        <w:trPr>
          <w:trHeight w:val="285"/>
        </w:trPr>
        <w:tc>
          <w:tcPr>
            <w:tcW w:w="1650" w:type="dxa"/>
            <w:tcBorders>
              <w:top w:val="nil"/>
              <w:left w:val="nil"/>
              <w:bottom w:val="single" w:sz="4" w:space="0" w:color="auto"/>
              <w:right w:val="single" w:sz="4" w:space="0" w:color="auto"/>
            </w:tcBorders>
            <w:noWrap/>
            <w:vAlign w:val="center"/>
          </w:tcPr>
          <w:p w14:paraId="4E3C578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1548" w:type="dxa"/>
            <w:tcBorders>
              <w:top w:val="nil"/>
              <w:left w:val="nil"/>
              <w:bottom w:val="single" w:sz="4" w:space="0" w:color="auto"/>
              <w:right w:val="single" w:sz="4" w:space="0" w:color="auto"/>
            </w:tcBorders>
            <w:noWrap/>
            <w:vAlign w:val="center"/>
          </w:tcPr>
          <w:p w14:paraId="7BF7671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PDBbind</w:t>
            </w:r>
            <w:proofErr w:type="spellEnd"/>
            <w:r w:rsidRPr="00CB63E4">
              <w:rPr>
                <w:rFonts w:ascii="Times New Roman" w:eastAsia="等线" w:hAnsi="Times New Roman" w:cs="Times New Roman"/>
                <w:color w:val="000000" w:themeColor="text1"/>
                <w:kern w:val="0"/>
                <w:sz w:val="18"/>
                <w:szCs w:val="18"/>
                <w:lang w:bidi="ar"/>
              </w:rPr>
              <w:t xml:space="preserve"> (core)</w:t>
            </w:r>
          </w:p>
        </w:tc>
        <w:tc>
          <w:tcPr>
            <w:tcW w:w="1463" w:type="dxa"/>
            <w:tcBorders>
              <w:top w:val="nil"/>
              <w:left w:val="nil"/>
              <w:bottom w:val="single" w:sz="4" w:space="0" w:color="auto"/>
              <w:right w:val="single" w:sz="4" w:space="0" w:color="auto"/>
            </w:tcBorders>
            <w:noWrap/>
            <w:vAlign w:val="center"/>
          </w:tcPr>
          <w:p w14:paraId="5D3A669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174</w:t>
            </w:r>
          </w:p>
        </w:tc>
        <w:tc>
          <w:tcPr>
            <w:tcW w:w="1654" w:type="dxa"/>
            <w:tcBorders>
              <w:top w:val="nil"/>
              <w:left w:val="nil"/>
              <w:bottom w:val="single" w:sz="4" w:space="0" w:color="auto"/>
              <w:right w:val="single" w:sz="4" w:space="0" w:color="auto"/>
            </w:tcBorders>
            <w:noWrap/>
            <w:vAlign w:val="center"/>
          </w:tcPr>
          <w:p w14:paraId="247DD61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10</w:t>
            </w:r>
          </w:p>
        </w:tc>
        <w:tc>
          <w:tcPr>
            <w:tcW w:w="1716" w:type="dxa"/>
            <w:tcBorders>
              <w:top w:val="nil"/>
              <w:left w:val="nil"/>
              <w:bottom w:val="single" w:sz="4" w:space="0" w:color="auto"/>
              <w:right w:val="single" w:sz="4" w:space="0" w:color="auto"/>
            </w:tcBorders>
            <w:noWrap/>
            <w:vAlign w:val="center"/>
          </w:tcPr>
          <w:p w14:paraId="0A8A1AA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5.75%</w:t>
            </w:r>
          </w:p>
        </w:tc>
      </w:tr>
      <w:tr w:rsidR="0050672C" w:rsidRPr="00CB63E4" w14:paraId="57BDCE37" w14:textId="77777777" w:rsidTr="002F0411">
        <w:trPr>
          <w:trHeight w:val="285"/>
        </w:trPr>
        <w:tc>
          <w:tcPr>
            <w:tcW w:w="1650" w:type="dxa"/>
            <w:tcBorders>
              <w:top w:val="nil"/>
              <w:left w:val="nil"/>
              <w:bottom w:val="single" w:sz="4" w:space="0" w:color="auto"/>
              <w:right w:val="single" w:sz="4" w:space="0" w:color="auto"/>
            </w:tcBorders>
            <w:noWrap/>
            <w:vAlign w:val="center"/>
          </w:tcPr>
          <w:p w14:paraId="337C13A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1548" w:type="dxa"/>
            <w:tcBorders>
              <w:top w:val="nil"/>
              <w:left w:val="nil"/>
              <w:bottom w:val="single" w:sz="4" w:space="0" w:color="auto"/>
              <w:right w:val="single" w:sz="4" w:space="0" w:color="auto"/>
            </w:tcBorders>
            <w:noWrap/>
            <w:vAlign w:val="center"/>
          </w:tcPr>
          <w:p w14:paraId="3A0BE65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BBBP</w:t>
            </w:r>
          </w:p>
        </w:tc>
        <w:tc>
          <w:tcPr>
            <w:tcW w:w="1463" w:type="dxa"/>
            <w:tcBorders>
              <w:top w:val="nil"/>
              <w:left w:val="nil"/>
              <w:bottom w:val="single" w:sz="4" w:space="0" w:color="auto"/>
              <w:right w:val="single" w:sz="4" w:space="0" w:color="auto"/>
            </w:tcBorders>
            <w:noWrap/>
            <w:vAlign w:val="center"/>
          </w:tcPr>
          <w:p w14:paraId="759028D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1975</w:t>
            </w:r>
          </w:p>
        </w:tc>
        <w:tc>
          <w:tcPr>
            <w:tcW w:w="1654" w:type="dxa"/>
            <w:tcBorders>
              <w:top w:val="nil"/>
              <w:left w:val="nil"/>
              <w:bottom w:val="single" w:sz="4" w:space="0" w:color="auto"/>
              <w:right w:val="single" w:sz="4" w:space="0" w:color="auto"/>
            </w:tcBorders>
            <w:noWrap/>
            <w:vAlign w:val="center"/>
          </w:tcPr>
          <w:p w14:paraId="367B916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95</w:t>
            </w:r>
          </w:p>
        </w:tc>
        <w:tc>
          <w:tcPr>
            <w:tcW w:w="1716" w:type="dxa"/>
            <w:tcBorders>
              <w:top w:val="nil"/>
              <w:left w:val="nil"/>
              <w:bottom w:val="single" w:sz="4" w:space="0" w:color="auto"/>
              <w:right w:val="single" w:sz="4" w:space="0" w:color="auto"/>
            </w:tcBorders>
            <w:noWrap/>
            <w:vAlign w:val="center"/>
          </w:tcPr>
          <w:p w14:paraId="3D85F96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4.81%</w:t>
            </w:r>
          </w:p>
        </w:tc>
      </w:tr>
      <w:tr w:rsidR="0050672C" w:rsidRPr="00CB63E4" w14:paraId="407E1D97" w14:textId="77777777" w:rsidTr="002F0411">
        <w:trPr>
          <w:trHeight w:val="285"/>
        </w:trPr>
        <w:tc>
          <w:tcPr>
            <w:tcW w:w="1650" w:type="dxa"/>
            <w:tcBorders>
              <w:top w:val="nil"/>
              <w:left w:val="nil"/>
              <w:bottom w:val="single" w:sz="4" w:space="0" w:color="auto"/>
              <w:right w:val="single" w:sz="4" w:space="0" w:color="auto"/>
            </w:tcBorders>
            <w:noWrap/>
            <w:vAlign w:val="center"/>
          </w:tcPr>
          <w:p w14:paraId="279D001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1548" w:type="dxa"/>
            <w:tcBorders>
              <w:top w:val="nil"/>
              <w:left w:val="nil"/>
              <w:bottom w:val="single" w:sz="4" w:space="0" w:color="auto"/>
              <w:right w:val="single" w:sz="4" w:space="0" w:color="auto"/>
            </w:tcBorders>
            <w:noWrap/>
            <w:vAlign w:val="center"/>
          </w:tcPr>
          <w:p w14:paraId="4D19C36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HIV</w:t>
            </w:r>
          </w:p>
        </w:tc>
        <w:tc>
          <w:tcPr>
            <w:tcW w:w="1463" w:type="dxa"/>
            <w:tcBorders>
              <w:top w:val="nil"/>
              <w:left w:val="nil"/>
              <w:bottom w:val="single" w:sz="4" w:space="0" w:color="auto"/>
              <w:right w:val="single" w:sz="4" w:space="0" w:color="auto"/>
            </w:tcBorders>
            <w:noWrap/>
            <w:vAlign w:val="center"/>
          </w:tcPr>
          <w:p w14:paraId="706A3E1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41127</w:t>
            </w:r>
          </w:p>
        </w:tc>
        <w:tc>
          <w:tcPr>
            <w:tcW w:w="1654" w:type="dxa"/>
            <w:tcBorders>
              <w:top w:val="nil"/>
              <w:left w:val="nil"/>
              <w:bottom w:val="single" w:sz="4" w:space="0" w:color="auto"/>
              <w:right w:val="single" w:sz="4" w:space="0" w:color="auto"/>
            </w:tcBorders>
            <w:noWrap/>
            <w:vAlign w:val="center"/>
          </w:tcPr>
          <w:p w14:paraId="36DC622D"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1582</w:t>
            </w:r>
          </w:p>
        </w:tc>
        <w:tc>
          <w:tcPr>
            <w:tcW w:w="1716" w:type="dxa"/>
            <w:tcBorders>
              <w:top w:val="nil"/>
              <w:left w:val="nil"/>
              <w:bottom w:val="single" w:sz="4" w:space="0" w:color="auto"/>
              <w:right w:val="single" w:sz="4" w:space="0" w:color="auto"/>
            </w:tcBorders>
            <w:noWrap/>
            <w:vAlign w:val="center"/>
          </w:tcPr>
          <w:p w14:paraId="3FAF3B2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3.85%</w:t>
            </w:r>
          </w:p>
        </w:tc>
      </w:tr>
      <w:tr w:rsidR="0050672C" w:rsidRPr="00CB63E4" w14:paraId="1B252A1E" w14:textId="77777777" w:rsidTr="002F0411">
        <w:trPr>
          <w:trHeight w:val="285"/>
        </w:trPr>
        <w:tc>
          <w:tcPr>
            <w:tcW w:w="1650" w:type="dxa"/>
            <w:tcBorders>
              <w:top w:val="nil"/>
              <w:left w:val="nil"/>
              <w:bottom w:val="single" w:sz="4" w:space="0" w:color="auto"/>
              <w:right w:val="single" w:sz="4" w:space="0" w:color="auto"/>
            </w:tcBorders>
            <w:noWrap/>
            <w:vAlign w:val="center"/>
          </w:tcPr>
          <w:p w14:paraId="4142077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1548" w:type="dxa"/>
            <w:tcBorders>
              <w:top w:val="nil"/>
              <w:left w:val="nil"/>
              <w:bottom w:val="single" w:sz="4" w:space="0" w:color="auto"/>
              <w:right w:val="single" w:sz="4" w:space="0" w:color="auto"/>
            </w:tcBorders>
            <w:noWrap/>
            <w:vAlign w:val="center"/>
          </w:tcPr>
          <w:p w14:paraId="1D244ED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PCBA</w:t>
            </w:r>
          </w:p>
        </w:tc>
        <w:tc>
          <w:tcPr>
            <w:tcW w:w="1463" w:type="dxa"/>
            <w:tcBorders>
              <w:top w:val="nil"/>
              <w:left w:val="nil"/>
              <w:bottom w:val="single" w:sz="4" w:space="0" w:color="auto"/>
              <w:right w:val="single" w:sz="4" w:space="0" w:color="auto"/>
            </w:tcBorders>
            <w:noWrap/>
            <w:vAlign w:val="center"/>
          </w:tcPr>
          <w:p w14:paraId="14F28C2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437929</w:t>
            </w:r>
          </w:p>
        </w:tc>
        <w:tc>
          <w:tcPr>
            <w:tcW w:w="1654" w:type="dxa"/>
            <w:tcBorders>
              <w:top w:val="nil"/>
              <w:left w:val="nil"/>
              <w:bottom w:val="single" w:sz="4" w:space="0" w:color="auto"/>
              <w:right w:val="single" w:sz="4" w:space="0" w:color="auto"/>
            </w:tcBorders>
            <w:noWrap/>
            <w:vAlign w:val="center"/>
          </w:tcPr>
          <w:p w14:paraId="37F8083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2124</w:t>
            </w:r>
          </w:p>
        </w:tc>
        <w:tc>
          <w:tcPr>
            <w:tcW w:w="1716" w:type="dxa"/>
            <w:tcBorders>
              <w:top w:val="nil"/>
              <w:left w:val="nil"/>
              <w:bottom w:val="single" w:sz="4" w:space="0" w:color="auto"/>
              <w:right w:val="single" w:sz="4" w:space="0" w:color="auto"/>
            </w:tcBorders>
            <w:noWrap/>
            <w:vAlign w:val="center"/>
          </w:tcPr>
          <w:p w14:paraId="4160017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0.49%</w:t>
            </w:r>
          </w:p>
        </w:tc>
      </w:tr>
      <w:tr w:rsidR="0050672C" w:rsidRPr="00CB63E4" w14:paraId="5BB37458" w14:textId="77777777" w:rsidTr="002F0411">
        <w:trPr>
          <w:trHeight w:val="285"/>
        </w:trPr>
        <w:tc>
          <w:tcPr>
            <w:tcW w:w="1650" w:type="dxa"/>
            <w:tcBorders>
              <w:top w:val="nil"/>
              <w:left w:val="nil"/>
              <w:bottom w:val="single" w:sz="4" w:space="0" w:color="auto"/>
              <w:right w:val="single" w:sz="4" w:space="0" w:color="auto"/>
            </w:tcBorders>
            <w:noWrap/>
            <w:vAlign w:val="center"/>
          </w:tcPr>
          <w:p w14:paraId="7BCD8C5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1548" w:type="dxa"/>
            <w:tcBorders>
              <w:top w:val="nil"/>
              <w:left w:val="nil"/>
              <w:bottom w:val="single" w:sz="4" w:space="0" w:color="auto"/>
              <w:right w:val="single" w:sz="4" w:space="0" w:color="auto"/>
            </w:tcBorders>
            <w:noWrap/>
            <w:vAlign w:val="center"/>
          </w:tcPr>
          <w:p w14:paraId="178E2F2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BACE</w:t>
            </w:r>
          </w:p>
        </w:tc>
        <w:tc>
          <w:tcPr>
            <w:tcW w:w="1463" w:type="dxa"/>
            <w:tcBorders>
              <w:top w:val="nil"/>
              <w:left w:val="nil"/>
              <w:bottom w:val="single" w:sz="4" w:space="0" w:color="auto"/>
              <w:right w:val="single" w:sz="4" w:space="0" w:color="auto"/>
            </w:tcBorders>
            <w:noWrap/>
            <w:vAlign w:val="center"/>
          </w:tcPr>
          <w:p w14:paraId="44B4296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1513</w:t>
            </w:r>
          </w:p>
        </w:tc>
        <w:tc>
          <w:tcPr>
            <w:tcW w:w="1654" w:type="dxa"/>
            <w:tcBorders>
              <w:top w:val="nil"/>
              <w:left w:val="nil"/>
              <w:bottom w:val="single" w:sz="4" w:space="0" w:color="auto"/>
              <w:right w:val="single" w:sz="4" w:space="0" w:color="auto"/>
            </w:tcBorders>
            <w:noWrap/>
            <w:vAlign w:val="center"/>
          </w:tcPr>
          <w:p w14:paraId="4EA5821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w:t>
            </w:r>
          </w:p>
        </w:tc>
        <w:tc>
          <w:tcPr>
            <w:tcW w:w="1716" w:type="dxa"/>
            <w:tcBorders>
              <w:top w:val="nil"/>
              <w:left w:val="nil"/>
              <w:bottom w:val="single" w:sz="4" w:space="0" w:color="auto"/>
              <w:right w:val="single" w:sz="4" w:space="0" w:color="auto"/>
            </w:tcBorders>
            <w:noWrap/>
            <w:vAlign w:val="center"/>
          </w:tcPr>
          <w:p w14:paraId="3E7CFAE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0.33%</w:t>
            </w:r>
          </w:p>
        </w:tc>
      </w:tr>
      <w:tr w:rsidR="0050672C" w:rsidRPr="00CB63E4" w14:paraId="53F703B4" w14:textId="77777777" w:rsidTr="002F0411">
        <w:trPr>
          <w:trHeight w:val="285"/>
        </w:trPr>
        <w:tc>
          <w:tcPr>
            <w:tcW w:w="1650" w:type="dxa"/>
            <w:tcBorders>
              <w:top w:val="nil"/>
              <w:left w:val="nil"/>
              <w:bottom w:val="single" w:sz="4" w:space="0" w:color="auto"/>
              <w:right w:val="single" w:sz="4" w:space="0" w:color="auto"/>
            </w:tcBorders>
            <w:noWrap/>
            <w:vAlign w:val="center"/>
          </w:tcPr>
          <w:p w14:paraId="0E8345C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1548" w:type="dxa"/>
            <w:tcBorders>
              <w:top w:val="nil"/>
              <w:left w:val="nil"/>
              <w:bottom w:val="single" w:sz="4" w:space="0" w:color="auto"/>
              <w:right w:val="single" w:sz="4" w:space="0" w:color="auto"/>
            </w:tcBorders>
            <w:noWrap/>
            <w:vAlign w:val="center"/>
          </w:tcPr>
          <w:p w14:paraId="5D19067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Lipophilicity</w:t>
            </w:r>
          </w:p>
        </w:tc>
        <w:tc>
          <w:tcPr>
            <w:tcW w:w="1463" w:type="dxa"/>
            <w:tcBorders>
              <w:top w:val="nil"/>
              <w:left w:val="nil"/>
              <w:bottom w:val="single" w:sz="4" w:space="0" w:color="auto"/>
              <w:right w:val="single" w:sz="4" w:space="0" w:color="auto"/>
            </w:tcBorders>
            <w:noWrap/>
            <w:vAlign w:val="center"/>
          </w:tcPr>
          <w:p w14:paraId="241AB46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4200</w:t>
            </w:r>
          </w:p>
        </w:tc>
        <w:tc>
          <w:tcPr>
            <w:tcW w:w="1654" w:type="dxa"/>
            <w:tcBorders>
              <w:top w:val="nil"/>
              <w:left w:val="nil"/>
              <w:bottom w:val="single" w:sz="4" w:space="0" w:color="auto"/>
              <w:right w:val="single" w:sz="4" w:space="0" w:color="auto"/>
            </w:tcBorders>
            <w:noWrap/>
            <w:vAlign w:val="center"/>
          </w:tcPr>
          <w:p w14:paraId="2F88198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w:t>
            </w:r>
          </w:p>
        </w:tc>
        <w:tc>
          <w:tcPr>
            <w:tcW w:w="1716" w:type="dxa"/>
            <w:tcBorders>
              <w:top w:val="nil"/>
              <w:left w:val="nil"/>
              <w:bottom w:val="single" w:sz="4" w:space="0" w:color="auto"/>
              <w:right w:val="single" w:sz="4" w:space="0" w:color="auto"/>
            </w:tcBorders>
            <w:noWrap/>
            <w:vAlign w:val="center"/>
          </w:tcPr>
          <w:p w14:paraId="134833C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0.12%</w:t>
            </w:r>
          </w:p>
        </w:tc>
      </w:tr>
      <w:tr w:rsidR="0050672C" w:rsidRPr="00CB63E4" w14:paraId="0ADD84CC" w14:textId="77777777" w:rsidTr="002F0411">
        <w:trPr>
          <w:trHeight w:val="285"/>
        </w:trPr>
        <w:tc>
          <w:tcPr>
            <w:tcW w:w="1650" w:type="dxa"/>
            <w:tcBorders>
              <w:top w:val="nil"/>
              <w:left w:val="nil"/>
              <w:bottom w:val="single" w:sz="4" w:space="0" w:color="auto"/>
              <w:right w:val="single" w:sz="4" w:space="0" w:color="auto"/>
            </w:tcBorders>
            <w:noWrap/>
            <w:vAlign w:val="center"/>
          </w:tcPr>
          <w:p w14:paraId="4655E2E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1548" w:type="dxa"/>
            <w:tcBorders>
              <w:top w:val="nil"/>
              <w:left w:val="nil"/>
              <w:bottom w:val="single" w:sz="4" w:space="0" w:color="auto"/>
              <w:right w:val="single" w:sz="4" w:space="0" w:color="auto"/>
            </w:tcBorders>
            <w:noWrap/>
            <w:vAlign w:val="center"/>
          </w:tcPr>
          <w:p w14:paraId="67EDF7C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MUV</w:t>
            </w:r>
          </w:p>
        </w:tc>
        <w:tc>
          <w:tcPr>
            <w:tcW w:w="1463" w:type="dxa"/>
            <w:tcBorders>
              <w:top w:val="nil"/>
              <w:left w:val="nil"/>
              <w:bottom w:val="single" w:sz="4" w:space="0" w:color="auto"/>
              <w:right w:val="single" w:sz="4" w:space="0" w:color="auto"/>
            </w:tcBorders>
            <w:noWrap/>
            <w:vAlign w:val="center"/>
          </w:tcPr>
          <w:p w14:paraId="2F477AE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93087</w:t>
            </w:r>
          </w:p>
        </w:tc>
        <w:tc>
          <w:tcPr>
            <w:tcW w:w="1654" w:type="dxa"/>
            <w:tcBorders>
              <w:top w:val="nil"/>
              <w:left w:val="nil"/>
              <w:bottom w:val="single" w:sz="4" w:space="0" w:color="auto"/>
              <w:right w:val="single" w:sz="4" w:space="0" w:color="auto"/>
            </w:tcBorders>
            <w:noWrap/>
            <w:vAlign w:val="center"/>
          </w:tcPr>
          <w:p w14:paraId="644332E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106</w:t>
            </w:r>
          </w:p>
        </w:tc>
        <w:tc>
          <w:tcPr>
            <w:tcW w:w="1716" w:type="dxa"/>
            <w:tcBorders>
              <w:top w:val="nil"/>
              <w:left w:val="nil"/>
              <w:bottom w:val="single" w:sz="4" w:space="0" w:color="auto"/>
              <w:right w:val="single" w:sz="4" w:space="0" w:color="auto"/>
            </w:tcBorders>
            <w:noWrap/>
            <w:vAlign w:val="center"/>
          </w:tcPr>
          <w:p w14:paraId="0103D3B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0.11%</w:t>
            </w:r>
          </w:p>
        </w:tc>
      </w:tr>
    </w:tbl>
    <w:p w14:paraId="261D95F9" w14:textId="77777777" w:rsidR="0050672C" w:rsidRPr="00CB63E4" w:rsidRDefault="0050672C" w:rsidP="0050672C">
      <w:pPr>
        <w:pStyle w:val="a3"/>
        <w:widowControl/>
        <w:adjustRightInd w:val="0"/>
        <w:snapToGrid w:val="0"/>
        <w:spacing w:beforeAutospacing="0" w:afterAutospacing="0" w:line="360" w:lineRule="auto"/>
        <w:jc w:val="both"/>
        <w:rPr>
          <w:rFonts w:ascii="Times New Roman" w:hAnsi="Times New Roman"/>
          <w:b/>
          <w:bCs/>
          <w:color w:val="000000" w:themeColor="text1"/>
        </w:rPr>
      </w:pPr>
    </w:p>
    <w:p w14:paraId="6F3C48DE" w14:textId="56122623" w:rsidR="007C6E6C" w:rsidRPr="004B4A6F" w:rsidRDefault="00F7243E" w:rsidP="00F7243E">
      <w:pPr>
        <w:pStyle w:val="a3"/>
        <w:keepNext/>
        <w:widowControl/>
        <w:adjustRightInd w:val="0"/>
        <w:snapToGrid w:val="0"/>
        <w:spacing w:beforeAutospacing="0" w:afterAutospacing="0" w:line="360" w:lineRule="auto"/>
        <w:jc w:val="both"/>
        <w:rPr>
          <w:rFonts w:ascii="Times New Roman" w:hAnsi="Times New Roman"/>
          <w:color w:val="000000" w:themeColor="text1"/>
        </w:rPr>
      </w:pPr>
      <w:r w:rsidRPr="004B4A6F">
        <w:rPr>
          <w:rFonts w:ascii="Times New Roman" w:hAnsi="Times New Roman"/>
          <w:b/>
          <w:bCs/>
          <w:color w:val="000000" w:themeColor="text1"/>
        </w:rPr>
        <w:t xml:space="preserve">Supplementary Table 2. Prevalence of no-scaffold molecules across Deep-PK/ADMET tasks. </w:t>
      </w:r>
      <w:r w:rsidRPr="004B4A6F">
        <w:rPr>
          <w:rFonts w:ascii="Times New Roman" w:hAnsi="Times New Roman"/>
          <w:color w:val="000000" w:themeColor="text1"/>
        </w:rPr>
        <w:t>The table reports the final molecule count after preprocessing, the number of molecules with an empty Bemis–Murcko scaffold representation, and the no-scaffold proportion for each task.</w:t>
      </w:r>
    </w:p>
    <w:tbl>
      <w:tblPr>
        <w:tblW w:w="4657" w:type="pct"/>
        <w:tblInd w:w="250" w:type="dxa"/>
        <w:tblLayout w:type="fixed"/>
        <w:tblLook w:val="04A0" w:firstRow="1" w:lastRow="0" w:firstColumn="1" w:lastColumn="0" w:noHBand="0" w:noVBand="1"/>
      </w:tblPr>
      <w:tblGrid>
        <w:gridCol w:w="1375"/>
        <w:gridCol w:w="3303"/>
        <w:gridCol w:w="994"/>
        <w:gridCol w:w="1133"/>
        <w:gridCol w:w="1132"/>
      </w:tblGrid>
      <w:tr w:rsidR="0050672C" w:rsidRPr="00CB63E4" w14:paraId="6EE38180" w14:textId="77777777" w:rsidTr="00911029">
        <w:trPr>
          <w:trHeight w:val="285"/>
          <w:tblHeader/>
        </w:trPr>
        <w:tc>
          <w:tcPr>
            <w:tcW w:w="866" w:type="pct"/>
            <w:tcBorders>
              <w:top w:val="single" w:sz="4" w:space="0" w:color="auto"/>
              <w:left w:val="single" w:sz="4" w:space="0" w:color="auto"/>
              <w:bottom w:val="single" w:sz="4" w:space="0" w:color="auto"/>
              <w:right w:val="single" w:sz="4" w:space="0" w:color="auto"/>
            </w:tcBorders>
            <w:shd w:val="clear" w:color="auto" w:fill="1F4E78"/>
            <w:noWrap/>
            <w:vAlign w:val="center"/>
          </w:tcPr>
          <w:p w14:paraId="76C47248" w14:textId="77777777" w:rsidR="007C6E6C" w:rsidRPr="00CB63E4" w:rsidRDefault="007C6E6C" w:rsidP="002F0411">
            <w:pPr>
              <w:widowControl/>
              <w:jc w:val="center"/>
              <w:textAlignment w:val="center"/>
              <w:rPr>
                <w:rFonts w:ascii="Times New Roman" w:eastAsia="等线" w:hAnsi="Times New Roman" w:cs="Times New Roman"/>
                <w:b/>
                <w:bCs/>
                <w:color w:val="FFFFFF" w:themeColor="background1"/>
                <w:sz w:val="18"/>
                <w:szCs w:val="18"/>
              </w:rPr>
            </w:pPr>
            <w:bookmarkStart w:id="0" w:name="_Hlk229667367"/>
            <w:r w:rsidRPr="00CB63E4">
              <w:rPr>
                <w:rFonts w:ascii="Times New Roman" w:eastAsia="等线" w:hAnsi="Times New Roman" w:cs="Times New Roman"/>
                <w:b/>
                <w:bCs/>
                <w:color w:val="FFFFFF" w:themeColor="background1"/>
                <w:kern w:val="0"/>
                <w:sz w:val="18"/>
                <w:szCs w:val="18"/>
                <w:lang w:bidi="ar"/>
              </w:rPr>
              <w:t>Prediction type</w:t>
            </w:r>
          </w:p>
        </w:tc>
        <w:tc>
          <w:tcPr>
            <w:tcW w:w="2081" w:type="pct"/>
            <w:tcBorders>
              <w:top w:val="single" w:sz="4" w:space="0" w:color="auto"/>
              <w:left w:val="nil"/>
              <w:bottom w:val="single" w:sz="4" w:space="0" w:color="auto"/>
              <w:right w:val="single" w:sz="4" w:space="0" w:color="auto"/>
            </w:tcBorders>
            <w:shd w:val="clear" w:color="auto" w:fill="1F4E78"/>
            <w:noWrap/>
            <w:vAlign w:val="center"/>
          </w:tcPr>
          <w:p w14:paraId="69611F87" w14:textId="77777777" w:rsidR="007C6E6C" w:rsidRPr="00CB63E4" w:rsidRDefault="007C6E6C" w:rsidP="002F0411">
            <w:pPr>
              <w:widowControl/>
              <w:jc w:val="center"/>
              <w:textAlignment w:val="center"/>
              <w:rPr>
                <w:rFonts w:ascii="Times New Roman" w:eastAsia="等线" w:hAnsi="Times New Roman" w:cs="Times New Roman"/>
                <w:b/>
                <w:bCs/>
                <w:color w:val="FFFFFF" w:themeColor="background1"/>
                <w:sz w:val="18"/>
                <w:szCs w:val="18"/>
              </w:rPr>
            </w:pPr>
            <w:r w:rsidRPr="00CB63E4">
              <w:rPr>
                <w:rFonts w:ascii="Times New Roman" w:eastAsia="等线" w:hAnsi="Times New Roman" w:cs="Times New Roman"/>
                <w:b/>
                <w:bCs/>
                <w:color w:val="FFFFFF" w:themeColor="background1"/>
                <w:kern w:val="0"/>
                <w:sz w:val="18"/>
                <w:szCs w:val="18"/>
                <w:lang w:bidi="ar"/>
              </w:rPr>
              <w:t>Dataset</w:t>
            </w:r>
          </w:p>
        </w:tc>
        <w:tc>
          <w:tcPr>
            <w:tcW w:w="626" w:type="pct"/>
            <w:tcBorders>
              <w:top w:val="single" w:sz="4" w:space="0" w:color="auto"/>
              <w:left w:val="nil"/>
              <w:bottom w:val="single" w:sz="4" w:space="0" w:color="auto"/>
              <w:right w:val="single" w:sz="4" w:space="0" w:color="auto"/>
            </w:tcBorders>
            <w:shd w:val="clear" w:color="auto" w:fill="1F4E78"/>
            <w:noWrap/>
            <w:vAlign w:val="center"/>
          </w:tcPr>
          <w:p w14:paraId="4E03631F" w14:textId="77777777" w:rsidR="007C6E6C" w:rsidRPr="00CB63E4" w:rsidRDefault="007C6E6C" w:rsidP="002F0411">
            <w:pPr>
              <w:widowControl/>
              <w:jc w:val="center"/>
              <w:textAlignment w:val="center"/>
              <w:rPr>
                <w:rFonts w:ascii="Times New Roman" w:eastAsia="等线" w:hAnsi="Times New Roman" w:cs="Times New Roman"/>
                <w:b/>
                <w:bCs/>
                <w:color w:val="FFFFFF" w:themeColor="background1"/>
                <w:sz w:val="18"/>
                <w:szCs w:val="18"/>
              </w:rPr>
            </w:pPr>
            <w:r w:rsidRPr="00CB63E4">
              <w:rPr>
                <w:rFonts w:ascii="Times New Roman" w:eastAsia="等线" w:hAnsi="Times New Roman" w:cs="Times New Roman"/>
                <w:b/>
                <w:bCs/>
                <w:color w:val="FFFFFF" w:themeColor="background1"/>
                <w:kern w:val="0"/>
                <w:sz w:val="18"/>
                <w:szCs w:val="18"/>
                <w:lang w:bidi="ar"/>
              </w:rPr>
              <w:t>Total Molecules</w:t>
            </w:r>
          </w:p>
        </w:tc>
        <w:tc>
          <w:tcPr>
            <w:tcW w:w="714" w:type="pct"/>
            <w:tcBorders>
              <w:top w:val="single" w:sz="4" w:space="0" w:color="auto"/>
              <w:left w:val="nil"/>
              <w:bottom w:val="single" w:sz="4" w:space="0" w:color="auto"/>
              <w:right w:val="single" w:sz="4" w:space="0" w:color="auto"/>
            </w:tcBorders>
            <w:shd w:val="clear" w:color="auto" w:fill="1F4E78"/>
            <w:noWrap/>
            <w:vAlign w:val="center"/>
          </w:tcPr>
          <w:p w14:paraId="72FE775F" w14:textId="77777777" w:rsidR="007C6E6C" w:rsidRPr="00CB63E4" w:rsidRDefault="007C6E6C" w:rsidP="002F0411">
            <w:pPr>
              <w:widowControl/>
              <w:jc w:val="center"/>
              <w:textAlignment w:val="center"/>
              <w:rPr>
                <w:rFonts w:ascii="Times New Roman" w:eastAsia="等线" w:hAnsi="Times New Roman" w:cs="Times New Roman"/>
                <w:b/>
                <w:bCs/>
                <w:color w:val="FFFFFF" w:themeColor="background1"/>
                <w:sz w:val="18"/>
                <w:szCs w:val="18"/>
              </w:rPr>
            </w:pPr>
            <w:r w:rsidRPr="00CB63E4">
              <w:rPr>
                <w:rFonts w:ascii="Times New Roman" w:eastAsia="等线" w:hAnsi="Times New Roman" w:cs="Times New Roman"/>
                <w:b/>
                <w:bCs/>
                <w:color w:val="FFFFFF" w:themeColor="background1"/>
                <w:kern w:val="0"/>
                <w:sz w:val="18"/>
                <w:szCs w:val="18"/>
                <w:lang w:bidi="ar"/>
              </w:rPr>
              <w:t>No-scaffold Molecules</w:t>
            </w:r>
          </w:p>
        </w:tc>
        <w:tc>
          <w:tcPr>
            <w:tcW w:w="713" w:type="pct"/>
            <w:tcBorders>
              <w:top w:val="single" w:sz="4" w:space="0" w:color="auto"/>
              <w:left w:val="nil"/>
              <w:bottom w:val="single" w:sz="4" w:space="0" w:color="auto"/>
              <w:right w:val="single" w:sz="4" w:space="0" w:color="auto"/>
            </w:tcBorders>
            <w:shd w:val="clear" w:color="auto" w:fill="1F4E78"/>
            <w:noWrap/>
            <w:vAlign w:val="center"/>
          </w:tcPr>
          <w:p w14:paraId="273672EC" w14:textId="77777777" w:rsidR="007C6E6C" w:rsidRPr="00CB63E4" w:rsidRDefault="007C6E6C" w:rsidP="002F0411">
            <w:pPr>
              <w:widowControl/>
              <w:jc w:val="center"/>
              <w:textAlignment w:val="center"/>
              <w:rPr>
                <w:rFonts w:ascii="Times New Roman" w:eastAsia="等线" w:hAnsi="Times New Roman" w:cs="Times New Roman"/>
                <w:b/>
                <w:bCs/>
                <w:color w:val="FFFFFF" w:themeColor="background1"/>
                <w:sz w:val="18"/>
                <w:szCs w:val="18"/>
              </w:rPr>
            </w:pPr>
            <w:r w:rsidRPr="00CB63E4">
              <w:rPr>
                <w:rFonts w:ascii="Times New Roman" w:eastAsia="等线" w:hAnsi="Times New Roman" w:cs="Times New Roman"/>
                <w:b/>
                <w:bCs/>
                <w:color w:val="FFFFFF" w:themeColor="background1"/>
                <w:kern w:val="0"/>
                <w:sz w:val="18"/>
                <w:szCs w:val="18"/>
                <w:lang w:bidi="ar"/>
              </w:rPr>
              <w:t>No-scaffold Proportion</w:t>
            </w:r>
          </w:p>
        </w:tc>
      </w:tr>
      <w:bookmarkEnd w:id="0"/>
      <w:tr w:rsidR="0050672C" w:rsidRPr="00CB63E4" w14:paraId="52B72487"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28EC0D6D"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02CBE73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Hydration energy</w:t>
            </w:r>
          </w:p>
        </w:tc>
        <w:tc>
          <w:tcPr>
            <w:tcW w:w="626" w:type="pct"/>
            <w:tcBorders>
              <w:top w:val="nil"/>
              <w:left w:val="nil"/>
              <w:bottom w:val="single" w:sz="4" w:space="0" w:color="auto"/>
              <w:right w:val="single" w:sz="4" w:space="0" w:color="auto"/>
            </w:tcBorders>
            <w:noWrap/>
            <w:vAlign w:val="center"/>
          </w:tcPr>
          <w:p w14:paraId="6372E46D"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640</w:t>
            </w:r>
          </w:p>
        </w:tc>
        <w:tc>
          <w:tcPr>
            <w:tcW w:w="714" w:type="pct"/>
            <w:tcBorders>
              <w:top w:val="nil"/>
              <w:left w:val="nil"/>
              <w:bottom w:val="single" w:sz="4" w:space="0" w:color="auto"/>
              <w:right w:val="single" w:sz="4" w:space="0" w:color="auto"/>
            </w:tcBorders>
            <w:noWrap/>
            <w:vAlign w:val="center"/>
          </w:tcPr>
          <w:p w14:paraId="49B21E9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318</w:t>
            </w:r>
          </w:p>
        </w:tc>
        <w:tc>
          <w:tcPr>
            <w:tcW w:w="713" w:type="pct"/>
            <w:tcBorders>
              <w:top w:val="nil"/>
              <w:left w:val="nil"/>
              <w:bottom w:val="single" w:sz="4" w:space="0" w:color="auto"/>
              <w:right w:val="single" w:sz="4" w:space="0" w:color="auto"/>
            </w:tcBorders>
            <w:noWrap/>
            <w:vAlign w:val="center"/>
          </w:tcPr>
          <w:p w14:paraId="514B598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49.69%</w:t>
            </w:r>
          </w:p>
        </w:tc>
      </w:tr>
      <w:tr w:rsidR="0050672C" w:rsidRPr="00CB63E4" w14:paraId="33047FD0"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701329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63FFE6F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Boiling point</w:t>
            </w:r>
          </w:p>
        </w:tc>
        <w:tc>
          <w:tcPr>
            <w:tcW w:w="626" w:type="pct"/>
            <w:tcBorders>
              <w:top w:val="nil"/>
              <w:left w:val="nil"/>
              <w:bottom w:val="single" w:sz="4" w:space="0" w:color="auto"/>
              <w:right w:val="single" w:sz="4" w:space="0" w:color="auto"/>
            </w:tcBorders>
            <w:noWrap/>
            <w:vAlign w:val="center"/>
          </w:tcPr>
          <w:p w14:paraId="6B4C461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5402</w:t>
            </w:r>
          </w:p>
        </w:tc>
        <w:tc>
          <w:tcPr>
            <w:tcW w:w="714" w:type="pct"/>
            <w:tcBorders>
              <w:top w:val="nil"/>
              <w:left w:val="nil"/>
              <w:bottom w:val="single" w:sz="4" w:space="0" w:color="auto"/>
              <w:right w:val="single" w:sz="4" w:space="0" w:color="auto"/>
            </w:tcBorders>
            <w:noWrap/>
            <w:vAlign w:val="center"/>
          </w:tcPr>
          <w:p w14:paraId="682A525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2652</w:t>
            </w:r>
          </w:p>
        </w:tc>
        <w:tc>
          <w:tcPr>
            <w:tcW w:w="713" w:type="pct"/>
            <w:tcBorders>
              <w:top w:val="nil"/>
              <w:left w:val="nil"/>
              <w:bottom w:val="single" w:sz="4" w:space="0" w:color="auto"/>
              <w:right w:val="single" w:sz="4" w:space="0" w:color="auto"/>
            </w:tcBorders>
            <w:noWrap/>
            <w:vAlign w:val="center"/>
          </w:tcPr>
          <w:p w14:paraId="3AA6FB5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49.09%</w:t>
            </w:r>
          </w:p>
        </w:tc>
      </w:tr>
      <w:tr w:rsidR="0050672C" w:rsidRPr="00CB63E4" w14:paraId="4DE7871B"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4EA80E2D"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2034B65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logVP</w:t>
            </w:r>
            <w:proofErr w:type="spellEnd"/>
            <w:r w:rsidRPr="00CB63E4">
              <w:rPr>
                <w:rFonts w:ascii="Times New Roman" w:eastAsia="等线" w:hAnsi="Times New Roman" w:cs="Times New Roman"/>
                <w:color w:val="000000" w:themeColor="text1"/>
                <w:kern w:val="0"/>
                <w:sz w:val="18"/>
                <w:szCs w:val="18"/>
                <w:lang w:bidi="ar"/>
              </w:rPr>
              <w:t xml:space="preserve"> (vapor pressure)</w:t>
            </w:r>
          </w:p>
        </w:tc>
        <w:tc>
          <w:tcPr>
            <w:tcW w:w="626" w:type="pct"/>
            <w:tcBorders>
              <w:top w:val="nil"/>
              <w:left w:val="nil"/>
              <w:bottom w:val="single" w:sz="4" w:space="0" w:color="auto"/>
              <w:right w:val="single" w:sz="4" w:space="0" w:color="auto"/>
            </w:tcBorders>
            <w:noWrap/>
            <w:vAlign w:val="center"/>
          </w:tcPr>
          <w:p w14:paraId="21448B0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2692</w:t>
            </w:r>
          </w:p>
        </w:tc>
        <w:tc>
          <w:tcPr>
            <w:tcW w:w="714" w:type="pct"/>
            <w:tcBorders>
              <w:top w:val="nil"/>
              <w:left w:val="nil"/>
              <w:bottom w:val="single" w:sz="4" w:space="0" w:color="auto"/>
              <w:right w:val="single" w:sz="4" w:space="0" w:color="auto"/>
            </w:tcBorders>
            <w:noWrap/>
            <w:vAlign w:val="center"/>
          </w:tcPr>
          <w:p w14:paraId="5D95D6A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1226</w:t>
            </w:r>
          </w:p>
        </w:tc>
        <w:tc>
          <w:tcPr>
            <w:tcW w:w="713" w:type="pct"/>
            <w:tcBorders>
              <w:top w:val="nil"/>
              <w:left w:val="nil"/>
              <w:bottom w:val="single" w:sz="4" w:space="0" w:color="auto"/>
              <w:right w:val="single" w:sz="4" w:space="0" w:color="auto"/>
            </w:tcBorders>
            <w:noWrap/>
            <w:vAlign w:val="center"/>
          </w:tcPr>
          <w:p w14:paraId="585848A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45.54%</w:t>
            </w:r>
          </w:p>
        </w:tc>
      </w:tr>
      <w:tr w:rsidR="0050672C" w:rsidRPr="00CB63E4" w14:paraId="00F33233"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4636F43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4544DBC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Tetraphymena</w:t>
            </w:r>
            <w:proofErr w:type="spellEnd"/>
            <w:r w:rsidRPr="00CB63E4">
              <w:rPr>
                <w:rFonts w:ascii="Times New Roman" w:eastAsia="等线" w:hAnsi="Times New Roman" w:cs="Times New Roman"/>
                <w:color w:val="000000" w:themeColor="text1"/>
                <w:kern w:val="0"/>
                <w:sz w:val="18"/>
                <w:szCs w:val="18"/>
                <w:lang w:bidi="ar"/>
              </w:rPr>
              <w:t xml:space="preserve"> pyriformis</w:t>
            </w:r>
          </w:p>
        </w:tc>
        <w:tc>
          <w:tcPr>
            <w:tcW w:w="626" w:type="pct"/>
            <w:tcBorders>
              <w:top w:val="nil"/>
              <w:left w:val="nil"/>
              <w:bottom w:val="single" w:sz="4" w:space="0" w:color="auto"/>
              <w:right w:val="single" w:sz="4" w:space="0" w:color="auto"/>
            </w:tcBorders>
            <w:noWrap/>
            <w:vAlign w:val="center"/>
          </w:tcPr>
          <w:p w14:paraId="7DAFE7F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1745</w:t>
            </w:r>
          </w:p>
        </w:tc>
        <w:tc>
          <w:tcPr>
            <w:tcW w:w="714" w:type="pct"/>
            <w:tcBorders>
              <w:top w:val="nil"/>
              <w:left w:val="nil"/>
              <w:bottom w:val="single" w:sz="4" w:space="0" w:color="auto"/>
              <w:right w:val="single" w:sz="4" w:space="0" w:color="auto"/>
            </w:tcBorders>
            <w:noWrap/>
            <w:vAlign w:val="center"/>
          </w:tcPr>
          <w:p w14:paraId="6062A89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751</w:t>
            </w:r>
          </w:p>
        </w:tc>
        <w:tc>
          <w:tcPr>
            <w:tcW w:w="713" w:type="pct"/>
            <w:tcBorders>
              <w:top w:val="nil"/>
              <w:left w:val="nil"/>
              <w:bottom w:val="single" w:sz="4" w:space="0" w:color="auto"/>
              <w:right w:val="single" w:sz="4" w:space="0" w:color="auto"/>
            </w:tcBorders>
            <w:noWrap/>
            <w:vAlign w:val="center"/>
          </w:tcPr>
          <w:p w14:paraId="43E9F1E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43.04%</w:t>
            </w:r>
          </w:p>
        </w:tc>
      </w:tr>
      <w:tr w:rsidR="0050672C" w:rsidRPr="00CB63E4" w14:paraId="657573C2"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0CD96FE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0CA5915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Skin permeability</w:t>
            </w:r>
          </w:p>
        </w:tc>
        <w:tc>
          <w:tcPr>
            <w:tcW w:w="626" w:type="pct"/>
            <w:tcBorders>
              <w:top w:val="nil"/>
              <w:left w:val="nil"/>
              <w:bottom w:val="single" w:sz="4" w:space="0" w:color="auto"/>
              <w:right w:val="single" w:sz="4" w:space="0" w:color="auto"/>
            </w:tcBorders>
            <w:noWrap/>
            <w:vAlign w:val="center"/>
          </w:tcPr>
          <w:p w14:paraId="46C54E9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186</w:t>
            </w:r>
          </w:p>
        </w:tc>
        <w:tc>
          <w:tcPr>
            <w:tcW w:w="714" w:type="pct"/>
            <w:tcBorders>
              <w:top w:val="nil"/>
              <w:left w:val="nil"/>
              <w:bottom w:val="single" w:sz="4" w:space="0" w:color="auto"/>
              <w:right w:val="single" w:sz="4" w:space="0" w:color="auto"/>
            </w:tcBorders>
            <w:noWrap/>
            <w:vAlign w:val="center"/>
          </w:tcPr>
          <w:p w14:paraId="1A65F8B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74</w:t>
            </w:r>
          </w:p>
        </w:tc>
        <w:tc>
          <w:tcPr>
            <w:tcW w:w="713" w:type="pct"/>
            <w:tcBorders>
              <w:top w:val="nil"/>
              <w:left w:val="nil"/>
              <w:bottom w:val="single" w:sz="4" w:space="0" w:color="auto"/>
              <w:right w:val="single" w:sz="4" w:space="0" w:color="auto"/>
            </w:tcBorders>
            <w:noWrap/>
            <w:vAlign w:val="center"/>
          </w:tcPr>
          <w:p w14:paraId="5502BF6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39.78%</w:t>
            </w:r>
          </w:p>
        </w:tc>
      </w:tr>
      <w:tr w:rsidR="0050672C" w:rsidRPr="00CB63E4" w14:paraId="4372863B"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65E6D32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633FA52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Genetic tox (micronucleus)</w:t>
            </w:r>
          </w:p>
        </w:tc>
        <w:tc>
          <w:tcPr>
            <w:tcW w:w="626" w:type="pct"/>
            <w:tcBorders>
              <w:top w:val="nil"/>
              <w:left w:val="nil"/>
              <w:bottom w:val="single" w:sz="4" w:space="0" w:color="auto"/>
              <w:right w:val="single" w:sz="4" w:space="0" w:color="auto"/>
            </w:tcBorders>
            <w:noWrap/>
            <w:vAlign w:val="center"/>
          </w:tcPr>
          <w:p w14:paraId="1BAEF00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641</w:t>
            </w:r>
          </w:p>
        </w:tc>
        <w:tc>
          <w:tcPr>
            <w:tcW w:w="714" w:type="pct"/>
            <w:tcBorders>
              <w:top w:val="nil"/>
              <w:left w:val="nil"/>
              <w:bottom w:val="single" w:sz="4" w:space="0" w:color="auto"/>
              <w:right w:val="single" w:sz="4" w:space="0" w:color="auto"/>
            </w:tcBorders>
            <w:noWrap/>
            <w:vAlign w:val="center"/>
          </w:tcPr>
          <w:p w14:paraId="213A2A5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233</w:t>
            </w:r>
          </w:p>
        </w:tc>
        <w:tc>
          <w:tcPr>
            <w:tcW w:w="713" w:type="pct"/>
            <w:tcBorders>
              <w:top w:val="nil"/>
              <w:left w:val="nil"/>
              <w:bottom w:val="single" w:sz="4" w:space="0" w:color="auto"/>
              <w:right w:val="single" w:sz="4" w:space="0" w:color="auto"/>
            </w:tcBorders>
            <w:noWrap/>
            <w:vAlign w:val="center"/>
          </w:tcPr>
          <w:p w14:paraId="4F77D6A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36.35%</w:t>
            </w:r>
          </w:p>
        </w:tc>
      </w:tr>
      <w:tr w:rsidR="0050672C" w:rsidRPr="00CB63E4" w14:paraId="0E14F0E6"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1B945CCD"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25B8F65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Biodegradation</w:t>
            </w:r>
          </w:p>
        </w:tc>
        <w:tc>
          <w:tcPr>
            <w:tcW w:w="626" w:type="pct"/>
            <w:tcBorders>
              <w:top w:val="nil"/>
              <w:left w:val="nil"/>
              <w:bottom w:val="single" w:sz="4" w:space="0" w:color="auto"/>
              <w:right w:val="single" w:sz="4" w:space="0" w:color="auto"/>
            </w:tcBorders>
            <w:noWrap/>
            <w:vAlign w:val="center"/>
          </w:tcPr>
          <w:p w14:paraId="43D0627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1660</w:t>
            </w:r>
          </w:p>
        </w:tc>
        <w:tc>
          <w:tcPr>
            <w:tcW w:w="714" w:type="pct"/>
            <w:tcBorders>
              <w:top w:val="nil"/>
              <w:left w:val="nil"/>
              <w:bottom w:val="single" w:sz="4" w:space="0" w:color="auto"/>
              <w:right w:val="single" w:sz="4" w:space="0" w:color="auto"/>
            </w:tcBorders>
            <w:noWrap/>
            <w:vAlign w:val="center"/>
          </w:tcPr>
          <w:p w14:paraId="2C5D714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589</w:t>
            </w:r>
          </w:p>
        </w:tc>
        <w:tc>
          <w:tcPr>
            <w:tcW w:w="713" w:type="pct"/>
            <w:tcBorders>
              <w:top w:val="nil"/>
              <w:left w:val="nil"/>
              <w:bottom w:val="single" w:sz="4" w:space="0" w:color="auto"/>
              <w:right w:val="single" w:sz="4" w:space="0" w:color="auto"/>
            </w:tcBorders>
            <w:noWrap/>
            <w:vAlign w:val="center"/>
          </w:tcPr>
          <w:p w14:paraId="17CF7DA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35.48%</w:t>
            </w:r>
          </w:p>
        </w:tc>
      </w:tr>
      <w:tr w:rsidR="0050672C" w:rsidRPr="00CB63E4" w14:paraId="63298EDE"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46A70F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127D4DB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Marine tox (Fathead minnow)</w:t>
            </w:r>
          </w:p>
        </w:tc>
        <w:tc>
          <w:tcPr>
            <w:tcW w:w="626" w:type="pct"/>
            <w:tcBorders>
              <w:top w:val="nil"/>
              <w:left w:val="nil"/>
              <w:bottom w:val="single" w:sz="4" w:space="0" w:color="auto"/>
              <w:right w:val="single" w:sz="4" w:space="0" w:color="auto"/>
            </w:tcBorders>
            <w:noWrap/>
            <w:vAlign w:val="center"/>
          </w:tcPr>
          <w:p w14:paraId="6C1A201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867</w:t>
            </w:r>
          </w:p>
        </w:tc>
        <w:tc>
          <w:tcPr>
            <w:tcW w:w="714" w:type="pct"/>
            <w:tcBorders>
              <w:top w:val="nil"/>
              <w:left w:val="nil"/>
              <w:bottom w:val="single" w:sz="4" w:space="0" w:color="auto"/>
              <w:right w:val="single" w:sz="4" w:space="0" w:color="auto"/>
            </w:tcBorders>
            <w:noWrap/>
            <w:vAlign w:val="center"/>
          </w:tcPr>
          <w:p w14:paraId="414F0E2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295</w:t>
            </w:r>
          </w:p>
        </w:tc>
        <w:tc>
          <w:tcPr>
            <w:tcW w:w="713" w:type="pct"/>
            <w:tcBorders>
              <w:top w:val="nil"/>
              <w:left w:val="nil"/>
              <w:bottom w:val="single" w:sz="4" w:space="0" w:color="auto"/>
              <w:right w:val="single" w:sz="4" w:space="0" w:color="auto"/>
            </w:tcBorders>
            <w:noWrap/>
            <w:vAlign w:val="center"/>
          </w:tcPr>
          <w:p w14:paraId="10DF576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34.03%</w:t>
            </w:r>
          </w:p>
        </w:tc>
      </w:tr>
      <w:tr w:rsidR="0050672C" w:rsidRPr="00CB63E4" w14:paraId="02221265"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4C5AC32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50FE57B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Marine tox (Daphnia magna)</w:t>
            </w:r>
          </w:p>
        </w:tc>
        <w:tc>
          <w:tcPr>
            <w:tcW w:w="626" w:type="pct"/>
            <w:tcBorders>
              <w:top w:val="nil"/>
              <w:left w:val="nil"/>
              <w:bottom w:val="single" w:sz="4" w:space="0" w:color="auto"/>
              <w:right w:val="single" w:sz="4" w:space="0" w:color="auto"/>
            </w:tcBorders>
            <w:noWrap/>
            <w:vAlign w:val="center"/>
          </w:tcPr>
          <w:p w14:paraId="48789E9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346</w:t>
            </w:r>
          </w:p>
        </w:tc>
        <w:tc>
          <w:tcPr>
            <w:tcW w:w="714" w:type="pct"/>
            <w:tcBorders>
              <w:top w:val="nil"/>
              <w:left w:val="nil"/>
              <w:bottom w:val="single" w:sz="4" w:space="0" w:color="auto"/>
              <w:right w:val="single" w:sz="4" w:space="0" w:color="auto"/>
            </w:tcBorders>
            <w:noWrap/>
            <w:vAlign w:val="center"/>
          </w:tcPr>
          <w:p w14:paraId="5668D1C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102</w:t>
            </w:r>
          </w:p>
        </w:tc>
        <w:tc>
          <w:tcPr>
            <w:tcW w:w="713" w:type="pct"/>
            <w:tcBorders>
              <w:top w:val="nil"/>
              <w:left w:val="nil"/>
              <w:bottom w:val="single" w:sz="4" w:space="0" w:color="auto"/>
              <w:right w:val="single" w:sz="4" w:space="0" w:color="auto"/>
            </w:tcBorders>
            <w:noWrap/>
            <w:vAlign w:val="center"/>
          </w:tcPr>
          <w:p w14:paraId="0E44D81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29.48%</w:t>
            </w:r>
          </w:p>
        </w:tc>
      </w:tr>
      <w:tr w:rsidR="0050672C" w:rsidRPr="00CB63E4" w14:paraId="7712210D"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702856B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5693F39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Marine tox (crustacean)</w:t>
            </w:r>
          </w:p>
        </w:tc>
        <w:tc>
          <w:tcPr>
            <w:tcW w:w="626" w:type="pct"/>
            <w:tcBorders>
              <w:top w:val="nil"/>
              <w:left w:val="nil"/>
              <w:bottom w:val="single" w:sz="4" w:space="0" w:color="auto"/>
              <w:right w:val="single" w:sz="4" w:space="0" w:color="auto"/>
            </w:tcBorders>
            <w:noWrap/>
            <w:vAlign w:val="center"/>
          </w:tcPr>
          <w:p w14:paraId="04F4C67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666</w:t>
            </w:r>
          </w:p>
        </w:tc>
        <w:tc>
          <w:tcPr>
            <w:tcW w:w="714" w:type="pct"/>
            <w:tcBorders>
              <w:top w:val="nil"/>
              <w:left w:val="nil"/>
              <w:bottom w:val="single" w:sz="4" w:space="0" w:color="auto"/>
              <w:right w:val="single" w:sz="4" w:space="0" w:color="auto"/>
            </w:tcBorders>
            <w:noWrap/>
            <w:vAlign w:val="center"/>
          </w:tcPr>
          <w:p w14:paraId="3D6F930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192</w:t>
            </w:r>
          </w:p>
        </w:tc>
        <w:tc>
          <w:tcPr>
            <w:tcW w:w="713" w:type="pct"/>
            <w:tcBorders>
              <w:top w:val="nil"/>
              <w:left w:val="nil"/>
              <w:bottom w:val="single" w:sz="4" w:space="0" w:color="auto"/>
              <w:right w:val="single" w:sz="4" w:space="0" w:color="auto"/>
            </w:tcBorders>
            <w:noWrap/>
            <w:vAlign w:val="center"/>
          </w:tcPr>
          <w:p w14:paraId="7C6984A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28.83%</w:t>
            </w:r>
          </w:p>
        </w:tc>
      </w:tr>
      <w:tr w:rsidR="0050672C" w:rsidRPr="00CB63E4" w14:paraId="245C8E63"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0D8AE6A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24BEB8E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Skin sensitivity</w:t>
            </w:r>
          </w:p>
        </w:tc>
        <w:tc>
          <w:tcPr>
            <w:tcW w:w="626" w:type="pct"/>
            <w:tcBorders>
              <w:top w:val="nil"/>
              <w:left w:val="nil"/>
              <w:bottom w:val="single" w:sz="4" w:space="0" w:color="auto"/>
              <w:right w:val="single" w:sz="4" w:space="0" w:color="auto"/>
            </w:tcBorders>
            <w:noWrap/>
            <w:vAlign w:val="center"/>
          </w:tcPr>
          <w:p w14:paraId="43C77C6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541</w:t>
            </w:r>
          </w:p>
        </w:tc>
        <w:tc>
          <w:tcPr>
            <w:tcW w:w="714" w:type="pct"/>
            <w:tcBorders>
              <w:top w:val="nil"/>
              <w:left w:val="nil"/>
              <w:bottom w:val="single" w:sz="4" w:space="0" w:color="auto"/>
              <w:right w:val="single" w:sz="4" w:space="0" w:color="auto"/>
            </w:tcBorders>
            <w:noWrap/>
            <w:vAlign w:val="center"/>
          </w:tcPr>
          <w:p w14:paraId="56FBA3F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145</w:t>
            </w:r>
          </w:p>
        </w:tc>
        <w:tc>
          <w:tcPr>
            <w:tcW w:w="713" w:type="pct"/>
            <w:tcBorders>
              <w:top w:val="nil"/>
              <w:left w:val="nil"/>
              <w:bottom w:val="single" w:sz="4" w:space="0" w:color="auto"/>
              <w:right w:val="single" w:sz="4" w:space="0" w:color="auto"/>
            </w:tcBorders>
            <w:noWrap/>
            <w:vAlign w:val="center"/>
          </w:tcPr>
          <w:p w14:paraId="0ECE88A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26.80%</w:t>
            </w:r>
          </w:p>
        </w:tc>
      </w:tr>
      <w:tr w:rsidR="0050672C" w:rsidRPr="00CB63E4" w14:paraId="020A3D46"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0DCF362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615CFC8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NR-TR</w:t>
            </w:r>
          </w:p>
        </w:tc>
        <w:tc>
          <w:tcPr>
            <w:tcW w:w="626" w:type="pct"/>
            <w:tcBorders>
              <w:top w:val="nil"/>
              <w:left w:val="nil"/>
              <w:bottom w:val="single" w:sz="4" w:space="0" w:color="auto"/>
              <w:right w:val="single" w:sz="4" w:space="0" w:color="auto"/>
            </w:tcBorders>
            <w:noWrap/>
            <w:vAlign w:val="center"/>
          </w:tcPr>
          <w:p w14:paraId="4750FE7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5366</w:t>
            </w:r>
          </w:p>
        </w:tc>
        <w:tc>
          <w:tcPr>
            <w:tcW w:w="714" w:type="pct"/>
            <w:tcBorders>
              <w:top w:val="nil"/>
              <w:left w:val="nil"/>
              <w:bottom w:val="single" w:sz="4" w:space="0" w:color="auto"/>
              <w:right w:val="single" w:sz="4" w:space="0" w:color="auto"/>
            </w:tcBorders>
            <w:noWrap/>
            <w:vAlign w:val="center"/>
          </w:tcPr>
          <w:p w14:paraId="093F0E4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1383</w:t>
            </w:r>
          </w:p>
        </w:tc>
        <w:tc>
          <w:tcPr>
            <w:tcW w:w="713" w:type="pct"/>
            <w:tcBorders>
              <w:top w:val="nil"/>
              <w:left w:val="nil"/>
              <w:bottom w:val="single" w:sz="4" w:space="0" w:color="auto"/>
              <w:right w:val="single" w:sz="4" w:space="0" w:color="auto"/>
            </w:tcBorders>
            <w:noWrap/>
            <w:vAlign w:val="center"/>
          </w:tcPr>
          <w:p w14:paraId="531259C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25.77%</w:t>
            </w:r>
          </w:p>
        </w:tc>
      </w:tr>
      <w:tr w:rsidR="0050672C" w:rsidRPr="00CB63E4" w14:paraId="2D1DDF24"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DDD591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0FAF4C6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NR-Aromatase</w:t>
            </w:r>
          </w:p>
        </w:tc>
        <w:tc>
          <w:tcPr>
            <w:tcW w:w="626" w:type="pct"/>
            <w:tcBorders>
              <w:top w:val="nil"/>
              <w:left w:val="nil"/>
              <w:bottom w:val="single" w:sz="4" w:space="0" w:color="auto"/>
              <w:right w:val="single" w:sz="4" w:space="0" w:color="auto"/>
            </w:tcBorders>
            <w:noWrap/>
            <w:vAlign w:val="center"/>
          </w:tcPr>
          <w:p w14:paraId="5311F63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6027</w:t>
            </w:r>
          </w:p>
        </w:tc>
        <w:tc>
          <w:tcPr>
            <w:tcW w:w="714" w:type="pct"/>
            <w:tcBorders>
              <w:top w:val="nil"/>
              <w:left w:val="nil"/>
              <w:bottom w:val="single" w:sz="4" w:space="0" w:color="auto"/>
              <w:right w:val="single" w:sz="4" w:space="0" w:color="auto"/>
            </w:tcBorders>
            <w:noWrap/>
            <w:vAlign w:val="center"/>
          </w:tcPr>
          <w:p w14:paraId="7320433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1538</w:t>
            </w:r>
          </w:p>
        </w:tc>
        <w:tc>
          <w:tcPr>
            <w:tcW w:w="713" w:type="pct"/>
            <w:tcBorders>
              <w:top w:val="nil"/>
              <w:left w:val="nil"/>
              <w:bottom w:val="single" w:sz="4" w:space="0" w:color="auto"/>
              <w:right w:val="single" w:sz="4" w:space="0" w:color="auto"/>
            </w:tcBorders>
            <w:noWrap/>
            <w:vAlign w:val="center"/>
          </w:tcPr>
          <w:p w14:paraId="37BEC87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25.52%</w:t>
            </w:r>
          </w:p>
        </w:tc>
      </w:tr>
      <w:tr w:rsidR="0050672C" w:rsidRPr="00CB63E4" w14:paraId="0B8EFB98"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6E06345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7F135D7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logS</w:t>
            </w:r>
            <w:proofErr w:type="spellEnd"/>
            <w:r w:rsidRPr="00CB63E4">
              <w:rPr>
                <w:rFonts w:ascii="Times New Roman" w:eastAsia="等线" w:hAnsi="Times New Roman" w:cs="Times New Roman"/>
                <w:color w:val="000000" w:themeColor="text1"/>
                <w:kern w:val="0"/>
                <w:sz w:val="18"/>
                <w:szCs w:val="18"/>
                <w:lang w:bidi="ar"/>
              </w:rPr>
              <w:t xml:space="preserve"> (water solubility)</w:t>
            </w:r>
          </w:p>
        </w:tc>
        <w:tc>
          <w:tcPr>
            <w:tcW w:w="626" w:type="pct"/>
            <w:tcBorders>
              <w:top w:val="nil"/>
              <w:left w:val="nil"/>
              <w:bottom w:val="single" w:sz="4" w:space="0" w:color="auto"/>
              <w:right w:val="single" w:sz="4" w:space="0" w:color="auto"/>
            </w:tcBorders>
            <w:noWrap/>
            <w:vAlign w:val="center"/>
          </w:tcPr>
          <w:p w14:paraId="24F4EF4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9964</w:t>
            </w:r>
          </w:p>
        </w:tc>
        <w:tc>
          <w:tcPr>
            <w:tcW w:w="714" w:type="pct"/>
            <w:tcBorders>
              <w:top w:val="nil"/>
              <w:left w:val="nil"/>
              <w:bottom w:val="single" w:sz="4" w:space="0" w:color="auto"/>
              <w:right w:val="single" w:sz="4" w:space="0" w:color="auto"/>
            </w:tcBorders>
            <w:noWrap/>
            <w:vAlign w:val="center"/>
          </w:tcPr>
          <w:p w14:paraId="638B486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2538</w:t>
            </w:r>
          </w:p>
        </w:tc>
        <w:tc>
          <w:tcPr>
            <w:tcW w:w="713" w:type="pct"/>
            <w:tcBorders>
              <w:top w:val="nil"/>
              <w:left w:val="nil"/>
              <w:bottom w:val="single" w:sz="4" w:space="0" w:color="auto"/>
              <w:right w:val="single" w:sz="4" w:space="0" w:color="auto"/>
            </w:tcBorders>
            <w:noWrap/>
            <w:vAlign w:val="center"/>
          </w:tcPr>
          <w:p w14:paraId="7166B08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25.47%</w:t>
            </w:r>
          </w:p>
        </w:tc>
      </w:tr>
      <w:tr w:rsidR="0050672C" w:rsidRPr="00CB63E4" w14:paraId="4C855212"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0756B3E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243FD1C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SR-ARE</w:t>
            </w:r>
          </w:p>
        </w:tc>
        <w:tc>
          <w:tcPr>
            <w:tcW w:w="626" w:type="pct"/>
            <w:tcBorders>
              <w:top w:val="nil"/>
              <w:left w:val="nil"/>
              <w:bottom w:val="single" w:sz="4" w:space="0" w:color="auto"/>
              <w:right w:val="single" w:sz="4" w:space="0" w:color="auto"/>
            </w:tcBorders>
            <w:noWrap/>
            <w:vAlign w:val="center"/>
          </w:tcPr>
          <w:p w14:paraId="3F5E74C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5727</w:t>
            </w:r>
          </w:p>
        </w:tc>
        <w:tc>
          <w:tcPr>
            <w:tcW w:w="714" w:type="pct"/>
            <w:tcBorders>
              <w:top w:val="nil"/>
              <w:left w:val="nil"/>
              <w:bottom w:val="single" w:sz="4" w:space="0" w:color="auto"/>
              <w:right w:val="single" w:sz="4" w:space="0" w:color="auto"/>
            </w:tcBorders>
            <w:noWrap/>
            <w:vAlign w:val="center"/>
          </w:tcPr>
          <w:p w14:paraId="25B237A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1446</w:t>
            </w:r>
          </w:p>
        </w:tc>
        <w:tc>
          <w:tcPr>
            <w:tcW w:w="713" w:type="pct"/>
            <w:tcBorders>
              <w:top w:val="nil"/>
              <w:left w:val="nil"/>
              <w:bottom w:val="single" w:sz="4" w:space="0" w:color="auto"/>
              <w:right w:val="single" w:sz="4" w:space="0" w:color="auto"/>
            </w:tcBorders>
            <w:noWrap/>
            <w:vAlign w:val="center"/>
          </w:tcPr>
          <w:p w14:paraId="410DE13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25.25%</w:t>
            </w:r>
          </w:p>
        </w:tc>
      </w:tr>
      <w:tr w:rsidR="0050672C" w:rsidRPr="00CB63E4" w14:paraId="40BE0D44"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1AA4FA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6DBDE48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Melting point</w:t>
            </w:r>
          </w:p>
        </w:tc>
        <w:tc>
          <w:tcPr>
            <w:tcW w:w="626" w:type="pct"/>
            <w:tcBorders>
              <w:top w:val="nil"/>
              <w:left w:val="nil"/>
              <w:bottom w:val="single" w:sz="4" w:space="0" w:color="auto"/>
              <w:right w:val="single" w:sz="4" w:space="0" w:color="auto"/>
            </w:tcBorders>
            <w:noWrap/>
            <w:vAlign w:val="center"/>
          </w:tcPr>
          <w:p w14:paraId="28F5C1E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8548</w:t>
            </w:r>
          </w:p>
        </w:tc>
        <w:tc>
          <w:tcPr>
            <w:tcW w:w="714" w:type="pct"/>
            <w:tcBorders>
              <w:top w:val="nil"/>
              <w:left w:val="nil"/>
              <w:bottom w:val="single" w:sz="4" w:space="0" w:color="auto"/>
              <w:right w:val="single" w:sz="4" w:space="0" w:color="auto"/>
            </w:tcBorders>
            <w:noWrap/>
            <w:vAlign w:val="center"/>
          </w:tcPr>
          <w:p w14:paraId="771B815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2125</w:t>
            </w:r>
          </w:p>
        </w:tc>
        <w:tc>
          <w:tcPr>
            <w:tcW w:w="713" w:type="pct"/>
            <w:tcBorders>
              <w:top w:val="nil"/>
              <w:left w:val="nil"/>
              <w:bottom w:val="single" w:sz="4" w:space="0" w:color="auto"/>
              <w:right w:val="single" w:sz="4" w:space="0" w:color="auto"/>
            </w:tcBorders>
            <w:noWrap/>
            <w:vAlign w:val="center"/>
          </w:tcPr>
          <w:p w14:paraId="753D038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24.86%</w:t>
            </w:r>
          </w:p>
        </w:tc>
      </w:tr>
      <w:tr w:rsidR="0050672C" w:rsidRPr="00CB63E4" w14:paraId="129604D5"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60FC9D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36BEF24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SR-MMP</w:t>
            </w:r>
          </w:p>
        </w:tc>
        <w:tc>
          <w:tcPr>
            <w:tcW w:w="626" w:type="pct"/>
            <w:tcBorders>
              <w:top w:val="nil"/>
              <w:left w:val="nil"/>
              <w:bottom w:val="single" w:sz="4" w:space="0" w:color="auto"/>
              <w:right w:val="single" w:sz="4" w:space="0" w:color="auto"/>
            </w:tcBorders>
            <w:noWrap/>
            <w:vAlign w:val="center"/>
          </w:tcPr>
          <w:p w14:paraId="566272D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6416</w:t>
            </w:r>
          </w:p>
        </w:tc>
        <w:tc>
          <w:tcPr>
            <w:tcW w:w="714" w:type="pct"/>
            <w:tcBorders>
              <w:top w:val="nil"/>
              <w:left w:val="nil"/>
              <w:bottom w:val="single" w:sz="4" w:space="0" w:color="auto"/>
              <w:right w:val="single" w:sz="4" w:space="0" w:color="auto"/>
            </w:tcBorders>
            <w:noWrap/>
            <w:vAlign w:val="center"/>
          </w:tcPr>
          <w:p w14:paraId="19DBF65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1588</w:t>
            </w:r>
          </w:p>
        </w:tc>
        <w:tc>
          <w:tcPr>
            <w:tcW w:w="713" w:type="pct"/>
            <w:tcBorders>
              <w:top w:val="nil"/>
              <w:left w:val="nil"/>
              <w:bottom w:val="single" w:sz="4" w:space="0" w:color="auto"/>
              <w:right w:val="single" w:sz="4" w:space="0" w:color="auto"/>
            </w:tcBorders>
            <w:noWrap/>
            <w:vAlign w:val="center"/>
          </w:tcPr>
          <w:p w14:paraId="26868B2D"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24.75%</w:t>
            </w:r>
          </w:p>
        </w:tc>
      </w:tr>
      <w:tr w:rsidR="0050672C" w:rsidRPr="00CB63E4" w14:paraId="5EACCFFB"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20441DC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7037DA5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NR-ER</w:t>
            </w:r>
          </w:p>
        </w:tc>
        <w:tc>
          <w:tcPr>
            <w:tcW w:w="626" w:type="pct"/>
            <w:tcBorders>
              <w:top w:val="nil"/>
              <w:left w:val="nil"/>
              <w:bottom w:val="single" w:sz="4" w:space="0" w:color="auto"/>
              <w:right w:val="single" w:sz="4" w:space="0" w:color="auto"/>
            </w:tcBorders>
            <w:noWrap/>
            <w:vAlign w:val="center"/>
          </w:tcPr>
          <w:p w14:paraId="29C06DDD"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6661</w:t>
            </w:r>
          </w:p>
        </w:tc>
        <w:tc>
          <w:tcPr>
            <w:tcW w:w="714" w:type="pct"/>
            <w:tcBorders>
              <w:top w:val="nil"/>
              <w:left w:val="nil"/>
              <w:bottom w:val="single" w:sz="4" w:space="0" w:color="auto"/>
              <w:right w:val="single" w:sz="4" w:space="0" w:color="auto"/>
            </w:tcBorders>
            <w:noWrap/>
            <w:vAlign w:val="center"/>
          </w:tcPr>
          <w:p w14:paraId="56436F8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1637</w:t>
            </w:r>
          </w:p>
        </w:tc>
        <w:tc>
          <w:tcPr>
            <w:tcW w:w="713" w:type="pct"/>
            <w:tcBorders>
              <w:top w:val="nil"/>
              <w:left w:val="nil"/>
              <w:bottom w:val="single" w:sz="4" w:space="0" w:color="auto"/>
              <w:right w:val="single" w:sz="4" w:space="0" w:color="auto"/>
            </w:tcBorders>
            <w:noWrap/>
            <w:vAlign w:val="center"/>
          </w:tcPr>
          <w:p w14:paraId="741B843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24.58%</w:t>
            </w:r>
          </w:p>
        </w:tc>
      </w:tr>
      <w:tr w:rsidR="0050672C" w:rsidRPr="00CB63E4" w14:paraId="2AF02708"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26B3B67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576BA46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NR-PPAR-gamma</w:t>
            </w:r>
          </w:p>
        </w:tc>
        <w:tc>
          <w:tcPr>
            <w:tcW w:w="626" w:type="pct"/>
            <w:tcBorders>
              <w:top w:val="nil"/>
              <w:left w:val="nil"/>
              <w:bottom w:val="single" w:sz="4" w:space="0" w:color="auto"/>
              <w:right w:val="single" w:sz="4" w:space="0" w:color="auto"/>
            </w:tcBorders>
            <w:noWrap/>
            <w:vAlign w:val="center"/>
          </w:tcPr>
          <w:p w14:paraId="578E236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6714</w:t>
            </w:r>
          </w:p>
        </w:tc>
        <w:tc>
          <w:tcPr>
            <w:tcW w:w="714" w:type="pct"/>
            <w:tcBorders>
              <w:top w:val="nil"/>
              <w:left w:val="nil"/>
              <w:bottom w:val="single" w:sz="4" w:space="0" w:color="auto"/>
              <w:right w:val="single" w:sz="4" w:space="0" w:color="auto"/>
            </w:tcBorders>
            <w:noWrap/>
            <w:vAlign w:val="center"/>
          </w:tcPr>
          <w:p w14:paraId="02F23F6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1650</w:t>
            </w:r>
          </w:p>
        </w:tc>
        <w:tc>
          <w:tcPr>
            <w:tcW w:w="713" w:type="pct"/>
            <w:tcBorders>
              <w:top w:val="nil"/>
              <w:left w:val="nil"/>
              <w:bottom w:val="single" w:sz="4" w:space="0" w:color="auto"/>
              <w:right w:val="single" w:sz="4" w:space="0" w:color="auto"/>
            </w:tcBorders>
            <w:noWrap/>
            <w:vAlign w:val="center"/>
          </w:tcPr>
          <w:p w14:paraId="22762ED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24.58%</w:t>
            </w:r>
          </w:p>
        </w:tc>
      </w:tr>
      <w:tr w:rsidR="0050672C" w:rsidRPr="00CB63E4" w14:paraId="58EAEF29"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A16337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20C1936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NR-</w:t>
            </w:r>
            <w:proofErr w:type="spellStart"/>
            <w:r w:rsidRPr="00CB63E4">
              <w:rPr>
                <w:rFonts w:ascii="Times New Roman" w:eastAsia="等线" w:hAnsi="Times New Roman" w:cs="Times New Roman"/>
                <w:color w:val="000000" w:themeColor="text1"/>
                <w:kern w:val="0"/>
                <w:sz w:val="18"/>
                <w:szCs w:val="18"/>
                <w:lang w:bidi="ar"/>
              </w:rPr>
              <w:t>AhR</w:t>
            </w:r>
            <w:proofErr w:type="spellEnd"/>
          </w:p>
        </w:tc>
        <w:tc>
          <w:tcPr>
            <w:tcW w:w="626" w:type="pct"/>
            <w:tcBorders>
              <w:top w:val="nil"/>
              <w:left w:val="nil"/>
              <w:bottom w:val="single" w:sz="4" w:space="0" w:color="auto"/>
              <w:right w:val="single" w:sz="4" w:space="0" w:color="auto"/>
            </w:tcBorders>
            <w:noWrap/>
            <w:vAlign w:val="center"/>
          </w:tcPr>
          <w:p w14:paraId="3D41C11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7183</w:t>
            </w:r>
          </w:p>
        </w:tc>
        <w:tc>
          <w:tcPr>
            <w:tcW w:w="714" w:type="pct"/>
            <w:tcBorders>
              <w:top w:val="nil"/>
              <w:left w:val="nil"/>
              <w:bottom w:val="single" w:sz="4" w:space="0" w:color="auto"/>
              <w:right w:val="single" w:sz="4" w:space="0" w:color="auto"/>
            </w:tcBorders>
            <w:noWrap/>
            <w:vAlign w:val="center"/>
          </w:tcPr>
          <w:p w14:paraId="1E98AEC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1733</w:t>
            </w:r>
          </w:p>
        </w:tc>
        <w:tc>
          <w:tcPr>
            <w:tcW w:w="713" w:type="pct"/>
            <w:tcBorders>
              <w:top w:val="nil"/>
              <w:left w:val="nil"/>
              <w:bottom w:val="single" w:sz="4" w:space="0" w:color="auto"/>
              <w:right w:val="single" w:sz="4" w:space="0" w:color="auto"/>
            </w:tcBorders>
            <w:noWrap/>
            <w:vAlign w:val="center"/>
          </w:tcPr>
          <w:p w14:paraId="6275B69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24.13%</w:t>
            </w:r>
          </w:p>
        </w:tc>
      </w:tr>
      <w:tr w:rsidR="0050672C" w:rsidRPr="00CB63E4" w14:paraId="76D3A3BD"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47E5E11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58F9307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SR-HSE</w:t>
            </w:r>
          </w:p>
        </w:tc>
        <w:tc>
          <w:tcPr>
            <w:tcW w:w="626" w:type="pct"/>
            <w:tcBorders>
              <w:top w:val="nil"/>
              <w:left w:val="nil"/>
              <w:bottom w:val="single" w:sz="4" w:space="0" w:color="auto"/>
              <w:right w:val="single" w:sz="4" w:space="0" w:color="auto"/>
            </w:tcBorders>
            <w:noWrap/>
            <w:vAlign w:val="center"/>
          </w:tcPr>
          <w:p w14:paraId="6AC4D11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6395</w:t>
            </w:r>
          </w:p>
        </w:tc>
        <w:tc>
          <w:tcPr>
            <w:tcW w:w="714" w:type="pct"/>
            <w:tcBorders>
              <w:top w:val="nil"/>
              <w:left w:val="nil"/>
              <w:bottom w:val="single" w:sz="4" w:space="0" w:color="auto"/>
              <w:right w:val="single" w:sz="4" w:space="0" w:color="auto"/>
            </w:tcBorders>
            <w:noWrap/>
            <w:vAlign w:val="center"/>
          </w:tcPr>
          <w:p w14:paraId="1B956DD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1540</w:t>
            </w:r>
          </w:p>
        </w:tc>
        <w:tc>
          <w:tcPr>
            <w:tcW w:w="713" w:type="pct"/>
            <w:tcBorders>
              <w:top w:val="nil"/>
              <w:left w:val="nil"/>
              <w:bottom w:val="single" w:sz="4" w:space="0" w:color="auto"/>
              <w:right w:val="single" w:sz="4" w:space="0" w:color="auto"/>
            </w:tcBorders>
            <w:noWrap/>
            <w:vAlign w:val="center"/>
          </w:tcPr>
          <w:p w14:paraId="4EA3A3E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24.08%</w:t>
            </w:r>
          </w:p>
        </w:tc>
      </w:tr>
      <w:tr w:rsidR="0050672C" w:rsidRPr="00CB63E4" w14:paraId="00FD39DC"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03D8D2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445D2F5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Eye corrosion</w:t>
            </w:r>
          </w:p>
        </w:tc>
        <w:tc>
          <w:tcPr>
            <w:tcW w:w="626" w:type="pct"/>
            <w:tcBorders>
              <w:top w:val="nil"/>
              <w:left w:val="nil"/>
              <w:bottom w:val="single" w:sz="4" w:space="0" w:color="auto"/>
              <w:right w:val="single" w:sz="4" w:space="0" w:color="auto"/>
            </w:tcBorders>
            <w:noWrap/>
            <w:vAlign w:val="center"/>
          </w:tcPr>
          <w:p w14:paraId="45EE077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2298</w:t>
            </w:r>
          </w:p>
        </w:tc>
        <w:tc>
          <w:tcPr>
            <w:tcW w:w="714" w:type="pct"/>
            <w:tcBorders>
              <w:top w:val="nil"/>
              <w:left w:val="nil"/>
              <w:bottom w:val="single" w:sz="4" w:space="0" w:color="auto"/>
              <w:right w:val="single" w:sz="4" w:space="0" w:color="auto"/>
            </w:tcBorders>
            <w:noWrap/>
            <w:vAlign w:val="center"/>
          </w:tcPr>
          <w:p w14:paraId="57A0C7B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553</w:t>
            </w:r>
          </w:p>
        </w:tc>
        <w:tc>
          <w:tcPr>
            <w:tcW w:w="713" w:type="pct"/>
            <w:tcBorders>
              <w:top w:val="nil"/>
              <w:left w:val="nil"/>
              <w:bottom w:val="single" w:sz="4" w:space="0" w:color="auto"/>
              <w:right w:val="single" w:sz="4" w:space="0" w:color="auto"/>
            </w:tcBorders>
            <w:noWrap/>
            <w:vAlign w:val="center"/>
          </w:tcPr>
          <w:p w14:paraId="4E1B1B9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24.06%</w:t>
            </w:r>
          </w:p>
        </w:tc>
      </w:tr>
      <w:tr w:rsidR="0050672C" w:rsidRPr="00CB63E4" w14:paraId="75A2C9BE"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0DA1588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01CE285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SR-P53</w:t>
            </w:r>
          </w:p>
        </w:tc>
        <w:tc>
          <w:tcPr>
            <w:tcW w:w="626" w:type="pct"/>
            <w:tcBorders>
              <w:top w:val="nil"/>
              <w:left w:val="nil"/>
              <w:bottom w:val="single" w:sz="4" w:space="0" w:color="auto"/>
              <w:right w:val="single" w:sz="4" w:space="0" w:color="auto"/>
            </w:tcBorders>
            <w:noWrap/>
            <w:vAlign w:val="center"/>
          </w:tcPr>
          <w:p w14:paraId="5CED27F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7466</w:t>
            </w:r>
          </w:p>
        </w:tc>
        <w:tc>
          <w:tcPr>
            <w:tcW w:w="714" w:type="pct"/>
            <w:tcBorders>
              <w:top w:val="nil"/>
              <w:left w:val="nil"/>
              <w:bottom w:val="single" w:sz="4" w:space="0" w:color="auto"/>
              <w:right w:val="single" w:sz="4" w:space="0" w:color="auto"/>
            </w:tcBorders>
            <w:noWrap/>
            <w:vAlign w:val="center"/>
          </w:tcPr>
          <w:p w14:paraId="1122247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1768</w:t>
            </w:r>
          </w:p>
        </w:tc>
        <w:tc>
          <w:tcPr>
            <w:tcW w:w="713" w:type="pct"/>
            <w:tcBorders>
              <w:top w:val="nil"/>
              <w:left w:val="nil"/>
              <w:bottom w:val="single" w:sz="4" w:space="0" w:color="auto"/>
              <w:right w:val="single" w:sz="4" w:space="0" w:color="auto"/>
            </w:tcBorders>
            <w:noWrap/>
            <w:vAlign w:val="center"/>
          </w:tcPr>
          <w:p w14:paraId="65DD4B6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23.68%</w:t>
            </w:r>
          </w:p>
        </w:tc>
      </w:tr>
      <w:tr w:rsidR="0050672C" w:rsidRPr="00CB63E4" w14:paraId="6DC3EBD6"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01226C9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lastRenderedPageBreak/>
              <w:t>Classification</w:t>
            </w:r>
          </w:p>
        </w:tc>
        <w:tc>
          <w:tcPr>
            <w:tcW w:w="2081" w:type="pct"/>
            <w:tcBorders>
              <w:top w:val="nil"/>
              <w:left w:val="nil"/>
              <w:bottom w:val="single" w:sz="4" w:space="0" w:color="auto"/>
              <w:right w:val="single" w:sz="4" w:space="0" w:color="auto"/>
            </w:tcBorders>
            <w:noWrap/>
            <w:vAlign w:val="center"/>
          </w:tcPr>
          <w:p w14:paraId="20ADC72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NR-AR-LBD</w:t>
            </w:r>
          </w:p>
        </w:tc>
        <w:tc>
          <w:tcPr>
            <w:tcW w:w="626" w:type="pct"/>
            <w:tcBorders>
              <w:top w:val="nil"/>
              <w:left w:val="nil"/>
              <w:bottom w:val="single" w:sz="4" w:space="0" w:color="auto"/>
              <w:right w:val="single" w:sz="4" w:space="0" w:color="auto"/>
            </w:tcBorders>
            <w:noWrap/>
            <w:vAlign w:val="center"/>
          </w:tcPr>
          <w:p w14:paraId="45BD461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6998</w:t>
            </w:r>
          </w:p>
        </w:tc>
        <w:tc>
          <w:tcPr>
            <w:tcW w:w="714" w:type="pct"/>
            <w:tcBorders>
              <w:top w:val="nil"/>
              <w:left w:val="nil"/>
              <w:bottom w:val="single" w:sz="4" w:space="0" w:color="auto"/>
              <w:right w:val="single" w:sz="4" w:space="0" w:color="auto"/>
            </w:tcBorders>
            <w:noWrap/>
            <w:vAlign w:val="center"/>
          </w:tcPr>
          <w:p w14:paraId="09376E9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1648</w:t>
            </w:r>
          </w:p>
        </w:tc>
        <w:tc>
          <w:tcPr>
            <w:tcW w:w="713" w:type="pct"/>
            <w:tcBorders>
              <w:top w:val="nil"/>
              <w:left w:val="nil"/>
              <w:bottom w:val="single" w:sz="4" w:space="0" w:color="auto"/>
              <w:right w:val="single" w:sz="4" w:space="0" w:color="auto"/>
            </w:tcBorders>
            <w:noWrap/>
            <w:vAlign w:val="center"/>
          </w:tcPr>
          <w:p w14:paraId="2E9A3A8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23.55%</w:t>
            </w:r>
          </w:p>
        </w:tc>
      </w:tr>
      <w:tr w:rsidR="0050672C" w:rsidRPr="00CB63E4" w14:paraId="405EA958"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103B63A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516BFCA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NR-GR</w:t>
            </w:r>
          </w:p>
        </w:tc>
        <w:tc>
          <w:tcPr>
            <w:tcW w:w="626" w:type="pct"/>
            <w:tcBorders>
              <w:top w:val="nil"/>
              <w:left w:val="nil"/>
              <w:bottom w:val="single" w:sz="4" w:space="0" w:color="auto"/>
              <w:right w:val="single" w:sz="4" w:space="0" w:color="auto"/>
            </w:tcBorders>
            <w:noWrap/>
            <w:vAlign w:val="center"/>
          </w:tcPr>
          <w:p w14:paraId="36C76DF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6048</w:t>
            </w:r>
          </w:p>
        </w:tc>
        <w:tc>
          <w:tcPr>
            <w:tcW w:w="714" w:type="pct"/>
            <w:tcBorders>
              <w:top w:val="nil"/>
              <w:left w:val="nil"/>
              <w:bottom w:val="single" w:sz="4" w:space="0" w:color="auto"/>
              <w:right w:val="single" w:sz="4" w:space="0" w:color="auto"/>
            </w:tcBorders>
            <w:noWrap/>
            <w:vAlign w:val="center"/>
          </w:tcPr>
          <w:p w14:paraId="1BD2E03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1424</w:t>
            </w:r>
          </w:p>
        </w:tc>
        <w:tc>
          <w:tcPr>
            <w:tcW w:w="713" w:type="pct"/>
            <w:tcBorders>
              <w:top w:val="nil"/>
              <w:left w:val="nil"/>
              <w:bottom w:val="single" w:sz="4" w:space="0" w:color="auto"/>
              <w:right w:val="single" w:sz="4" w:space="0" w:color="auto"/>
            </w:tcBorders>
            <w:noWrap/>
            <w:vAlign w:val="center"/>
          </w:tcPr>
          <w:p w14:paraId="03F09A5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23.54%</w:t>
            </w:r>
          </w:p>
        </w:tc>
      </w:tr>
      <w:tr w:rsidR="0050672C" w:rsidRPr="00CB63E4" w14:paraId="17DE3530"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0A935A5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51FE102D"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SR-ATAD5</w:t>
            </w:r>
          </w:p>
        </w:tc>
        <w:tc>
          <w:tcPr>
            <w:tcW w:w="626" w:type="pct"/>
            <w:tcBorders>
              <w:top w:val="nil"/>
              <w:left w:val="nil"/>
              <w:bottom w:val="single" w:sz="4" w:space="0" w:color="auto"/>
              <w:right w:val="single" w:sz="4" w:space="0" w:color="auto"/>
            </w:tcBorders>
            <w:noWrap/>
            <w:vAlign w:val="center"/>
          </w:tcPr>
          <w:p w14:paraId="1ABF744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7307</w:t>
            </w:r>
          </w:p>
        </w:tc>
        <w:tc>
          <w:tcPr>
            <w:tcW w:w="714" w:type="pct"/>
            <w:tcBorders>
              <w:top w:val="nil"/>
              <w:left w:val="nil"/>
              <w:bottom w:val="single" w:sz="4" w:space="0" w:color="auto"/>
              <w:right w:val="single" w:sz="4" w:space="0" w:color="auto"/>
            </w:tcBorders>
            <w:noWrap/>
            <w:vAlign w:val="center"/>
          </w:tcPr>
          <w:p w14:paraId="3DDB964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1692</w:t>
            </w:r>
          </w:p>
        </w:tc>
        <w:tc>
          <w:tcPr>
            <w:tcW w:w="713" w:type="pct"/>
            <w:tcBorders>
              <w:top w:val="nil"/>
              <w:left w:val="nil"/>
              <w:bottom w:val="single" w:sz="4" w:space="0" w:color="auto"/>
              <w:right w:val="single" w:sz="4" w:space="0" w:color="auto"/>
            </w:tcBorders>
            <w:noWrap/>
            <w:vAlign w:val="center"/>
          </w:tcPr>
          <w:p w14:paraId="2C2162F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23.16%</w:t>
            </w:r>
          </w:p>
        </w:tc>
      </w:tr>
      <w:tr w:rsidR="0050672C" w:rsidRPr="00CB63E4" w14:paraId="3EBC4CA8"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42AB204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3A02BD6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NR-ER-LBD</w:t>
            </w:r>
          </w:p>
        </w:tc>
        <w:tc>
          <w:tcPr>
            <w:tcW w:w="626" w:type="pct"/>
            <w:tcBorders>
              <w:top w:val="nil"/>
              <w:left w:val="nil"/>
              <w:bottom w:val="single" w:sz="4" w:space="0" w:color="auto"/>
              <w:right w:val="single" w:sz="4" w:space="0" w:color="auto"/>
            </w:tcBorders>
            <w:noWrap/>
            <w:vAlign w:val="center"/>
          </w:tcPr>
          <w:p w14:paraId="16280DC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7218</w:t>
            </w:r>
          </w:p>
        </w:tc>
        <w:tc>
          <w:tcPr>
            <w:tcW w:w="714" w:type="pct"/>
            <w:tcBorders>
              <w:top w:val="nil"/>
              <w:left w:val="nil"/>
              <w:bottom w:val="single" w:sz="4" w:space="0" w:color="auto"/>
              <w:right w:val="single" w:sz="4" w:space="0" w:color="auto"/>
            </w:tcBorders>
            <w:noWrap/>
            <w:vAlign w:val="center"/>
          </w:tcPr>
          <w:p w14:paraId="19A649F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1659</w:t>
            </w:r>
          </w:p>
        </w:tc>
        <w:tc>
          <w:tcPr>
            <w:tcW w:w="713" w:type="pct"/>
            <w:tcBorders>
              <w:top w:val="nil"/>
              <w:left w:val="nil"/>
              <w:bottom w:val="single" w:sz="4" w:space="0" w:color="auto"/>
              <w:right w:val="single" w:sz="4" w:space="0" w:color="auto"/>
            </w:tcBorders>
            <w:noWrap/>
            <w:vAlign w:val="center"/>
          </w:tcPr>
          <w:p w14:paraId="1B70501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22.98%</w:t>
            </w:r>
          </w:p>
        </w:tc>
      </w:tr>
      <w:tr w:rsidR="0050672C" w:rsidRPr="00CB63E4" w14:paraId="07737961"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8D5908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1415D65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NR-AR</w:t>
            </w:r>
          </w:p>
        </w:tc>
        <w:tc>
          <w:tcPr>
            <w:tcW w:w="626" w:type="pct"/>
            <w:tcBorders>
              <w:top w:val="nil"/>
              <w:left w:val="nil"/>
              <w:bottom w:val="single" w:sz="4" w:space="0" w:color="auto"/>
              <w:right w:val="single" w:sz="4" w:space="0" w:color="auto"/>
            </w:tcBorders>
            <w:noWrap/>
            <w:vAlign w:val="center"/>
          </w:tcPr>
          <w:p w14:paraId="24CDB9C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7842</w:t>
            </w:r>
          </w:p>
        </w:tc>
        <w:tc>
          <w:tcPr>
            <w:tcW w:w="714" w:type="pct"/>
            <w:tcBorders>
              <w:top w:val="nil"/>
              <w:left w:val="nil"/>
              <w:bottom w:val="single" w:sz="4" w:space="0" w:color="auto"/>
              <w:right w:val="single" w:sz="4" w:space="0" w:color="auto"/>
            </w:tcBorders>
            <w:noWrap/>
            <w:vAlign w:val="center"/>
          </w:tcPr>
          <w:p w14:paraId="035BE04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1778</w:t>
            </w:r>
          </w:p>
        </w:tc>
        <w:tc>
          <w:tcPr>
            <w:tcW w:w="713" w:type="pct"/>
            <w:tcBorders>
              <w:top w:val="nil"/>
              <w:left w:val="nil"/>
              <w:bottom w:val="single" w:sz="4" w:space="0" w:color="auto"/>
              <w:right w:val="single" w:sz="4" w:space="0" w:color="auto"/>
            </w:tcBorders>
            <w:noWrap/>
            <w:vAlign w:val="center"/>
          </w:tcPr>
          <w:p w14:paraId="76B7E25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22.67%</w:t>
            </w:r>
          </w:p>
        </w:tc>
      </w:tr>
      <w:tr w:rsidR="0050672C" w:rsidRPr="00CB63E4" w14:paraId="58AC2AC1"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74043A4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613BBC6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Rat oral acute</w:t>
            </w:r>
          </w:p>
        </w:tc>
        <w:tc>
          <w:tcPr>
            <w:tcW w:w="626" w:type="pct"/>
            <w:tcBorders>
              <w:top w:val="nil"/>
              <w:left w:val="nil"/>
              <w:bottom w:val="single" w:sz="4" w:space="0" w:color="auto"/>
              <w:right w:val="single" w:sz="4" w:space="0" w:color="auto"/>
            </w:tcBorders>
            <w:noWrap/>
            <w:vAlign w:val="center"/>
          </w:tcPr>
          <w:p w14:paraId="4BB7D81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10130</w:t>
            </w:r>
          </w:p>
        </w:tc>
        <w:tc>
          <w:tcPr>
            <w:tcW w:w="714" w:type="pct"/>
            <w:tcBorders>
              <w:top w:val="nil"/>
              <w:left w:val="nil"/>
              <w:bottom w:val="single" w:sz="4" w:space="0" w:color="auto"/>
              <w:right w:val="single" w:sz="4" w:space="0" w:color="auto"/>
            </w:tcBorders>
            <w:noWrap/>
            <w:vAlign w:val="center"/>
          </w:tcPr>
          <w:p w14:paraId="66E9E34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2283</w:t>
            </w:r>
          </w:p>
        </w:tc>
        <w:tc>
          <w:tcPr>
            <w:tcW w:w="713" w:type="pct"/>
            <w:tcBorders>
              <w:top w:val="nil"/>
              <w:left w:val="nil"/>
              <w:bottom w:val="single" w:sz="4" w:space="0" w:color="auto"/>
              <w:right w:val="single" w:sz="4" w:space="0" w:color="auto"/>
            </w:tcBorders>
            <w:noWrap/>
            <w:vAlign w:val="center"/>
          </w:tcPr>
          <w:p w14:paraId="35C16E2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22.54%</w:t>
            </w:r>
          </w:p>
        </w:tc>
      </w:tr>
      <w:tr w:rsidR="0050672C" w:rsidRPr="00CB63E4" w14:paraId="2693DE0C"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FF124B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411ABBA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Carcinogenicity</w:t>
            </w:r>
          </w:p>
        </w:tc>
        <w:tc>
          <w:tcPr>
            <w:tcW w:w="626" w:type="pct"/>
            <w:tcBorders>
              <w:top w:val="nil"/>
              <w:left w:val="nil"/>
              <w:bottom w:val="single" w:sz="4" w:space="0" w:color="auto"/>
              <w:right w:val="single" w:sz="4" w:space="0" w:color="auto"/>
            </w:tcBorders>
            <w:noWrap/>
            <w:vAlign w:val="center"/>
          </w:tcPr>
          <w:p w14:paraId="399DC57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1632</w:t>
            </w:r>
          </w:p>
        </w:tc>
        <w:tc>
          <w:tcPr>
            <w:tcW w:w="714" w:type="pct"/>
            <w:tcBorders>
              <w:top w:val="nil"/>
              <w:left w:val="nil"/>
              <w:bottom w:val="single" w:sz="4" w:space="0" w:color="auto"/>
              <w:right w:val="single" w:sz="4" w:space="0" w:color="auto"/>
            </w:tcBorders>
            <w:noWrap/>
            <w:vAlign w:val="center"/>
          </w:tcPr>
          <w:p w14:paraId="74AD513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349</w:t>
            </w:r>
          </w:p>
        </w:tc>
        <w:tc>
          <w:tcPr>
            <w:tcW w:w="713" w:type="pct"/>
            <w:tcBorders>
              <w:top w:val="nil"/>
              <w:left w:val="nil"/>
              <w:bottom w:val="single" w:sz="4" w:space="0" w:color="auto"/>
              <w:right w:val="single" w:sz="4" w:space="0" w:color="auto"/>
            </w:tcBorders>
            <w:noWrap/>
            <w:vAlign w:val="center"/>
          </w:tcPr>
          <w:p w14:paraId="3812069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21.38%</w:t>
            </w:r>
          </w:p>
        </w:tc>
      </w:tr>
      <w:tr w:rsidR="0050672C" w:rsidRPr="00CB63E4" w14:paraId="377FA69B"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11BA2A4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2DF3ECC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Bee tox</w:t>
            </w:r>
          </w:p>
        </w:tc>
        <w:tc>
          <w:tcPr>
            <w:tcW w:w="626" w:type="pct"/>
            <w:tcBorders>
              <w:top w:val="nil"/>
              <w:left w:val="nil"/>
              <w:bottom w:val="single" w:sz="4" w:space="0" w:color="auto"/>
              <w:right w:val="single" w:sz="4" w:space="0" w:color="auto"/>
            </w:tcBorders>
            <w:noWrap/>
            <w:vAlign w:val="center"/>
          </w:tcPr>
          <w:p w14:paraId="01CFA77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182</w:t>
            </w:r>
          </w:p>
        </w:tc>
        <w:tc>
          <w:tcPr>
            <w:tcW w:w="714" w:type="pct"/>
            <w:tcBorders>
              <w:top w:val="nil"/>
              <w:left w:val="nil"/>
              <w:bottom w:val="single" w:sz="4" w:space="0" w:color="auto"/>
              <w:right w:val="single" w:sz="4" w:space="0" w:color="auto"/>
            </w:tcBorders>
            <w:noWrap/>
            <w:vAlign w:val="center"/>
          </w:tcPr>
          <w:p w14:paraId="1657A4B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36</w:t>
            </w:r>
          </w:p>
        </w:tc>
        <w:tc>
          <w:tcPr>
            <w:tcW w:w="713" w:type="pct"/>
            <w:tcBorders>
              <w:top w:val="nil"/>
              <w:left w:val="nil"/>
              <w:bottom w:val="single" w:sz="4" w:space="0" w:color="auto"/>
              <w:right w:val="single" w:sz="4" w:space="0" w:color="auto"/>
            </w:tcBorders>
            <w:noWrap/>
            <w:vAlign w:val="center"/>
          </w:tcPr>
          <w:p w14:paraId="3B57EF2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19.78%</w:t>
            </w:r>
          </w:p>
        </w:tc>
      </w:tr>
      <w:tr w:rsidR="0050672C" w:rsidRPr="00CB63E4" w14:paraId="3FD9244F"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7275B8E"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7BF028D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Eye irritation</w:t>
            </w:r>
          </w:p>
        </w:tc>
        <w:tc>
          <w:tcPr>
            <w:tcW w:w="626" w:type="pct"/>
            <w:tcBorders>
              <w:top w:val="nil"/>
              <w:left w:val="nil"/>
              <w:bottom w:val="single" w:sz="4" w:space="0" w:color="auto"/>
              <w:right w:val="single" w:sz="4" w:space="0" w:color="auto"/>
            </w:tcBorders>
            <w:noWrap/>
            <w:vAlign w:val="center"/>
          </w:tcPr>
          <w:p w14:paraId="475C445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5209</w:t>
            </w:r>
          </w:p>
        </w:tc>
        <w:tc>
          <w:tcPr>
            <w:tcW w:w="714" w:type="pct"/>
            <w:tcBorders>
              <w:top w:val="nil"/>
              <w:left w:val="nil"/>
              <w:bottom w:val="single" w:sz="4" w:space="0" w:color="auto"/>
              <w:right w:val="single" w:sz="4" w:space="0" w:color="auto"/>
            </w:tcBorders>
            <w:noWrap/>
            <w:vAlign w:val="center"/>
          </w:tcPr>
          <w:p w14:paraId="39B6449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986</w:t>
            </w:r>
          </w:p>
        </w:tc>
        <w:tc>
          <w:tcPr>
            <w:tcW w:w="713" w:type="pct"/>
            <w:tcBorders>
              <w:top w:val="nil"/>
              <w:left w:val="nil"/>
              <w:bottom w:val="single" w:sz="4" w:space="0" w:color="auto"/>
              <w:right w:val="single" w:sz="4" w:space="0" w:color="auto"/>
            </w:tcBorders>
            <w:noWrap/>
            <w:vAlign w:val="center"/>
          </w:tcPr>
          <w:p w14:paraId="2071911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18.93%</w:t>
            </w:r>
          </w:p>
        </w:tc>
      </w:tr>
      <w:tr w:rsidR="0050672C" w:rsidRPr="00CB63E4" w14:paraId="7CF446AA"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0852C09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69B25AA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Avian</w:t>
            </w:r>
          </w:p>
        </w:tc>
        <w:tc>
          <w:tcPr>
            <w:tcW w:w="626" w:type="pct"/>
            <w:tcBorders>
              <w:top w:val="nil"/>
              <w:left w:val="nil"/>
              <w:bottom w:val="single" w:sz="4" w:space="0" w:color="auto"/>
              <w:right w:val="single" w:sz="4" w:space="0" w:color="auto"/>
            </w:tcBorders>
            <w:noWrap/>
            <w:vAlign w:val="center"/>
          </w:tcPr>
          <w:p w14:paraId="7A4CD30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579</w:t>
            </w:r>
          </w:p>
        </w:tc>
        <w:tc>
          <w:tcPr>
            <w:tcW w:w="714" w:type="pct"/>
            <w:tcBorders>
              <w:top w:val="nil"/>
              <w:left w:val="nil"/>
              <w:bottom w:val="single" w:sz="4" w:space="0" w:color="auto"/>
              <w:right w:val="single" w:sz="4" w:space="0" w:color="auto"/>
            </w:tcBorders>
            <w:noWrap/>
            <w:vAlign w:val="center"/>
          </w:tcPr>
          <w:p w14:paraId="7048478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100</w:t>
            </w:r>
          </w:p>
        </w:tc>
        <w:tc>
          <w:tcPr>
            <w:tcW w:w="713" w:type="pct"/>
            <w:tcBorders>
              <w:top w:val="nil"/>
              <w:left w:val="nil"/>
              <w:bottom w:val="single" w:sz="4" w:space="0" w:color="auto"/>
              <w:right w:val="single" w:sz="4" w:space="0" w:color="auto"/>
            </w:tcBorders>
            <w:noWrap/>
            <w:vAlign w:val="center"/>
          </w:tcPr>
          <w:p w14:paraId="1FEDB2E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17.27%</w:t>
            </w:r>
          </w:p>
        </w:tc>
      </w:tr>
      <w:tr w:rsidR="0050672C" w:rsidRPr="00CB63E4" w14:paraId="6939DF4B"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4247DB4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59B4D00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Bioconcentration factor</w:t>
            </w:r>
          </w:p>
        </w:tc>
        <w:tc>
          <w:tcPr>
            <w:tcW w:w="626" w:type="pct"/>
            <w:tcBorders>
              <w:top w:val="nil"/>
              <w:left w:val="nil"/>
              <w:bottom w:val="single" w:sz="4" w:space="0" w:color="auto"/>
              <w:right w:val="single" w:sz="4" w:space="0" w:color="auto"/>
            </w:tcBorders>
            <w:noWrap/>
            <w:vAlign w:val="center"/>
          </w:tcPr>
          <w:p w14:paraId="089E233F"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676</w:t>
            </w:r>
          </w:p>
        </w:tc>
        <w:tc>
          <w:tcPr>
            <w:tcW w:w="714" w:type="pct"/>
            <w:tcBorders>
              <w:top w:val="nil"/>
              <w:left w:val="nil"/>
              <w:bottom w:val="single" w:sz="4" w:space="0" w:color="auto"/>
              <w:right w:val="single" w:sz="4" w:space="0" w:color="auto"/>
            </w:tcBorders>
            <w:noWrap/>
            <w:vAlign w:val="center"/>
          </w:tcPr>
          <w:p w14:paraId="35BAD4E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115</w:t>
            </w:r>
          </w:p>
        </w:tc>
        <w:tc>
          <w:tcPr>
            <w:tcW w:w="713" w:type="pct"/>
            <w:tcBorders>
              <w:top w:val="nil"/>
              <w:left w:val="nil"/>
              <w:bottom w:val="single" w:sz="4" w:space="0" w:color="auto"/>
              <w:right w:val="single" w:sz="4" w:space="0" w:color="auto"/>
            </w:tcBorders>
            <w:noWrap/>
            <w:vAlign w:val="center"/>
          </w:tcPr>
          <w:p w14:paraId="5B871B9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17.01%</w:t>
            </w:r>
          </w:p>
        </w:tc>
      </w:tr>
      <w:tr w:rsidR="0050672C" w:rsidRPr="00CB63E4" w14:paraId="3C114F94"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6C383AF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443B76E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Ames</w:t>
            </w:r>
          </w:p>
        </w:tc>
        <w:tc>
          <w:tcPr>
            <w:tcW w:w="626" w:type="pct"/>
            <w:tcBorders>
              <w:top w:val="nil"/>
              <w:left w:val="nil"/>
              <w:bottom w:val="single" w:sz="4" w:space="0" w:color="auto"/>
              <w:right w:val="single" w:sz="4" w:space="0" w:color="auto"/>
            </w:tcBorders>
            <w:noWrap/>
            <w:vAlign w:val="center"/>
          </w:tcPr>
          <w:p w14:paraId="384CDC3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7653</w:t>
            </w:r>
          </w:p>
        </w:tc>
        <w:tc>
          <w:tcPr>
            <w:tcW w:w="714" w:type="pct"/>
            <w:tcBorders>
              <w:top w:val="nil"/>
              <w:left w:val="nil"/>
              <w:bottom w:val="single" w:sz="4" w:space="0" w:color="auto"/>
              <w:right w:val="single" w:sz="4" w:space="0" w:color="auto"/>
            </w:tcBorders>
            <w:noWrap/>
            <w:vAlign w:val="center"/>
          </w:tcPr>
          <w:p w14:paraId="77A956E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1294</w:t>
            </w:r>
          </w:p>
        </w:tc>
        <w:tc>
          <w:tcPr>
            <w:tcW w:w="713" w:type="pct"/>
            <w:tcBorders>
              <w:top w:val="nil"/>
              <w:left w:val="nil"/>
              <w:bottom w:val="single" w:sz="4" w:space="0" w:color="auto"/>
              <w:right w:val="single" w:sz="4" w:space="0" w:color="auto"/>
            </w:tcBorders>
            <w:noWrap/>
            <w:vAlign w:val="center"/>
          </w:tcPr>
          <w:p w14:paraId="3678318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16.91%</w:t>
            </w:r>
          </w:p>
        </w:tc>
      </w:tr>
      <w:tr w:rsidR="0050672C" w:rsidRPr="00CB63E4" w14:paraId="1561E9A6"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7F26AF7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0A255141"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Respiratory tox</w:t>
            </w:r>
          </w:p>
        </w:tc>
        <w:tc>
          <w:tcPr>
            <w:tcW w:w="626" w:type="pct"/>
            <w:tcBorders>
              <w:top w:val="nil"/>
              <w:left w:val="nil"/>
              <w:bottom w:val="single" w:sz="4" w:space="0" w:color="auto"/>
              <w:right w:val="single" w:sz="4" w:space="0" w:color="auto"/>
            </w:tcBorders>
            <w:noWrap/>
            <w:vAlign w:val="center"/>
          </w:tcPr>
          <w:p w14:paraId="54AADDF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3849</w:t>
            </w:r>
          </w:p>
        </w:tc>
        <w:tc>
          <w:tcPr>
            <w:tcW w:w="714" w:type="pct"/>
            <w:tcBorders>
              <w:top w:val="nil"/>
              <w:left w:val="nil"/>
              <w:bottom w:val="single" w:sz="4" w:space="0" w:color="auto"/>
              <w:right w:val="single" w:sz="4" w:space="0" w:color="auto"/>
            </w:tcBorders>
            <w:noWrap/>
            <w:vAlign w:val="center"/>
          </w:tcPr>
          <w:p w14:paraId="3A112A4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639</w:t>
            </w:r>
          </w:p>
        </w:tc>
        <w:tc>
          <w:tcPr>
            <w:tcW w:w="713" w:type="pct"/>
            <w:tcBorders>
              <w:top w:val="nil"/>
              <w:left w:val="nil"/>
              <w:bottom w:val="single" w:sz="4" w:space="0" w:color="auto"/>
              <w:right w:val="single" w:sz="4" w:space="0" w:color="auto"/>
            </w:tcBorders>
            <w:noWrap/>
            <w:vAlign w:val="center"/>
          </w:tcPr>
          <w:p w14:paraId="3F901427"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16.60%</w:t>
            </w:r>
          </w:p>
        </w:tc>
      </w:tr>
      <w:tr w:rsidR="0050672C" w:rsidRPr="00CB63E4" w14:paraId="5B363ED8"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684D31B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7479EE7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pK</w:t>
            </w:r>
            <w:r w:rsidRPr="00CB63E4">
              <w:rPr>
                <w:rFonts w:ascii="Times New Roman" w:eastAsia="等线" w:hAnsi="Times New Roman" w:cs="Times New Roman"/>
                <w:color w:val="000000" w:themeColor="text1"/>
                <w:kern w:val="0"/>
                <w:sz w:val="18"/>
                <w:szCs w:val="18"/>
                <w:vertAlign w:val="subscript"/>
                <w:lang w:bidi="ar"/>
              </w:rPr>
              <w:t>b</w:t>
            </w:r>
            <w:proofErr w:type="spellEnd"/>
          </w:p>
        </w:tc>
        <w:tc>
          <w:tcPr>
            <w:tcW w:w="626" w:type="pct"/>
            <w:tcBorders>
              <w:top w:val="nil"/>
              <w:left w:val="nil"/>
              <w:bottom w:val="single" w:sz="4" w:space="0" w:color="auto"/>
              <w:right w:val="single" w:sz="4" w:space="0" w:color="auto"/>
            </w:tcBorders>
            <w:noWrap/>
            <w:vAlign w:val="center"/>
          </w:tcPr>
          <w:p w14:paraId="04BEE83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3662</w:t>
            </w:r>
          </w:p>
        </w:tc>
        <w:tc>
          <w:tcPr>
            <w:tcW w:w="714" w:type="pct"/>
            <w:tcBorders>
              <w:top w:val="nil"/>
              <w:left w:val="nil"/>
              <w:bottom w:val="single" w:sz="4" w:space="0" w:color="auto"/>
              <w:right w:val="single" w:sz="4" w:space="0" w:color="auto"/>
            </w:tcBorders>
            <w:noWrap/>
            <w:vAlign w:val="center"/>
          </w:tcPr>
          <w:p w14:paraId="2ADE248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591</w:t>
            </w:r>
          </w:p>
        </w:tc>
        <w:tc>
          <w:tcPr>
            <w:tcW w:w="713" w:type="pct"/>
            <w:tcBorders>
              <w:top w:val="nil"/>
              <w:left w:val="nil"/>
              <w:bottom w:val="single" w:sz="4" w:space="0" w:color="auto"/>
              <w:right w:val="single" w:sz="4" w:space="0" w:color="auto"/>
            </w:tcBorders>
            <w:noWrap/>
            <w:vAlign w:val="center"/>
          </w:tcPr>
          <w:p w14:paraId="272BED2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16.14%</w:t>
            </w:r>
          </w:p>
        </w:tc>
      </w:tr>
      <w:tr w:rsidR="0050672C" w:rsidRPr="00CB63E4" w14:paraId="2462CA1B"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4B15D57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1FAAE669"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pK</w:t>
            </w:r>
            <w:r w:rsidRPr="00CB63E4">
              <w:rPr>
                <w:rFonts w:ascii="Times New Roman" w:eastAsia="等线" w:hAnsi="Times New Roman" w:cs="Times New Roman"/>
                <w:color w:val="000000" w:themeColor="text1"/>
                <w:kern w:val="0"/>
                <w:sz w:val="18"/>
                <w:szCs w:val="18"/>
                <w:vertAlign w:val="subscript"/>
                <w:lang w:bidi="ar"/>
              </w:rPr>
              <w:t>a</w:t>
            </w:r>
            <w:proofErr w:type="spellEnd"/>
          </w:p>
        </w:tc>
        <w:tc>
          <w:tcPr>
            <w:tcW w:w="626" w:type="pct"/>
            <w:tcBorders>
              <w:top w:val="nil"/>
              <w:left w:val="nil"/>
              <w:bottom w:val="single" w:sz="4" w:space="0" w:color="auto"/>
              <w:right w:val="single" w:sz="4" w:space="0" w:color="auto"/>
            </w:tcBorders>
            <w:noWrap/>
            <w:vAlign w:val="center"/>
          </w:tcPr>
          <w:p w14:paraId="7A561C1D"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3195</w:t>
            </w:r>
          </w:p>
        </w:tc>
        <w:tc>
          <w:tcPr>
            <w:tcW w:w="714" w:type="pct"/>
            <w:tcBorders>
              <w:top w:val="nil"/>
              <w:left w:val="nil"/>
              <w:bottom w:val="single" w:sz="4" w:space="0" w:color="auto"/>
              <w:right w:val="single" w:sz="4" w:space="0" w:color="auto"/>
            </w:tcBorders>
            <w:noWrap/>
            <w:vAlign w:val="center"/>
          </w:tcPr>
          <w:p w14:paraId="548179CC"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506</w:t>
            </w:r>
          </w:p>
        </w:tc>
        <w:tc>
          <w:tcPr>
            <w:tcW w:w="713" w:type="pct"/>
            <w:tcBorders>
              <w:top w:val="nil"/>
              <w:left w:val="nil"/>
              <w:bottom w:val="single" w:sz="4" w:space="0" w:color="auto"/>
              <w:right w:val="single" w:sz="4" w:space="0" w:color="auto"/>
            </w:tcBorders>
            <w:noWrap/>
            <w:vAlign w:val="center"/>
          </w:tcPr>
          <w:p w14:paraId="062A6B4B"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15.84%</w:t>
            </w:r>
          </w:p>
        </w:tc>
      </w:tr>
      <w:tr w:rsidR="0050672C" w:rsidRPr="00CB63E4" w14:paraId="50E0F622"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7CF02793"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242B3454"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BBB (CNS)</w:t>
            </w:r>
          </w:p>
        </w:tc>
        <w:tc>
          <w:tcPr>
            <w:tcW w:w="626" w:type="pct"/>
            <w:tcBorders>
              <w:top w:val="nil"/>
              <w:left w:val="nil"/>
              <w:bottom w:val="single" w:sz="4" w:space="0" w:color="auto"/>
              <w:right w:val="single" w:sz="4" w:space="0" w:color="auto"/>
            </w:tcBorders>
            <w:noWrap/>
            <w:vAlign w:val="center"/>
          </w:tcPr>
          <w:p w14:paraId="2883532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153</w:t>
            </w:r>
          </w:p>
        </w:tc>
        <w:tc>
          <w:tcPr>
            <w:tcW w:w="714" w:type="pct"/>
            <w:tcBorders>
              <w:top w:val="nil"/>
              <w:left w:val="nil"/>
              <w:bottom w:val="single" w:sz="4" w:space="0" w:color="auto"/>
              <w:right w:val="single" w:sz="4" w:space="0" w:color="auto"/>
            </w:tcBorders>
            <w:noWrap/>
            <w:vAlign w:val="center"/>
          </w:tcPr>
          <w:p w14:paraId="5119FACD"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23</w:t>
            </w:r>
          </w:p>
        </w:tc>
        <w:tc>
          <w:tcPr>
            <w:tcW w:w="713" w:type="pct"/>
            <w:tcBorders>
              <w:top w:val="nil"/>
              <w:left w:val="nil"/>
              <w:bottom w:val="single" w:sz="4" w:space="0" w:color="auto"/>
              <w:right w:val="single" w:sz="4" w:space="0" w:color="auto"/>
            </w:tcBorders>
            <w:noWrap/>
            <w:vAlign w:val="center"/>
          </w:tcPr>
          <w:p w14:paraId="6CB75912"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15.03%</w:t>
            </w:r>
          </w:p>
        </w:tc>
      </w:tr>
      <w:tr w:rsidR="0050672C" w:rsidRPr="00CB63E4" w14:paraId="59C0C580"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614F5416"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3B59B2C0"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Rat oral chronic</w:t>
            </w:r>
          </w:p>
        </w:tc>
        <w:tc>
          <w:tcPr>
            <w:tcW w:w="626" w:type="pct"/>
            <w:tcBorders>
              <w:top w:val="nil"/>
              <w:left w:val="nil"/>
              <w:bottom w:val="single" w:sz="4" w:space="0" w:color="auto"/>
              <w:right w:val="single" w:sz="4" w:space="0" w:color="auto"/>
            </w:tcBorders>
            <w:noWrap/>
            <w:vAlign w:val="center"/>
          </w:tcPr>
          <w:p w14:paraId="7B2B32A8"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380</w:t>
            </w:r>
          </w:p>
        </w:tc>
        <w:tc>
          <w:tcPr>
            <w:tcW w:w="714" w:type="pct"/>
            <w:tcBorders>
              <w:top w:val="nil"/>
              <w:left w:val="nil"/>
              <w:bottom w:val="single" w:sz="4" w:space="0" w:color="auto"/>
              <w:right w:val="single" w:sz="4" w:space="0" w:color="auto"/>
            </w:tcBorders>
            <w:noWrap/>
            <w:vAlign w:val="center"/>
          </w:tcPr>
          <w:p w14:paraId="43435F1A"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56</w:t>
            </w:r>
          </w:p>
        </w:tc>
        <w:tc>
          <w:tcPr>
            <w:tcW w:w="713" w:type="pct"/>
            <w:tcBorders>
              <w:top w:val="nil"/>
              <w:left w:val="nil"/>
              <w:bottom w:val="single" w:sz="4" w:space="0" w:color="auto"/>
              <w:right w:val="single" w:sz="4" w:space="0" w:color="auto"/>
            </w:tcBorders>
            <w:noWrap/>
            <w:vAlign w:val="center"/>
          </w:tcPr>
          <w:p w14:paraId="0AA43CE5" w14:textId="77777777" w:rsidR="007C6E6C" w:rsidRPr="00CB63E4" w:rsidRDefault="007C6E6C" w:rsidP="002F0411">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14.74%</w:t>
            </w:r>
          </w:p>
        </w:tc>
      </w:tr>
      <w:tr w:rsidR="005C07DE" w:rsidRPr="00CB63E4" w14:paraId="113BEBD3"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365B510"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7FE0006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logP</w:t>
            </w:r>
            <w:proofErr w:type="spellEnd"/>
            <w:r w:rsidRPr="00CB63E4">
              <w:rPr>
                <w:rFonts w:ascii="Times New Roman" w:eastAsia="等线" w:hAnsi="Times New Roman" w:cs="Times New Roman"/>
                <w:color w:val="000000" w:themeColor="text1"/>
                <w:kern w:val="0"/>
                <w:sz w:val="18"/>
                <w:szCs w:val="18"/>
                <w:lang w:bidi="ar"/>
              </w:rPr>
              <w:t xml:space="preserve"> (octanol-water partition coefficient)</w:t>
            </w:r>
          </w:p>
        </w:tc>
        <w:tc>
          <w:tcPr>
            <w:tcW w:w="626" w:type="pct"/>
            <w:tcBorders>
              <w:top w:val="nil"/>
              <w:left w:val="nil"/>
              <w:bottom w:val="single" w:sz="4" w:space="0" w:color="auto"/>
              <w:right w:val="single" w:sz="4" w:space="0" w:color="auto"/>
            </w:tcBorders>
            <w:noWrap/>
            <w:vAlign w:val="center"/>
          </w:tcPr>
          <w:p w14:paraId="4F7D38BA"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14895</w:t>
            </w:r>
          </w:p>
        </w:tc>
        <w:tc>
          <w:tcPr>
            <w:tcW w:w="714" w:type="pct"/>
            <w:tcBorders>
              <w:top w:val="nil"/>
              <w:left w:val="nil"/>
              <w:bottom w:val="single" w:sz="4" w:space="0" w:color="auto"/>
              <w:right w:val="single" w:sz="4" w:space="0" w:color="auto"/>
            </w:tcBorders>
            <w:noWrap/>
            <w:vAlign w:val="center"/>
          </w:tcPr>
          <w:p w14:paraId="11F61D67"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1242</w:t>
            </w:r>
          </w:p>
        </w:tc>
        <w:tc>
          <w:tcPr>
            <w:tcW w:w="713" w:type="pct"/>
            <w:tcBorders>
              <w:top w:val="nil"/>
              <w:left w:val="nil"/>
              <w:bottom w:val="single" w:sz="4" w:space="0" w:color="auto"/>
              <w:right w:val="single" w:sz="4" w:space="0" w:color="auto"/>
            </w:tcBorders>
            <w:noWrap/>
            <w:vAlign w:val="center"/>
          </w:tcPr>
          <w:p w14:paraId="29D2A620"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8.34%</w:t>
            </w:r>
          </w:p>
        </w:tc>
      </w:tr>
      <w:tr w:rsidR="005C07DE" w:rsidRPr="00CB63E4" w14:paraId="570FCF0E"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42D2BB18"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29605F7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metabolism (cyp1a2 substrate)</w:t>
            </w:r>
          </w:p>
        </w:tc>
        <w:tc>
          <w:tcPr>
            <w:tcW w:w="626" w:type="pct"/>
            <w:tcBorders>
              <w:top w:val="nil"/>
              <w:left w:val="nil"/>
              <w:bottom w:val="single" w:sz="4" w:space="0" w:color="auto"/>
              <w:right w:val="single" w:sz="4" w:space="0" w:color="auto"/>
            </w:tcBorders>
            <w:noWrap/>
            <w:vAlign w:val="center"/>
          </w:tcPr>
          <w:p w14:paraId="713B003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366</w:t>
            </w:r>
          </w:p>
        </w:tc>
        <w:tc>
          <w:tcPr>
            <w:tcW w:w="714" w:type="pct"/>
            <w:tcBorders>
              <w:top w:val="nil"/>
              <w:left w:val="nil"/>
              <w:bottom w:val="single" w:sz="4" w:space="0" w:color="auto"/>
              <w:right w:val="single" w:sz="4" w:space="0" w:color="auto"/>
            </w:tcBorders>
            <w:noWrap/>
            <w:vAlign w:val="center"/>
          </w:tcPr>
          <w:p w14:paraId="7F85243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30</w:t>
            </w:r>
          </w:p>
        </w:tc>
        <w:tc>
          <w:tcPr>
            <w:tcW w:w="713" w:type="pct"/>
            <w:tcBorders>
              <w:top w:val="nil"/>
              <w:left w:val="nil"/>
              <w:bottom w:val="single" w:sz="4" w:space="0" w:color="auto"/>
              <w:right w:val="single" w:sz="4" w:space="0" w:color="auto"/>
            </w:tcBorders>
            <w:noWrap/>
            <w:vAlign w:val="center"/>
          </w:tcPr>
          <w:p w14:paraId="31CB15CB"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8.20%</w:t>
            </w:r>
          </w:p>
        </w:tc>
      </w:tr>
      <w:tr w:rsidR="005C07DE" w:rsidRPr="00CB63E4" w14:paraId="74379C43"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148742C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241974FB"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Liver tox</w:t>
            </w:r>
          </w:p>
        </w:tc>
        <w:tc>
          <w:tcPr>
            <w:tcW w:w="626" w:type="pct"/>
            <w:tcBorders>
              <w:top w:val="nil"/>
              <w:left w:val="nil"/>
              <w:bottom w:val="single" w:sz="4" w:space="0" w:color="auto"/>
              <w:right w:val="single" w:sz="4" w:space="0" w:color="auto"/>
            </w:tcBorders>
            <w:noWrap/>
            <w:vAlign w:val="center"/>
          </w:tcPr>
          <w:p w14:paraId="7FA98CD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2905</w:t>
            </w:r>
          </w:p>
        </w:tc>
        <w:tc>
          <w:tcPr>
            <w:tcW w:w="714" w:type="pct"/>
            <w:tcBorders>
              <w:top w:val="nil"/>
              <w:left w:val="nil"/>
              <w:bottom w:val="single" w:sz="4" w:space="0" w:color="auto"/>
              <w:right w:val="single" w:sz="4" w:space="0" w:color="auto"/>
            </w:tcBorders>
            <w:noWrap/>
            <w:vAlign w:val="center"/>
          </w:tcPr>
          <w:p w14:paraId="268DBF4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236</w:t>
            </w:r>
          </w:p>
        </w:tc>
        <w:tc>
          <w:tcPr>
            <w:tcW w:w="713" w:type="pct"/>
            <w:tcBorders>
              <w:top w:val="nil"/>
              <w:left w:val="nil"/>
              <w:bottom w:val="single" w:sz="4" w:space="0" w:color="auto"/>
              <w:right w:val="single" w:sz="4" w:space="0" w:color="auto"/>
            </w:tcBorders>
            <w:noWrap/>
            <w:vAlign w:val="center"/>
          </w:tcPr>
          <w:p w14:paraId="26F0855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8.12%</w:t>
            </w:r>
          </w:p>
        </w:tc>
      </w:tr>
      <w:tr w:rsidR="005C07DE" w:rsidRPr="00CB63E4" w14:paraId="542A04FD"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1472B1C0"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0F19CC8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Maximum recommended daily dose</w:t>
            </w:r>
          </w:p>
        </w:tc>
        <w:tc>
          <w:tcPr>
            <w:tcW w:w="626" w:type="pct"/>
            <w:tcBorders>
              <w:top w:val="nil"/>
              <w:left w:val="nil"/>
              <w:bottom w:val="single" w:sz="4" w:space="0" w:color="auto"/>
              <w:right w:val="single" w:sz="4" w:space="0" w:color="auto"/>
            </w:tcBorders>
            <w:noWrap/>
            <w:vAlign w:val="center"/>
          </w:tcPr>
          <w:p w14:paraId="6BC7E5E0"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1200</w:t>
            </w:r>
          </w:p>
        </w:tc>
        <w:tc>
          <w:tcPr>
            <w:tcW w:w="714" w:type="pct"/>
            <w:tcBorders>
              <w:top w:val="nil"/>
              <w:left w:val="nil"/>
              <w:bottom w:val="single" w:sz="4" w:space="0" w:color="auto"/>
              <w:right w:val="single" w:sz="4" w:space="0" w:color="auto"/>
            </w:tcBorders>
            <w:noWrap/>
            <w:vAlign w:val="center"/>
          </w:tcPr>
          <w:p w14:paraId="6ECAC13A"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87</w:t>
            </w:r>
          </w:p>
        </w:tc>
        <w:tc>
          <w:tcPr>
            <w:tcW w:w="713" w:type="pct"/>
            <w:tcBorders>
              <w:top w:val="nil"/>
              <w:left w:val="nil"/>
              <w:bottom w:val="single" w:sz="4" w:space="0" w:color="auto"/>
              <w:right w:val="single" w:sz="4" w:space="0" w:color="auto"/>
            </w:tcBorders>
            <w:noWrap/>
            <w:vAlign w:val="center"/>
          </w:tcPr>
          <w:p w14:paraId="7363BBD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7.25%</w:t>
            </w:r>
          </w:p>
        </w:tc>
      </w:tr>
      <w:tr w:rsidR="005C07DE" w:rsidRPr="00CB63E4" w14:paraId="19328B34"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6B0E4EA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1EED2ADA"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metabolism (cyp2c19 substrate)</w:t>
            </w:r>
          </w:p>
        </w:tc>
        <w:tc>
          <w:tcPr>
            <w:tcW w:w="626" w:type="pct"/>
            <w:tcBorders>
              <w:top w:val="nil"/>
              <w:left w:val="nil"/>
              <w:bottom w:val="single" w:sz="4" w:space="0" w:color="auto"/>
              <w:right w:val="single" w:sz="4" w:space="0" w:color="auto"/>
            </w:tcBorders>
            <w:noWrap/>
            <w:vAlign w:val="center"/>
          </w:tcPr>
          <w:p w14:paraId="0B91A52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261</w:t>
            </w:r>
          </w:p>
        </w:tc>
        <w:tc>
          <w:tcPr>
            <w:tcW w:w="714" w:type="pct"/>
            <w:tcBorders>
              <w:top w:val="nil"/>
              <w:left w:val="nil"/>
              <w:bottom w:val="single" w:sz="4" w:space="0" w:color="auto"/>
              <w:right w:val="single" w:sz="4" w:space="0" w:color="auto"/>
            </w:tcBorders>
            <w:noWrap/>
            <w:vAlign w:val="center"/>
          </w:tcPr>
          <w:p w14:paraId="6D7A306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18</w:t>
            </w:r>
          </w:p>
        </w:tc>
        <w:tc>
          <w:tcPr>
            <w:tcW w:w="713" w:type="pct"/>
            <w:tcBorders>
              <w:top w:val="nil"/>
              <w:left w:val="nil"/>
              <w:bottom w:val="single" w:sz="4" w:space="0" w:color="auto"/>
              <w:right w:val="single" w:sz="4" w:space="0" w:color="auto"/>
            </w:tcBorders>
            <w:noWrap/>
            <w:vAlign w:val="center"/>
          </w:tcPr>
          <w:p w14:paraId="039F815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6.90%</w:t>
            </w:r>
          </w:p>
        </w:tc>
      </w:tr>
      <w:tr w:rsidR="005C07DE" w:rsidRPr="00CB63E4" w14:paraId="629C9556"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4313092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4C521C8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Renal excretion (OCT2 - Organic Cation Transporter 2)</w:t>
            </w:r>
          </w:p>
        </w:tc>
        <w:tc>
          <w:tcPr>
            <w:tcW w:w="626" w:type="pct"/>
            <w:tcBorders>
              <w:top w:val="nil"/>
              <w:left w:val="nil"/>
              <w:bottom w:val="single" w:sz="4" w:space="0" w:color="auto"/>
              <w:right w:val="single" w:sz="4" w:space="0" w:color="auto"/>
            </w:tcBorders>
            <w:noWrap/>
            <w:vAlign w:val="center"/>
          </w:tcPr>
          <w:p w14:paraId="051CD28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894</w:t>
            </w:r>
          </w:p>
        </w:tc>
        <w:tc>
          <w:tcPr>
            <w:tcW w:w="714" w:type="pct"/>
            <w:tcBorders>
              <w:top w:val="nil"/>
              <w:left w:val="nil"/>
              <w:bottom w:val="single" w:sz="4" w:space="0" w:color="auto"/>
              <w:right w:val="single" w:sz="4" w:space="0" w:color="auto"/>
            </w:tcBorders>
            <w:noWrap/>
            <w:vAlign w:val="center"/>
          </w:tcPr>
          <w:p w14:paraId="3DC4CE4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60</w:t>
            </w:r>
          </w:p>
        </w:tc>
        <w:tc>
          <w:tcPr>
            <w:tcW w:w="713" w:type="pct"/>
            <w:tcBorders>
              <w:top w:val="nil"/>
              <w:left w:val="nil"/>
              <w:bottom w:val="single" w:sz="4" w:space="0" w:color="auto"/>
              <w:right w:val="single" w:sz="4" w:space="0" w:color="auto"/>
            </w:tcBorders>
            <w:noWrap/>
            <w:vAlign w:val="center"/>
          </w:tcPr>
          <w:p w14:paraId="422A0F5F"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6.71%</w:t>
            </w:r>
          </w:p>
        </w:tc>
      </w:tr>
      <w:tr w:rsidR="005C07DE" w:rsidRPr="00CB63E4" w14:paraId="7D6FAABF"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2C19FEA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7C4C050A"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Liver Tox</w:t>
            </w:r>
          </w:p>
        </w:tc>
        <w:tc>
          <w:tcPr>
            <w:tcW w:w="626" w:type="pct"/>
            <w:tcBorders>
              <w:top w:val="nil"/>
              <w:left w:val="nil"/>
              <w:bottom w:val="single" w:sz="4" w:space="0" w:color="auto"/>
              <w:right w:val="single" w:sz="4" w:space="0" w:color="auto"/>
            </w:tcBorders>
            <w:noWrap/>
            <w:vAlign w:val="center"/>
          </w:tcPr>
          <w:p w14:paraId="0B6A5AC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1213</w:t>
            </w:r>
          </w:p>
        </w:tc>
        <w:tc>
          <w:tcPr>
            <w:tcW w:w="714" w:type="pct"/>
            <w:tcBorders>
              <w:top w:val="nil"/>
              <w:left w:val="nil"/>
              <w:bottom w:val="single" w:sz="4" w:space="0" w:color="auto"/>
              <w:right w:val="single" w:sz="4" w:space="0" w:color="auto"/>
            </w:tcBorders>
            <w:noWrap/>
            <w:vAlign w:val="center"/>
          </w:tcPr>
          <w:p w14:paraId="0A2A4238"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75</w:t>
            </w:r>
          </w:p>
        </w:tc>
        <w:tc>
          <w:tcPr>
            <w:tcW w:w="713" w:type="pct"/>
            <w:tcBorders>
              <w:top w:val="nil"/>
              <w:left w:val="nil"/>
              <w:bottom w:val="single" w:sz="4" w:space="0" w:color="auto"/>
              <w:right w:val="single" w:sz="4" w:space="0" w:color="auto"/>
            </w:tcBorders>
            <w:noWrap/>
            <w:vAlign w:val="center"/>
          </w:tcPr>
          <w:p w14:paraId="123B065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6.18%</w:t>
            </w:r>
          </w:p>
        </w:tc>
      </w:tr>
      <w:tr w:rsidR="005C07DE" w:rsidRPr="00CB63E4" w14:paraId="41EA1866"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FF64B7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66BAB5A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metabolism (cyp3a4 substrate)</w:t>
            </w:r>
          </w:p>
        </w:tc>
        <w:tc>
          <w:tcPr>
            <w:tcW w:w="626" w:type="pct"/>
            <w:tcBorders>
              <w:top w:val="nil"/>
              <w:left w:val="nil"/>
              <w:bottom w:val="single" w:sz="4" w:space="0" w:color="auto"/>
              <w:right w:val="single" w:sz="4" w:space="0" w:color="auto"/>
            </w:tcBorders>
            <w:noWrap/>
            <w:vAlign w:val="center"/>
          </w:tcPr>
          <w:p w14:paraId="23D8A1B0"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1551</w:t>
            </w:r>
          </w:p>
        </w:tc>
        <w:tc>
          <w:tcPr>
            <w:tcW w:w="714" w:type="pct"/>
            <w:tcBorders>
              <w:top w:val="nil"/>
              <w:left w:val="nil"/>
              <w:bottom w:val="single" w:sz="4" w:space="0" w:color="auto"/>
              <w:right w:val="single" w:sz="4" w:space="0" w:color="auto"/>
            </w:tcBorders>
            <w:noWrap/>
            <w:vAlign w:val="center"/>
          </w:tcPr>
          <w:p w14:paraId="48BFAFB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87</w:t>
            </w:r>
          </w:p>
        </w:tc>
        <w:tc>
          <w:tcPr>
            <w:tcW w:w="713" w:type="pct"/>
            <w:tcBorders>
              <w:top w:val="nil"/>
              <w:left w:val="nil"/>
              <w:bottom w:val="single" w:sz="4" w:space="0" w:color="auto"/>
              <w:right w:val="single" w:sz="4" w:space="0" w:color="auto"/>
            </w:tcBorders>
            <w:noWrap/>
            <w:vAlign w:val="center"/>
          </w:tcPr>
          <w:p w14:paraId="7CC58E1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5.61%</w:t>
            </w:r>
          </w:p>
        </w:tc>
      </w:tr>
      <w:tr w:rsidR="005C07DE" w:rsidRPr="00CB63E4" w14:paraId="6B4D817C"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4CB6D280"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1CB6635A"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Hepatic uptake rate (OATP1B3)</w:t>
            </w:r>
          </w:p>
        </w:tc>
        <w:tc>
          <w:tcPr>
            <w:tcW w:w="626" w:type="pct"/>
            <w:tcBorders>
              <w:top w:val="nil"/>
              <w:left w:val="nil"/>
              <w:bottom w:val="single" w:sz="4" w:space="0" w:color="auto"/>
              <w:right w:val="single" w:sz="4" w:space="0" w:color="auto"/>
            </w:tcBorders>
            <w:noWrap/>
            <w:vAlign w:val="center"/>
          </w:tcPr>
          <w:p w14:paraId="1C0E27E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1247</w:t>
            </w:r>
          </w:p>
        </w:tc>
        <w:tc>
          <w:tcPr>
            <w:tcW w:w="714" w:type="pct"/>
            <w:tcBorders>
              <w:top w:val="nil"/>
              <w:left w:val="nil"/>
              <w:bottom w:val="single" w:sz="4" w:space="0" w:color="auto"/>
              <w:right w:val="single" w:sz="4" w:space="0" w:color="auto"/>
            </w:tcBorders>
            <w:noWrap/>
            <w:vAlign w:val="center"/>
          </w:tcPr>
          <w:p w14:paraId="661E535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61</w:t>
            </w:r>
          </w:p>
        </w:tc>
        <w:tc>
          <w:tcPr>
            <w:tcW w:w="713" w:type="pct"/>
            <w:tcBorders>
              <w:top w:val="nil"/>
              <w:left w:val="nil"/>
              <w:bottom w:val="single" w:sz="4" w:space="0" w:color="auto"/>
              <w:right w:val="single" w:sz="4" w:space="0" w:color="auto"/>
            </w:tcBorders>
            <w:noWrap/>
            <w:vAlign w:val="center"/>
          </w:tcPr>
          <w:p w14:paraId="3470ED5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4.89%</w:t>
            </w:r>
          </w:p>
        </w:tc>
      </w:tr>
      <w:tr w:rsidR="005C07DE" w:rsidRPr="00CB63E4" w14:paraId="11646949"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176D6750"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5B2125E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Intestinal absorption</w:t>
            </w:r>
          </w:p>
        </w:tc>
        <w:tc>
          <w:tcPr>
            <w:tcW w:w="626" w:type="pct"/>
            <w:tcBorders>
              <w:top w:val="nil"/>
              <w:left w:val="nil"/>
              <w:bottom w:val="single" w:sz="4" w:space="0" w:color="auto"/>
              <w:right w:val="single" w:sz="4" w:space="0" w:color="auto"/>
            </w:tcBorders>
            <w:noWrap/>
            <w:vAlign w:val="center"/>
          </w:tcPr>
          <w:p w14:paraId="21B6FCF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1438</w:t>
            </w:r>
          </w:p>
        </w:tc>
        <w:tc>
          <w:tcPr>
            <w:tcW w:w="714" w:type="pct"/>
            <w:tcBorders>
              <w:top w:val="nil"/>
              <w:left w:val="nil"/>
              <w:bottom w:val="single" w:sz="4" w:space="0" w:color="auto"/>
              <w:right w:val="single" w:sz="4" w:space="0" w:color="auto"/>
            </w:tcBorders>
            <w:noWrap/>
            <w:vAlign w:val="center"/>
          </w:tcPr>
          <w:p w14:paraId="0413232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64</w:t>
            </w:r>
          </w:p>
        </w:tc>
        <w:tc>
          <w:tcPr>
            <w:tcW w:w="713" w:type="pct"/>
            <w:tcBorders>
              <w:top w:val="nil"/>
              <w:left w:val="nil"/>
              <w:bottom w:val="single" w:sz="4" w:space="0" w:color="auto"/>
              <w:right w:val="single" w:sz="4" w:space="0" w:color="auto"/>
            </w:tcBorders>
            <w:noWrap/>
            <w:vAlign w:val="center"/>
          </w:tcPr>
          <w:p w14:paraId="6D37D14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4.45%</w:t>
            </w:r>
          </w:p>
        </w:tc>
      </w:tr>
      <w:tr w:rsidR="005C07DE" w:rsidRPr="00CB63E4" w14:paraId="145FD232"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427DCE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18534DE9"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Hepatic uptake rate (OATP1B1)</w:t>
            </w:r>
          </w:p>
        </w:tc>
        <w:tc>
          <w:tcPr>
            <w:tcW w:w="626" w:type="pct"/>
            <w:tcBorders>
              <w:top w:val="nil"/>
              <w:left w:val="nil"/>
              <w:bottom w:val="single" w:sz="4" w:space="0" w:color="auto"/>
              <w:right w:val="single" w:sz="4" w:space="0" w:color="auto"/>
            </w:tcBorders>
            <w:noWrap/>
            <w:vAlign w:val="center"/>
          </w:tcPr>
          <w:p w14:paraId="4EE0A70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1337</w:t>
            </w:r>
          </w:p>
        </w:tc>
        <w:tc>
          <w:tcPr>
            <w:tcW w:w="714" w:type="pct"/>
            <w:tcBorders>
              <w:top w:val="nil"/>
              <w:left w:val="nil"/>
              <w:bottom w:val="single" w:sz="4" w:space="0" w:color="auto"/>
              <w:right w:val="single" w:sz="4" w:space="0" w:color="auto"/>
            </w:tcBorders>
            <w:noWrap/>
            <w:vAlign w:val="center"/>
          </w:tcPr>
          <w:p w14:paraId="1B73B68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58</w:t>
            </w:r>
          </w:p>
        </w:tc>
        <w:tc>
          <w:tcPr>
            <w:tcW w:w="713" w:type="pct"/>
            <w:tcBorders>
              <w:top w:val="nil"/>
              <w:left w:val="nil"/>
              <w:bottom w:val="single" w:sz="4" w:space="0" w:color="auto"/>
              <w:right w:val="single" w:sz="4" w:space="0" w:color="auto"/>
            </w:tcBorders>
            <w:noWrap/>
            <w:vAlign w:val="center"/>
          </w:tcPr>
          <w:p w14:paraId="412DC809"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4.34%</w:t>
            </w:r>
          </w:p>
        </w:tc>
      </w:tr>
      <w:tr w:rsidR="005C07DE" w:rsidRPr="00CB63E4" w14:paraId="7A1CDB99"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B0F823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5D0408D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Oral bioavailability 20%</w:t>
            </w:r>
          </w:p>
        </w:tc>
        <w:tc>
          <w:tcPr>
            <w:tcW w:w="626" w:type="pct"/>
            <w:tcBorders>
              <w:top w:val="nil"/>
              <w:left w:val="nil"/>
              <w:bottom w:val="single" w:sz="4" w:space="0" w:color="auto"/>
              <w:right w:val="single" w:sz="4" w:space="0" w:color="auto"/>
            </w:tcBorders>
            <w:noWrap/>
            <w:vAlign w:val="center"/>
          </w:tcPr>
          <w:p w14:paraId="7ED51B0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1005</w:t>
            </w:r>
          </w:p>
        </w:tc>
        <w:tc>
          <w:tcPr>
            <w:tcW w:w="714" w:type="pct"/>
            <w:tcBorders>
              <w:top w:val="nil"/>
              <w:left w:val="nil"/>
              <w:bottom w:val="single" w:sz="4" w:space="0" w:color="auto"/>
              <w:right w:val="single" w:sz="4" w:space="0" w:color="auto"/>
            </w:tcBorders>
            <w:noWrap/>
            <w:vAlign w:val="center"/>
          </w:tcPr>
          <w:p w14:paraId="507A57A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42</w:t>
            </w:r>
          </w:p>
        </w:tc>
        <w:tc>
          <w:tcPr>
            <w:tcW w:w="713" w:type="pct"/>
            <w:tcBorders>
              <w:top w:val="nil"/>
              <w:left w:val="nil"/>
              <w:bottom w:val="single" w:sz="4" w:space="0" w:color="auto"/>
              <w:right w:val="single" w:sz="4" w:space="0" w:color="auto"/>
            </w:tcBorders>
            <w:noWrap/>
            <w:vAlign w:val="center"/>
          </w:tcPr>
          <w:p w14:paraId="00814410"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4.18%</w:t>
            </w:r>
          </w:p>
        </w:tc>
      </w:tr>
      <w:tr w:rsidR="005C07DE" w:rsidRPr="00CB63E4" w14:paraId="76BEF82A"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402168DB"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5CC06AB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Oral bioavailability 50%</w:t>
            </w:r>
          </w:p>
        </w:tc>
        <w:tc>
          <w:tcPr>
            <w:tcW w:w="626" w:type="pct"/>
            <w:tcBorders>
              <w:top w:val="nil"/>
              <w:left w:val="nil"/>
              <w:bottom w:val="single" w:sz="4" w:space="0" w:color="auto"/>
              <w:right w:val="single" w:sz="4" w:space="0" w:color="auto"/>
            </w:tcBorders>
            <w:noWrap/>
            <w:vAlign w:val="center"/>
          </w:tcPr>
          <w:p w14:paraId="5CCA70BA"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994</w:t>
            </w:r>
          </w:p>
        </w:tc>
        <w:tc>
          <w:tcPr>
            <w:tcW w:w="714" w:type="pct"/>
            <w:tcBorders>
              <w:top w:val="nil"/>
              <w:left w:val="nil"/>
              <w:bottom w:val="single" w:sz="4" w:space="0" w:color="auto"/>
              <w:right w:val="single" w:sz="4" w:space="0" w:color="auto"/>
            </w:tcBorders>
            <w:noWrap/>
            <w:vAlign w:val="center"/>
          </w:tcPr>
          <w:p w14:paraId="5D537AA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41</w:t>
            </w:r>
          </w:p>
        </w:tc>
        <w:tc>
          <w:tcPr>
            <w:tcW w:w="713" w:type="pct"/>
            <w:tcBorders>
              <w:top w:val="nil"/>
              <w:left w:val="nil"/>
              <w:bottom w:val="single" w:sz="4" w:space="0" w:color="auto"/>
              <w:right w:val="single" w:sz="4" w:space="0" w:color="auto"/>
            </w:tcBorders>
            <w:noWrap/>
            <w:vAlign w:val="center"/>
          </w:tcPr>
          <w:p w14:paraId="6694D512"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4.12%</w:t>
            </w:r>
          </w:p>
        </w:tc>
      </w:tr>
      <w:tr w:rsidR="005C07DE" w:rsidRPr="00CB63E4" w14:paraId="4DA9CBB3"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1743614A"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0EF81B7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Half-life of a drug</w:t>
            </w:r>
          </w:p>
        </w:tc>
        <w:tc>
          <w:tcPr>
            <w:tcW w:w="626" w:type="pct"/>
            <w:tcBorders>
              <w:top w:val="nil"/>
              <w:left w:val="nil"/>
              <w:bottom w:val="single" w:sz="4" w:space="0" w:color="auto"/>
              <w:right w:val="single" w:sz="4" w:space="0" w:color="auto"/>
            </w:tcBorders>
            <w:noWrap/>
            <w:vAlign w:val="center"/>
          </w:tcPr>
          <w:p w14:paraId="5F41836F"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753</w:t>
            </w:r>
          </w:p>
        </w:tc>
        <w:tc>
          <w:tcPr>
            <w:tcW w:w="714" w:type="pct"/>
            <w:tcBorders>
              <w:top w:val="nil"/>
              <w:left w:val="nil"/>
              <w:bottom w:val="single" w:sz="4" w:space="0" w:color="auto"/>
              <w:right w:val="single" w:sz="4" w:space="0" w:color="auto"/>
            </w:tcBorders>
            <w:noWrap/>
            <w:vAlign w:val="center"/>
          </w:tcPr>
          <w:p w14:paraId="6F5C1AC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31</w:t>
            </w:r>
          </w:p>
        </w:tc>
        <w:tc>
          <w:tcPr>
            <w:tcW w:w="713" w:type="pct"/>
            <w:tcBorders>
              <w:top w:val="nil"/>
              <w:left w:val="nil"/>
              <w:bottom w:val="single" w:sz="4" w:space="0" w:color="auto"/>
              <w:right w:val="single" w:sz="4" w:space="0" w:color="auto"/>
            </w:tcBorders>
            <w:noWrap/>
            <w:vAlign w:val="center"/>
          </w:tcPr>
          <w:p w14:paraId="3B7D36B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4.12%</w:t>
            </w:r>
          </w:p>
        </w:tc>
      </w:tr>
      <w:tr w:rsidR="005C07DE" w:rsidRPr="00CB63E4" w14:paraId="1BBBD138"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05F8601B"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248BA9A0"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metabolism (cyp3a4 inhibitor)</w:t>
            </w:r>
          </w:p>
        </w:tc>
        <w:tc>
          <w:tcPr>
            <w:tcW w:w="626" w:type="pct"/>
            <w:tcBorders>
              <w:top w:val="nil"/>
              <w:left w:val="nil"/>
              <w:bottom w:val="single" w:sz="4" w:space="0" w:color="auto"/>
              <w:right w:val="single" w:sz="4" w:space="0" w:color="auto"/>
            </w:tcBorders>
            <w:noWrap/>
            <w:vAlign w:val="center"/>
          </w:tcPr>
          <w:p w14:paraId="1CF73359"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23040</w:t>
            </w:r>
          </w:p>
        </w:tc>
        <w:tc>
          <w:tcPr>
            <w:tcW w:w="714" w:type="pct"/>
            <w:tcBorders>
              <w:top w:val="nil"/>
              <w:left w:val="nil"/>
              <w:bottom w:val="single" w:sz="4" w:space="0" w:color="auto"/>
              <w:right w:val="single" w:sz="4" w:space="0" w:color="auto"/>
            </w:tcBorders>
            <w:noWrap/>
            <w:vAlign w:val="center"/>
          </w:tcPr>
          <w:p w14:paraId="5279971A"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919</w:t>
            </w:r>
          </w:p>
        </w:tc>
        <w:tc>
          <w:tcPr>
            <w:tcW w:w="713" w:type="pct"/>
            <w:tcBorders>
              <w:top w:val="nil"/>
              <w:left w:val="nil"/>
              <w:bottom w:val="single" w:sz="4" w:space="0" w:color="auto"/>
              <w:right w:val="single" w:sz="4" w:space="0" w:color="auto"/>
            </w:tcBorders>
            <w:noWrap/>
            <w:vAlign w:val="center"/>
          </w:tcPr>
          <w:p w14:paraId="1DA69C03"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3.99%</w:t>
            </w:r>
          </w:p>
        </w:tc>
      </w:tr>
      <w:tr w:rsidR="005C07DE" w:rsidRPr="00CB63E4" w14:paraId="22ACB969"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0F5618A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74FD7BB0"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metabolism (cyp2c9 substrate)</w:t>
            </w:r>
          </w:p>
        </w:tc>
        <w:tc>
          <w:tcPr>
            <w:tcW w:w="626" w:type="pct"/>
            <w:tcBorders>
              <w:top w:val="nil"/>
              <w:left w:val="nil"/>
              <w:bottom w:val="single" w:sz="4" w:space="0" w:color="auto"/>
              <w:right w:val="single" w:sz="4" w:space="0" w:color="auto"/>
            </w:tcBorders>
            <w:noWrap/>
            <w:vAlign w:val="center"/>
          </w:tcPr>
          <w:p w14:paraId="3B7EFCC8"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1034</w:t>
            </w:r>
          </w:p>
        </w:tc>
        <w:tc>
          <w:tcPr>
            <w:tcW w:w="714" w:type="pct"/>
            <w:tcBorders>
              <w:top w:val="nil"/>
              <w:left w:val="nil"/>
              <w:bottom w:val="single" w:sz="4" w:space="0" w:color="auto"/>
              <w:right w:val="single" w:sz="4" w:space="0" w:color="auto"/>
            </w:tcBorders>
            <w:noWrap/>
            <w:vAlign w:val="center"/>
          </w:tcPr>
          <w:p w14:paraId="11B4699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40</w:t>
            </w:r>
          </w:p>
        </w:tc>
        <w:tc>
          <w:tcPr>
            <w:tcW w:w="713" w:type="pct"/>
            <w:tcBorders>
              <w:top w:val="nil"/>
              <w:left w:val="nil"/>
              <w:bottom w:val="single" w:sz="4" w:space="0" w:color="auto"/>
              <w:right w:val="single" w:sz="4" w:space="0" w:color="auto"/>
            </w:tcBorders>
            <w:noWrap/>
            <w:vAlign w:val="center"/>
          </w:tcPr>
          <w:p w14:paraId="51436CAB"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3.87%</w:t>
            </w:r>
          </w:p>
        </w:tc>
      </w:tr>
      <w:tr w:rsidR="005C07DE" w:rsidRPr="00CB63E4" w14:paraId="6D9E0827"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751AA17"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72F70FF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metabolism (cyp2d6 substrate)</w:t>
            </w:r>
          </w:p>
        </w:tc>
        <w:tc>
          <w:tcPr>
            <w:tcW w:w="626" w:type="pct"/>
            <w:tcBorders>
              <w:top w:val="nil"/>
              <w:left w:val="nil"/>
              <w:bottom w:val="single" w:sz="4" w:space="0" w:color="auto"/>
              <w:right w:val="single" w:sz="4" w:space="0" w:color="auto"/>
            </w:tcBorders>
            <w:noWrap/>
            <w:vAlign w:val="center"/>
          </w:tcPr>
          <w:p w14:paraId="0B2D62B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917</w:t>
            </w:r>
          </w:p>
        </w:tc>
        <w:tc>
          <w:tcPr>
            <w:tcW w:w="714" w:type="pct"/>
            <w:tcBorders>
              <w:top w:val="nil"/>
              <w:left w:val="nil"/>
              <w:bottom w:val="single" w:sz="4" w:space="0" w:color="auto"/>
              <w:right w:val="single" w:sz="4" w:space="0" w:color="auto"/>
            </w:tcBorders>
            <w:noWrap/>
            <w:vAlign w:val="center"/>
          </w:tcPr>
          <w:p w14:paraId="673189A8"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35</w:t>
            </w:r>
          </w:p>
        </w:tc>
        <w:tc>
          <w:tcPr>
            <w:tcW w:w="713" w:type="pct"/>
            <w:tcBorders>
              <w:top w:val="nil"/>
              <w:left w:val="nil"/>
              <w:bottom w:val="single" w:sz="4" w:space="0" w:color="auto"/>
              <w:right w:val="single" w:sz="4" w:space="0" w:color="auto"/>
            </w:tcBorders>
            <w:noWrap/>
            <w:vAlign w:val="center"/>
          </w:tcPr>
          <w:p w14:paraId="727AD72F"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3.82%</w:t>
            </w:r>
          </w:p>
        </w:tc>
      </w:tr>
      <w:tr w:rsidR="005C07DE" w:rsidRPr="00CB63E4" w14:paraId="5EB2D15C"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62ABB787"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70AC9D8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BBB (</w:t>
            </w:r>
            <w:proofErr w:type="spellStart"/>
            <w:r w:rsidRPr="00CB63E4">
              <w:rPr>
                <w:rFonts w:ascii="Times New Roman" w:eastAsia="等线" w:hAnsi="Times New Roman" w:cs="Times New Roman"/>
                <w:color w:val="000000" w:themeColor="text1"/>
                <w:kern w:val="0"/>
                <w:sz w:val="18"/>
                <w:szCs w:val="18"/>
                <w:lang w:bidi="ar"/>
              </w:rPr>
              <w:t>logBB</w:t>
            </w:r>
            <w:proofErr w:type="spellEnd"/>
            <w:r w:rsidRPr="00CB63E4">
              <w:rPr>
                <w:rFonts w:ascii="Times New Roman" w:eastAsia="等线" w:hAnsi="Times New Roman" w:cs="Times New Roman"/>
                <w:color w:val="000000" w:themeColor="text1"/>
                <w:kern w:val="0"/>
                <w:sz w:val="18"/>
                <w:szCs w:val="18"/>
                <w:lang w:bidi="ar"/>
              </w:rPr>
              <w:t>)</w:t>
            </w:r>
          </w:p>
        </w:tc>
        <w:tc>
          <w:tcPr>
            <w:tcW w:w="626" w:type="pct"/>
            <w:tcBorders>
              <w:top w:val="nil"/>
              <w:left w:val="nil"/>
              <w:bottom w:val="single" w:sz="4" w:space="0" w:color="auto"/>
              <w:right w:val="single" w:sz="4" w:space="0" w:color="auto"/>
            </w:tcBorders>
            <w:noWrap/>
            <w:vAlign w:val="center"/>
          </w:tcPr>
          <w:p w14:paraId="2923CB3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3203</w:t>
            </w:r>
          </w:p>
        </w:tc>
        <w:tc>
          <w:tcPr>
            <w:tcW w:w="714" w:type="pct"/>
            <w:tcBorders>
              <w:top w:val="nil"/>
              <w:left w:val="nil"/>
              <w:bottom w:val="single" w:sz="4" w:space="0" w:color="auto"/>
              <w:right w:val="single" w:sz="4" w:space="0" w:color="auto"/>
            </w:tcBorders>
            <w:noWrap/>
            <w:vAlign w:val="center"/>
          </w:tcPr>
          <w:p w14:paraId="5D38A76B"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120</w:t>
            </w:r>
          </w:p>
        </w:tc>
        <w:tc>
          <w:tcPr>
            <w:tcW w:w="713" w:type="pct"/>
            <w:tcBorders>
              <w:top w:val="nil"/>
              <w:left w:val="nil"/>
              <w:bottom w:val="single" w:sz="4" w:space="0" w:color="auto"/>
              <w:right w:val="single" w:sz="4" w:space="0" w:color="auto"/>
            </w:tcBorders>
            <w:noWrap/>
            <w:vAlign w:val="center"/>
          </w:tcPr>
          <w:p w14:paraId="617B9FEA"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3.75%</w:t>
            </w:r>
          </w:p>
        </w:tc>
      </w:tr>
      <w:tr w:rsidR="005C07DE" w:rsidRPr="00CB63E4" w14:paraId="3AAF1BA6"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0D16B23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3ABF516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Volume distribution</w:t>
            </w:r>
          </w:p>
        </w:tc>
        <w:tc>
          <w:tcPr>
            <w:tcW w:w="626" w:type="pct"/>
            <w:tcBorders>
              <w:top w:val="nil"/>
              <w:left w:val="nil"/>
              <w:bottom w:val="single" w:sz="4" w:space="0" w:color="auto"/>
              <w:right w:val="single" w:sz="4" w:space="0" w:color="auto"/>
            </w:tcBorders>
            <w:noWrap/>
            <w:vAlign w:val="center"/>
          </w:tcPr>
          <w:p w14:paraId="58A3A8F3"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1083</w:t>
            </w:r>
          </w:p>
        </w:tc>
        <w:tc>
          <w:tcPr>
            <w:tcW w:w="714" w:type="pct"/>
            <w:tcBorders>
              <w:top w:val="nil"/>
              <w:left w:val="nil"/>
              <w:bottom w:val="single" w:sz="4" w:space="0" w:color="auto"/>
              <w:right w:val="single" w:sz="4" w:space="0" w:color="auto"/>
            </w:tcBorders>
            <w:noWrap/>
            <w:vAlign w:val="center"/>
          </w:tcPr>
          <w:p w14:paraId="199550C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37</w:t>
            </w:r>
          </w:p>
        </w:tc>
        <w:tc>
          <w:tcPr>
            <w:tcW w:w="713" w:type="pct"/>
            <w:tcBorders>
              <w:top w:val="nil"/>
              <w:left w:val="nil"/>
              <w:bottom w:val="single" w:sz="4" w:space="0" w:color="auto"/>
              <w:right w:val="single" w:sz="4" w:space="0" w:color="auto"/>
            </w:tcBorders>
            <w:noWrap/>
            <w:vAlign w:val="center"/>
          </w:tcPr>
          <w:p w14:paraId="1048248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3.42%</w:t>
            </w:r>
          </w:p>
        </w:tc>
      </w:tr>
      <w:tr w:rsidR="005C07DE" w:rsidRPr="00CB63E4" w14:paraId="7F62EAF5"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6AC494C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128BAE12"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metabolism (cyp2d6 inhibitor)</w:t>
            </w:r>
          </w:p>
        </w:tc>
        <w:tc>
          <w:tcPr>
            <w:tcW w:w="626" w:type="pct"/>
            <w:tcBorders>
              <w:top w:val="nil"/>
              <w:left w:val="nil"/>
              <w:bottom w:val="single" w:sz="4" w:space="0" w:color="auto"/>
              <w:right w:val="single" w:sz="4" w:space="0" w:color="auto"/>
            </w:tcBorders>
            <w:noWrap/>
            <w:vAlign w:val="center"/>
          </w:tcPr>
          <w:p w14:paraId="13A1A90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19700</w:t>
            </w:r>
          </w:p>
        </w:tc>
        <w:tc>
          <w:tcPr>
            <w:tcW w:w="714" w:type="pct"/>
            <w:tcBorders>
              <w:top w:val="nil"/>
              <w:left w:val="nil"/>
              <w:bottom w:val="single" w:sz="4" w:space="0" w:color="auto"/>
              <w:right w:val="single" w:sz="4" w:space="0" w:color="auto"/>
            </w:tcBorders>
            <w:noWrap/>
            <w:vAlign w:val="center"/>
          </w:tcPr>
          <w:p w14:paraId="3BDF409F"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527</w:t>
            </w:r>
          </w:p>
        </w:tc>
        <w:tc>
          <w:tcPr>
            <w:tcW w:w="713" w:type="pct"/>
            <w:tcBorders>
              <w:top w:val="nil"/>
              <w:left w:val="nil"/>
              <w:bottom w:val="single" w:sz="4" w:space="0" w:color="auto"/>
              <w:right w:val="single" w:sz="4" w:space="0" w:color="auto"/>
            </w:tcBorders>
            <w:noWrap/>
            <w:vAlign w:val="center"/>
          </w:tcPr>
          <w:p w14:paraId="7EBEF8F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2.68%</w:t>
            </w:r>
          </w:p>
        </w:tc>
      </w:tr>
      <w:tr w:rsidR="005C07DE" w:rsidRPr="00CB63E4" w14:paraId="27350E77"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10DCAC52"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7CCB8E3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metabolism (cyp2c9 inhibitor)</w:t>
            </w:r>
          </w:p>
        </w:tc>
        <w:tc>
          <w:tcPr>
            <w:tcW w:w="626" w:type="pct"/>
            <w:tcBorders>
              <w:top w:val="nil"/>
              <w:left w:val="nil"/>
              <w:bottom w:val="single" w:sz="4" w:space="0" w:color="auto"/>
              <w:right w:val="single" w:sz="4" w:space="0" w:color="auto"/>
            </w:tcBorders>
            <w:noWrap/>
            <w:vAlign w:val="center"/>
          </w:tcPr>
          <w:p w14:paraId="281CD32A"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19283</w:t>
            </w:r>
          </w:p>
        </w:tc>
        <w:tc>
          <w:tcPr>
            <w:tcW w:w="714" w:type="pct"/>
            <w:tcBorders>
              <w:top w:val="nil"/>
              <w:left w:val="nil"/>
              <w:bottom w:val="single" w:sz="4" w:space="0" w:color="auto"/>
              <w:right w:val="single" w:sz="4" w:space="0" w:color="auto"/>
            </w:tcBorders>
            <w:noWrap/>
            <w:vAlign w:val="center"/>
          </w:tcPr>
          <w:p w14:paraId="74DDC8C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509</w:t>
            </w:r>
          </w:p>
        </w:tc>
        <w:tc>
          <w:tcPr>
            <w:tcW w:w="713" w:type="pct"/>
            <w:tcBorders>
              <w:top w:val="nil"/>
              <w:left w:val="nil"/>
              <w:bottom w:val="single" w:sz="4" w:space="0" w:color="auto"/>
              <w:right w:val="single" w:sz="4" w:space="0" w:color="auto"/>
            </w:tcBorders>
            <w:noWrap/>
            <w:vAlign w:val="center"/>
          </w:tcPr>
          <w:p w14:paraId="7B6D327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2.64%</w:t>
            </w:r>
          </w:p>
        </w:tc>
      </w:tr>
      <w:tr w:rsidR="005C07DE" w:rsidRPr="00CB63E4" w14:paraId="1C067C43"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978B6F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6710AD8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metabolism (cyp2c19 inhibitor)</w:t>
            </w:r>
          </w:p>
        </w:tc>
        <w:tc>
          <w:tcPr>
            <w:tcW w:w="626" w:type="pct"/>
            <w:tcBorders>
              <w:top w:val="nil"/>
              <w:left w:val="nil"/>
              <w:bottom w:val="single" w:sz="4" w:space="0" w:color="auto"/>
              <w:right w:val="single" w:sz="4" w:space="0" w:color="auto"/>
            </w:tcBorders>
            <w:noWrap/>
            <w:vAlign w:val="center"/>
          </w:tcPr>
          <w:p w14:paraId="05DDCE9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19652</w:t>
            </w:r>
          </w:p>
        </w:tc>
        <w:tc>
          <w:tcPr>
            <w:tcW w:w="714" w:type="pct"/>
            <w:tcBorders>
              <w:top w:val="nil"/>
              <w:left w:val="nil"/>
              <w:bottom w:val="single" w:sz="4" w:space="0" w:color="auto"/>
              <w:right w:val="single" w:sz="4" w:space="0" w:color="auto"/>
            </w:tcBorders>
            <w:noWrap/>
            <w:vAlign w:val="center"/>
          </w:tcPr>
          <w:p w14:paraId="294A3ED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509</w:t>
            </w:r>
          </w:p>
        </w:tc>
        <w:tc>
          <w:tcPr>
            <w:tcW w:w="713" w:type="pct"/>
            <w:tcBorders>
              <w:top w:val="nil"/>
              <w:left w:val="nil"/>
              <w:bottom w:val="single" w:sz="4" w:space="0" w:color="auto"/>
              <w:right w:val="single" w:sz="4" w:space="0" w:color="auto"/>
            </w:tcBorders>
            <w:noWrap/>
            <w:vAlign w:val="center"/>
          </w:tcPr>
          <w:p w14:paraId="2059470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2.59%</w:t>
            </w:r>
          </w:p>
        </w:tc>
      </w:tr>
      <w:tr w:rsidR="005C07DE" w:rsidRPr="00CB63E4" w14:paraId="380BCD4E"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FD9C9F7"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2125E857"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metabolism (cyp1a2 inhibitor)</w:t>
            </w:r>
          </w:p>
        </w:tc>
        <w:tc>
          <w:tcPr>
            <w:tcW w:w="626" w:type="pct"/>
            <w:tcBorders>
              <w:top w:val="nil"/>
              <w:left w:val="nil"/>
              <w:bottom w:val="single" w:sz="4" w:space="0" w:color="auto"/>
              <w:right w:val="single" w:sz="4" w:space="0" w:color="auto"/>
            </w:tcBorders>
            <w:noWrap/>
            <w:vAlign w:val="center"/>
          </w:tcPr>
          <w:p w14:paraId="464F22C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19891</w:t>
            </w:r>
          </w:p>
        </w:tc>
        <w:tc>
          <w:tcPr>
            <w:tcW w:w="714" w:type="pct"/>
            <w:tcBorders>
              <w:top w:val="nil"/>
              <w:left w:val="nil"/>
              <w:bottom w:val="single" w:sz="4" w:space="0" w:color="auto"/>
              <w:right w:val="single" w:sz="4" w:space="0" w:color="auto"/>
            </w:tcBorders>
            <w:noWrap/>
            <w:vAlign w:val="center"/>
          </w:tcPr>
          <w:p w14:paraId="64F5151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498</w:t>
            </w:r>
          </w:p>
        </w:tc>
        <w:tc>
          <w:tcPr>
            <w:tcW w:w="713" w:type="pct"/>
            <w:tcBorders>
              <w:top w:val="nil"/>
              <w:left w:val="nil"/>
              <w:bottom w:val="single" w:sz="4" w:space="0" w:color="auto"/>
              <w:right w:val="single" w:sz="4" w:space="0" w:color="auto"/>
            </w:tcBorders>
            <w:noWrap/>
            <w:vAlign w:val="center"/>
          </w:tcPr>
          <w:p w14:paraId="2936D81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2.50%</w:t>
            </w:r>
          </w:p>
        </w:tc>
      </w:tr>
      <w:tr w:rsidR="005C07DE" w:rsidRPr="00CB63E4" w14:paraId="1A5FAB30"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7D00DF7"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43B4946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efflux pump substrate (</w:t>
            </w:r>
            <w:proofErr w:type="spellStart"/>
            <w:r w:rsidRPr="00CB63E4">
              <w:rPr>
                <w:rFonts w:ascii="Times New Roman" w:eastAsia="等线" w:hAnsi="Times New Roman" w:cs="Times New Roman"/>
                <w:color w:val="000000" w:themeColor="text1"/>
                <w:kern w:val="0"/>
                <w:sz w:val="18"/>
                <w:szCs w:val="18"/>
                <w:lang w:bidi="ar"/>
              </w:rPr>
              <w:t>pgp_substrate</w:t>
            </w:r>
            <w:proofErr w:type="spellEnd"/>
            <w:r w:rsidRPr="00CB63E4">
              <w:rPr>
                <w:rFonts w:ascii="Times New Roman" w:eastAsia="等线" w:hAnsi="Times New Roman" w:cs="Times New Roman"/>
                <w:color w:val="000000" w:themeColor="text1"/>
                <w:kern w:val="0"/>
                <w:sz w:val="18"/>
                <w:szCs w:val="18"/>
                <w:lang w:bidi="ar"/>
              </w:rPr>
              <w:t>)</w:t>
            </w:r>
          </w:p>
        </w:tc>
        <w:tc>
          <w:tcPr>
            <w:tcW w:w="626" w:type="pct"/>
            <w:tcBorders>
              <w:top w:val="nil"/>
              <w:left w:val="nil"/>
              <w:bottom w:val="single" w:sz="4" w:space="0" w:color="auto"/>
              <w:right w:val="single" w:sz="4" w:space="0" w:color="auto"/>
            </w:tcBorders>
            <w:noWrap/>
            <w:vAlign w:val="center"/>
          </w:tcPr>
          <w:p w14:paraId="01ADD477"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1242</w:t>
            </w:r>
          </w:p>
        </w:tc>
        <w:tc>
          <w:tcPr>
            <w:tcW w:w="714" w:type="pct"/>
            <w:tcBorders>
              <w:top w:val="nil"/>
              <w:left w:val="nil"/>
              <w:bottom w:val="single" w:sz="4" w:space="0" w:color="auto"/>
              <w:right w:val="single" w:sz="4" w:space="0" w:color="auto"/>
            </w:tcBorders>
            <w:noWrap/>
            <w:vAlign w:val="center"/>
          </w:tcPr>
          <w:p w14:paraId="04BC90A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28</w:t>
            </w:r>
          </w:p>
        </w:tc>
        <w:tc>
          <w:tcPr>
            <w:tcW w:w="713" w:type="pct"/>
            <w:tcBorders>
              <w:top w:val="nil"/>
              <w:left w:val="nil"/>
              <w:bottom w:val="single" w:sz="4" w:space="0" w:color="auto"/>
              <w:right w:val="single" w:sz="4" w:space="0" w:color="auto"/>
            </w:tcBorders>
            <w:noWrap/>
            <w:vAlign w:val="center"/>
          </w:tcPr>
          <w:p w14:paraId="51072693"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2.25%</w:t>
            </w:r>
          </w:p>
        </w:tc>
      </w:tr>
      <w:tr w:rsidR="005C07DE" w:rsidRPr="00CB63E4" w14:paraId="2FDA0BDA"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63371A2A"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lastRenderedPageBreak/>
              <w:t>Regression</w:t>
            </w:r>
          </w:p>
        </w:tc>
        <w:tc>
          <w:tcPr>
            <w:tcW w:w="2081" w:type="pct"/>
            <w:tcBorders>
              <w:top w:val="nil"/>
              <w:left w:val="nil"/>
              <w:bottom w:val="single" w:sz="4" w:space="0" w:color="auto"/>
              <w:right w:val="single" w:sz="4" w:space="0" w:color="auto"/>
            </w:tcBorders>
            <w:noWrap/>
            <w:vAlign w:val="center"/>
          </w:tcPr>
          <w:p w14:paraId="53F3B34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Clearance</w:t>
            </w:r>
          </w:p>
        </w:tc>
        <w:tc>
          <w:tcPr>
            <w:tcW w:w="626" w:type="pct"/>
            <w:tcBorders>
              <w:top w:val="nil"/>
              <w:left w:val="nil"/>
              <w:bottom w:val="single" w:sz="4" w:space="0" w:color="auto"/>
              <w:right w:val="single" w:sz="4" w:space="0" w:color="auto"/>
            </w:tcBorders>
            <w:noWrap/>
            <w:vAlign w:val="center"/>
          </w:tcPr>
          <w:p w14:paraId="47313B2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835</w:t>
            </w:r>
          </w:p>
        </w:tc>
        <w:tc>
          <w:tcPr>
            <w:tcW w:w="714" w:type="pct"/>
            <w:tcBorders>
              <w:top w:val="nil"/>
              <w:left w:val="nil"/>
              <w:bottom w:val="single" w:sz="4" w:space="0" w:color="auto"/>
              <w:right w:val="single" w:sz="4" w:space="0" w:color="auto"/>
            </w:tcBorders>
            <w:noWrap/>
            <w:vAlign w:val="center"/>
          </w:tcPr>
          <w:p w14:paraId="46B62B6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w:t>
            </w:r>
          </w:p>
        </w:tc>
        <w:tc>
          <w:tcPr>
            <w:tcW w:w="713" w:type="pct"/>
            <w:tcBorders>
              <w:top w:val="nil"/>
              <w:left w:val="nil"/>
              <w:bottom w:val="single" w:sz="4" w:space="0" w:color="auto"/>
              <w:right w:val="single" w:sz="4" w:space="0" w:color="auto"/>
            </w:tcBorders>
            <w:noWrap/>
            <w:vAlign w:val="center"/>
          </w:tcPr>
          <w:p w14:paraId="55AB835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1.80%</w:t>
            </w:r>
          </w:p>
        </w:tc>
      </w:tr>
      <w:tr w:rsidR="005C07DE" w:rsidRPr="00CB63E4" w14:paraId="2D3BB967"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B0577F8"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7BD853C2"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Drug efflux pump inhibitor (</w:t>
            </w:r>
            <w:proofErr w:type="spellStart"/>
            <w:r w:rsidRPr="00CB63E4">
              <w:rPr>
                <w:rFonts w:ascii="Times New Roman" w:eastAsia="等线" w:hAnsi="Times New Roman" w:cs="Times New Roman"/>
                <w:color w:val="000000" w:themeColor="text1"/>
                <w:kern w:val="0"/>
                <w:sz w:val="18"/>
                <w:szCs w:val="18"/>
                <w:lang w:bidi="ar"/>
              </w:rPr>
              <w:t>pgp_inhibitor</w:t>
            </w:r>
            <w:proofErr w:type="spellEnd"/>
            <w:r w:rsidRPr="00CB63E4">
              <w:rPr>
                <w:rFonts w:ascii="Times New Roman" w:eastAsia="等线" w:hAnsi="Times New Roman" w:cs="Times New Roman"/>
                <w:color w:val="000000" w:themeColor="text1"/>
                <w:kern w:val="0"/>
                <w:sz w:val="18"/>
                <w:szCs w:val="18"/>
                <w:lang w:bidi="ar"/>
              </w:rPr>
              <w:t>)</w:t>
            </w:r>
          </w:p>
        </w:tc>
        <w:tc>
          <w:tcPr>
            <w:tcW w:w="626" w:type="pct"/>
            <w:tcBorders>
              <w:top w:val="nil"/>
              <w:left w:val="nil"/>
              <w:bottom w:val="single" w:sz="4" w:space="0" w:color="auto"/>
              <w:right w:val="single" w:sz="4" w:space="0" w:color="auto"/>
            </w:tcBorders>
            <w:noWrap/>
            <w:vAlign w:val="center"/>
          </w:tcPr>
          <w:p w14:paraId="3512448B"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2244</w:t>
            </w:r>
          </w:p>
        </w:tc>
        <w:tc>
          <w:tcPr>
            <w:tcW w:w="714" w:type="pct"/>
            <w:tcBorders>
              <w:top w:val="nil"/>
              <w:left w:val="nil"/>
              <w:bottom w:val="single" w:sz="4" w:space="0" w:color="auto"/>
              <w:right w:val="single" w:sz="4" w:space="0" w:color="auto"/>
            </w:tcBorders>
            <w:noWrap/>
            <w:vAlign w:val="center"/>
          </w:tcPr>
          <w:p w14:paraId="18DC6722"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36</w:t>
            </w:r>
          </w:p>
        </w:tc>
        <w:tc>
          <w:tcPr>
            <w:tcW w:w="713" w:type="pct"/>
            <w:tcBorders>
              <w:top w:val="nil"/>
              <w:left w:val="nil"/>
              <w:bottom w:val="single" w:sz="4" w:space="0" w:color="auto"/>
              <w:right w:val="single" w:sz="4" w:space="0" w:color="auto"/>
            </w:tcBorders>
            <w:noWrap/>
            <w:vAlign w:val="center"/>
          </w:tcPr>
          <w:p w14:paraId="5A6D46A3"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1.60%</w:t>
            </w:r>
          </w:p>
        </w:tc>
      </w:tr>
      <w:tr w:rsidR="005C07DE" w:rsidRPr="00CB63E4" w14:paraId="34BF7F71"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6744644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45C7088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Plasma protein binding</w:t>
            </w:r>
          </w:p>
        </w:tc>
        <w:tc>
          <w:tcPr>
            <w:tcW w:w="626" w:type="pct"/>
            <w:tcBorders>
              <w:top w:val="nil"/>
              <w:left w:val="nil"/>
              <w:bottom w:val="single" w:sz="4" w:space="0" w:color="auto"/>
              <w:right w:val="single" w:sz="4" w:space="0" w:color="auto"/>
            </w:tcBorders>
            <w:noWrap/>
            <w:vAlign w:val="center"/>
          </w:tcPr>
          <w:p w14:paraId="7F9EE0A1"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3611</w:t>
            </w:r>
          </w:p>
        </w:tc>
        <w:tc>
          <w:tcPr>
            <w:tcW w:w="714" w:type="pct"/>
            <w:tcBorders>
              <w:top w:val="nil"/>
              <w:left w:val="nil"/>
              <w:bottom w:val="single" w:sz="4" w:space="0" w:color="auto"/>
              <w:right w:val="single" w:sz="4" w:space="0" w:color="auto"/>
            </w:tcBorders>
            <w:noWrap/>
            <w:vAlign w:val="center"/>
          </w:tcPr>
          <w:p w14:paraId="0D1C8C88"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54</w:t>
            </w:r>
          </w:p>
        </w:tc>
        <w:tc>
          <w:tcPr>
            <w:tcW w:w="713" w:type="pct"/>
            <w:tcBorders>
              <w:top w:val="nil"/>
              <w:left w:val="nil"/>
              <w:bottom w:val="single" w:sz="4" w:space="0" w:color="auto"/>
              <w:right w:val="single" w:sz="4" w:space="0" w:color="auto"/>
            </w:tcBorders>
            <w:noWrap/>
            <w:vAlign w:val="center"/>
          </w:tcPr>
          <w:p w14:paraId="1B48039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1.50%</w:t>
            </w:r>
          </w:p>
        </w:tc>
      </w:tr>
      <w:tr w:rsidR="005C07DE" w:rsidRPr="00CB63E4" w14:paraId="28C1F69D"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188F0F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6D91D2B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Caco</w:t>
            </w:r>
            <w:proofErr w:type="spellEnd"/>
            <w:r w:rsidRPr="00CB63E4">
              <w:rPr>
                <w:rFonts w:ascii="Times New Roman" w:eastAsia="等线" w:hAnsi="Times New Roman" w:cs="Times New Roman"/>
                <w:color w:val="000000" w:themeColor="text1"/>
                <w:kern w:val="0"/>
                <w:sz w:val="18"/>
                <w:szCs w:val="18"/>
                <w:lang w:bidi="ar"/>
              </w:rPr>
              <w:t xml:space="preserve"> 2 (Intestinal permeability)</w:t>
            </w:r>
          </w:p>
        </w:tc>
        <w:tc>
          <w:tcPr>
            <w:tcW w:w="626" w:type="pct"/>
            <w:tcBorders>
              <w:top w:val="nil"/>
              <w:left w:val="nil"/>
              <w:bottom w:val="single" w:sz="4" w:space="0" w:color="auto"/>
              <w:right w:val="single" w:sz="4" w:space="0" w:color="auto"/>
            </w:tcBorders>
            <w:noWrap/>
            <w:vAlign w:val="center"/>
          </w:tcPr>
          <w:p w14:paraId="0E4D377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2473</w:t>
            </w:r>
          </w:p>
        </w:tc>
        <w:tc>
          <w:tcPr>
            <w:tcW w:w="714" w:type="pct"/>
            <w:tcBorders>
              <w:top w:val="nil"/>
              <w:left w:val="nil"/>
              <w:bottom w:val="single" w:sz="4" w:space="0" w:color="auto"/>
              <w:right w:val="single" w:sz="4" w:space="0" w:color="auto"/>
            </w:tcBorders>
            <w:noWrap/>
            <w:vAlign w:val="center"/>
          </w:tcPr>
          <w:p w14:paraId="435544EB"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20</w:t>
            </w:r>
          </w:p>
        </w:tc>
        <w:tc>
          <w:tcPr>
            <w:tcW w:w="713" w:type="pct"/>
            <w:tcBorders>
              <w:top w:val="nil"/>
              <w:left w:val="nil"/>
              <w:bottom w:val="single" w:sz="4" w:space="0" w:color="auto"/>
              <w:right w:val="single" w:sz="4" w:space="0" w:color="auto"/>
            </w:tcBorders>
            <w:noWrap/>
            <w:vAlign w:val="center"/>
          </w:tcPr>
          <w:p w14:paraId="3941B4C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0.81%</w:t>
            </w:r>
          </w:p>
        </w:tc>
      </w:tr>
      <w:tr w:rsidR="005C07DE" w:rsidRPr="00CB63E4" w14:paraId="62CAF69F"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41EAC38"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17C1A940"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Fraction unbound in human plasma</w:t>
            </w:r>
          </w:p>
        </w:tc>
        <w:tc>
          <w:tcPr>
            <w:tcW w:w="626" w:type="pct"/>
            <w:tcBorders>
              <w:top w:val="nil"/>
              <w:left w:val="nil"/>
              <w:bottom w:val="single" w:sz="4" w:space="0" w:color="auto"/>
              <w:right w:val="single" w:sz="4" w:space="0" w:color="auto"/>
            </w:tcBorders>
            <w:noWrap/>
            <w:vAlign w:val="center"/>
          </w:tcPr>
          <w:p w14:paraId="7B86CBF8"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2377</w:t>
            </w:r>
          </w:p>
        </w:tc>
        <w:tc>
          <w:tcPr>
            <w:tcW w:w="714" w:type="pct"/>
            <w:tcBorders>
              <w:top w:val="nil"/>
              <w:left w:val="nil"/>
              <w:bottom w:val="single" w:sz="4" w:space="0" w:color="auto"/>
              <w:right w:val="single" w:sz="4" w:space="0" w:color="auto"/>
            </w:tcBorders>
            <w:noWrap/>
            <w:vAlign w:val="center"/>
          </w:tcPr>
          <w:p w14:paraId="7D4BF37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18</w:t>
            </w:r>
          </w:p>
        </w:tc>
        <w:tc>
          <w:tcPr>
            <w:tcW w:w="713" w:type="pct"/>
            <w:tcBorders>
              <w:top w:val="nil"/>
              <w:left w:val="nil"/>
              <w:bottom w:val="single" w:sz="4" w:space="0" w:color="auto"/>
              <w:right w:val="single" w:sz="4" w:space="0" w:color="auto"/>
            </w:tcBorders>
            <w:noWrap/>
            <w:vAlign w:val="center"/>
          </w:tcPr>
          <w:p w14:paraId="65C8C8C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0.76%</w:t>
            </w:r>
          </w:p>
        </w:tc>
      </w:tr>
      <w:tr w:rsidR="005C07DE" w:rsidRPr="00CB63E4" w14:paraId="4E8DFEAC"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1F640F6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5CB07E0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Heart rhythm disorder</w:t>
            </w:r>
          </w:p>
        </w:tc>
        <w:tc>
          <w:tcPr>
            <w:tcW w:w="626" w:type="pct"/>
            <w:tcBorders>
              <w:top w:val="nil"/>
              <w:left w:val="nil"/>
              <w:bottom w:val="single" w:sz="4" w:space="0" w:color="auto"/>
              <w:right w:val="single" w:sz="4" w:space="0" w:color="auto"/>
            </w:tcBorders>
            <w:noWrap/>
            <w:vAlign w:val="center"/>
          </w:tcPr>
          <w:p w14:paraId="79DF733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20728</w:t>
            </w:r>
          </w:p>
        </w:tc>
        <w:tc>
          <w:tcPr>
            <w:tcW w:w="714" w:type="pct"/>
            <w:tcBorders>
              <w:top w:val="nil"/>
              <w:left w:val="nil"/>
              <w:bottom w:val="single" w:sz="4" w:space="0" w:color="auto"/>
              <w:right w:val="single" w:sz="4" w:space="0" w:color="auto"/>
            </w:tcBorders>
            <w:noWrap/>
            <w:vAlign w:val="center"/>
          </w:tcPr>
          <w:p w14:paraId="0C53BFF4"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94</w:t>
            </w:r>
          </w:p>
        </w:tc>
        <w:tc>
          <w:tcPr>
            <w:tcW w:w="713" w:type="pct"/>
            <w:tcBorders>
              <w:top w:val="nil"/>
              <w:left w:val="nil"/>
              <w:bottom w:val="single" w:sz="4" w:space="0" w:color="auto"/>
              <w:right w:val="single" w:sz="4" w:space="0" w:color="auto"/>
            </w:tcBorders>
            <w:noWrap/>
            <w:vAlign w:val="center"/>
          </w:tcPr>
          <w:p w14:paraId="03F7A552"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0.45%</w:t>
            </w:r>
          </w:p>
        </w:tc>
      </w:tr>
      <w:tr w:rsidR="005C07DE" w:rsidRPr="00CB63E4" w14:paraId="6D5AEEB6"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86FFC0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3B256A52"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Intestinal permeability (MDCK - Madin-Darby canine kidney)</w:t>
            </w:r>
          </w:p>
        </w:tc>
        <w:tc>
          <w:tcPr>
            <w:tcW w:w="626" w:type="pct"/>
            <w:tcBorders>
              <w:top w:val="nil"/>
              <w:left w:val="nil"/>
              <w:bottom w:val="single" w:sz="4" w:space="0" w:color="auto"/>
              <w:right w:val="single" w:sz="4" w:space="0" w:color="auto"/>
            </w:tcBorders>
            <w:noWrap/>
            <w:vAlign w:val="center"/>
          </w:tcPr>
          <w:p w14:paraId="256C9F5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1136</w:t>
            </w:r>
          </w:p>
        </w:tc>
        <w:tc>
          <w:tcPr>
            <w:tcW w:w="714" w:type="pct"/>
            <w:tcBorders>
              <w:top w:val="nil"/>
              <w:left w:val="nil"/>
              <w:bottom w:val="single" w:sz="4" w:space="0" w:color="auto"/>
              <w:right w:val="single" w:sz="4" w:space="0" w:color="auto"/>
            </w:tcBorders>
            <w:noWrap/>
            <w:vAlign w:val="center"/>
          </w:tcPr>
          <w:p w14:paraId="53296E06"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5</w:t>
            </w:r>
          </w:p>
        </w:tc>
        <w:tc>
          <w:tcPr>
            <w:tcW w:w="713" w:type="pct"/>
            <w:tcBorders>
              <w:top w:val="nil"/>
              <w:left w:val="nil"/>
              <w:bottom w:val="single" w:sz="4" w:space="0" w:color="auto"/>
              <w:right w:val="single" w:sz="4" w:space="0" w:color="auto"/>
            </w:tcBorders>
            <w:noWrap/>
            <w:vAlign w:val="center"/>
          </w:tcPr>
          <w:p w14:paraId="776EB677"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0.44%</w:t>
            </w:r>
          </w:p>
        </w:tc>
      </w:tr>
      <w:tr w:rsidR="005C07DE" w:rsidRPr="00CB63E4" w14:paraId="453C5F81"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5484A32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Regression</w:t>
            </w:r>
          </w:p>
        </w:tc>
        <w:tc>
          <w:tcPr>
            <w:tcW w:w="2081" w:type="pct"/>
            <w:tcBorders>
              <w:top w:val="nil"/>
              <w:left w:val="nil"/>
              <w:bottom w:val="single" w:sz="4" w:space="0" w:color="auto"/>
              <w:right w:val="single" w:sz="4" w:space="0" w:color="auto"/>
            </w:tcBorders>
            <w:noWrap/>
            <w:vAlign w:val="center"/>
          </w:tcPr>
          <w:p w14:paraId="7F7392FC"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proofErr w:type="spellStart"/>
            <w:r w:rsidRPr="00CB63E4">
              <w:rPr>
                <w:rFonts w:ascii="Times New Roman" w:eastAsia="等线" w:hAnsi="Times New Roman" w:cs="Times New Roman"/>
                <w:color w:val="000000" w:themeColor="text1"/>
                <w:kern w:val="0"/>
                <w:sz w:val="18"/>
                <w:szCs w:val="18"/>
                <w:lang w:bidi="ar"/>
              </w:rPr>
              <w:t>logD</w:t>
            </w:r>
            <w:proofErr w:type="spellEnd"/>
            <w:r w:rsidRPr="00CB63E4">
              <w:rPr>
                <w:rFonts w:ascii="Times New Roman" w:eastAsia="等线" w:hAnsi="Times New Roman" w:cs="Times New Roman"/>
                <w:color w:val="000000" w:themeColor="text1"/>
                <w:kern w:val="0"/>
                <w:sz w:val="18"/>
                <w:szCs w:val="18"/>
                <w:lang w:bidi="ar"/>
              </w:rPr>
              <w:t xml:space="preserve"> (octanol-water distribution coefficient)</w:t>
            </w:r>
          </w:p>
        </w:tc>
        <w:tc>
          <w:tcPr>
            <w:tcW w:w="626" w:type="pct"/>
            <w:tcBorders>
              <w:top w:val="nil"/>
              <w:left w:val="nil"/>
              <w:bottom w:val="single" w:sz="4" w:space="0" w:color="auto"/>
              <w:right w:val="single" w:sz="4" w:space="0" w:color="auto"/>
            </w:tcBorders>
            <w:noWrap/>
            <w:vAlign w:val="center"/>
          </w:tcPr>
          <w:p w14:paraId="0FDAD7D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10629</w:t>
            </w:r>
          </w:p>
        </w:tc>
        <w:tc>
          <w:tcPr>
            <w:tcW w:w="714" w:type="pct"/>
            <w:tcBorders>
              <w:top w:val="nil"/>
              <w:left w:val="nil"/>
              <w:bottom w:val="single" w:sz="4" w:space="0" w:color="auto"/>
              <w:right w:val="single" w:sz="4" w:space="0" w:color="auto"/>
            </w:tcBorders>
            <w:noWrap/>
            <w:vAlign w:val="center"/>
          </w:tcPr>
          <w:p w14:paraId="59981F1D"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32</w:t>
            </w:r>
          </w:p>
        </w:tc>
        <w:tc>
          <w:tcPr>
            <w:tcW w:w="713" w:type="pct"/>
            <w:tcBorders>
              <w:top w:val="nil"/>
              <w:left w:val="nil"/>
              <w:bottom w:val="single" w:sz="4" w:space="0" w:color="auto"/>
              <w:right w:val="single" w:sz="4" w:space="0" w:color="auto"/>
            </w:tcBorders>
            <w:noWrap/>
            <w:vAlign w:val="center"/>
          </w:tcPr>
          <w:p w14:paraId="3BEE6F9B"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0.30%</w:t>
            </w:r>
          </w:p>
        </w:tc>
      </w:tr>
      <w:tr w:rsidR="005C07DE" w:rsidRPr="00CB63E4" w14:paraId="57016B33" w14:textId="77777777" w:rsidTr="00911029">
        <w:trPr>
          <w:trHeight w:val="285"/>
          <w:tblHeader/>
        </w:trPr>
        <w:tc>
          <w:tcPr>
            <w:tcW w:w="866" w:type="pct"/>
            <w:tcBorders>
              <w:top w:val="nil"/>
              <w:left w:val="single" w:sz="4" w:space="0" w:color="auto"/>
              <w:bottom w:val="single" w:sz="4" w:space="0" w:color="auto"/>
              <w:right w:val="single" w:sz="4" w:space="0" w:color="auto"/>
            </w:tcBorders>
            <w:noWrap/>
            <w:vAlign w:val="center"/>
          </w:tcPr>
          <w:p w14:paraId="3828BBAB"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Classification</w:t>
            </w:r>
          </w:p>
        </w:tc>
        <w:tc>
          <w:tcPr>
            <w:tcW w:w="2081" w:type="pct"/>
            <w:tcBorders>
              <w:top w:val="nil"/>
              <w:left w:val="nil"/>
              <w:bottom w:val="single" w:sz="4" w:space="0" w:color="auto"/>
              <w:right w:val="single" w:sz="4" w:space="0" w:color="auto"/>
            </w:tcBorders>
            <w:noWrap/>
            <w:vAlign w:val="center"/>
          </w:tcPr>
          <w:p w14:paraId="0DB466DE"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Breast cancer resistance protein inhibitor</w:t>
            </w:r>
          </w:p>
        </w:tc>
        <w:tc>
          <w:tcPr>
            <w:tcW w:w="626" w:type="pct"/>
            <w:tcBorders>
              <w:top w:val="nil"/>
              <w:left w:val="nil"/>
              <w:bottom w:val="single" w:sz="4" w:space="0" w:color="auto"/>
              <w:right w:val="single" w:sz="4" w:space="0" w:color="auto"/>
            </w:tcBorders>
            <w:noWrap/>
            <w:vAlign w:val="center"/>
          </w:tcPr>
          <w:p w14:paraId="5CDAFAA9"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694</w:t>
            </w:r>
          </w:p>
        </w:tc>
        <w:tc>
          <w:tcPr>
            <w:tcW w:w="714" w:type="pct"/>
            <w:tcBorders>
              <w:top w:val="nil"/>
              <w:left w:val="nil"/>
              <w:bottom w:val="single" w:sz="4" w:space="0" w:color="auto"/>
              <w:right w:val="single" w:sz="4" w:space="0" w:color="auto"/>
            </w:tcBorders>
            <w:noWrap/>
            <w:vAlign w:val="center"/>
          </w:tcPr>
          <w:p w14:paraId="57CEFF15" w14:textId="77777777"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0</w:t>
            </w:r>
          </w:p>
        </w:tc>
        <w:tc>
          <w:tcPr>
            <w:tcW w:w="713" w:type="pct"/>
            <w:tcBorders>
              <w:top w:val="nil"/>
              <w:left w:val="nil"/>
              <w:bottom w:val="single" w:sz="4" w:space="0" w:color="auto"/>
              <w:right w:val="single" w:sz="4" w:space="0" w:color="auto"/>
            </w:tcBorders>
            <w:noWrap/>
            <w:vAlign w:val="center"/>
          </w:tcPr>
          <w:p w14:paraId="3B1CB2BA" w14:textId="03734669" w:rsidR="005C07DE" w:rsidRPr="00CB63E4" w:rsidRDefault="005C07DE" w:rsidP="005C07DE">
            <w:pPr>
              <w:widowControl/>
              <w:jc w:val="center"/>
              <w:textAlignment w:val="center"/>
              <w:rPr>
                <w:rFonts w:ascii="Times New Roman" w:eastAsia="等线" w:hAnsi="Times New Roman" w:cs="Times New Roman"/>
                <w:color w:val="000000" w:themeColor="text1"/>
                <w:sz w:val="18"/>
                <w:szCs w:val="18"/>
              </w:rPr>
            </w:pPr>
            <w:r w:rsidRPr="00CB63E4">
              <w:rPr>
                <w:rFonts w:ascii="Times New Roman" w:eastAsia="等线" w:hAnsi="Times New Roman" w:cs="Times New Roman"/>
                <w:color w:val="000000" w:themeColor="text1"/>
                <w:kern w:val="0"/>
                <w:sz w:val="18"/>
                <w:szCs w:val="18"/>
                <w:lang w:bidi="ar"/>
              </w:rPr>
              <w:t>0</w:t>
            </w:r>
          </w:p>
        </w:tc>
      </w:tr>
    </w:tbl>
    <w:p w14:paraId="5AD4764B" w14:textId="77777777" w:rsidR="0050672C" w:rsidRPr="00CB63E4" w:rsidRDefault="0050672C" w:rsidP="0050672C">
      <w:pPr>
        <w:adjustRightInd w:val="0"/>
        <w:snapToGrid w:val="0"/>
        <w:spacing w:line="360" w:lineRule="auto"/>
        <w:rPr>
          <w:rFonts w:ascii="Times New Roman" w:hAnsi="Times New Roman" w:cs="Times New Roman"/>
          <w:color w:val="000000" w:themeColor="text1"/>
          <w:kern w:val="0"/>
          <w:sz w:val="24"/>
        </w:rPr>
      </w:pPr>
      <w:bookmarkStart w:id="1" w:name="OLE_LINK5"/>
    </w:p>
    <w:p w14:paraId="01864895" w14:textId="7ADC7F07" w:rsidR="007D2042" w:rsidRPr="004B4A6F" w:rsidRDefault="00E15CF4" w:rsidP="00E15CF4">
      <w:pPr>
        <w:keepNext/>
        <w:adjustRightInd w:val="0"/>
        <w:snapToGrid w:val="0"/>
        <w:spacing w:line="360" w:lineRule="auto"/>
        <w:rPr>
          <w:rFonts w:ascii="Times New Roman" w:hAnsi="Times New Roman" w:cs="Times New Roman"/>
          <w:color w:val="000000" w:themeColor="text1"/>
          <w:kern w:val="0"/>
          <w:sz w:val="24"/>
        </w:rPr>
      </w:pPr>
      <w:r w:rsidRPr="004B4A6F">
        <w:rPr>
          <w:rFonts w:ascii="Times New Roman" w:hAnsi="Times New Roman" w:cs="Times New Roman"/>
          <w:b/>
          <w:bCs/>
          <w:color w:val="000000" w:themeColor="text1"/>
          <w:kern w:val="0"/>
          <w:sz w:val="24"/>
        </w:rPr>
        <w:t xml:space="preserve">Supplementary Table 3. Target-distribution shifts of no-scaffold molecules relative to scaffold-bearing molecules in regression tasks. </w:t>
      </w:r>
      <w:r w:rsidRPr="004B4A6F">
        <w:rPr>
          <w:rFonts w:ascii="Times New Roman" w:hAnsi="Times New Roman" w:cs="Times New Roman"/>
          <w:color w:val="000000" w:themeColor="text1"/>
          <w:kern w:val="0"/>
          <w:sz w:val="24"/>
        </w:rPr>
        <w:t xml:space="preserve">Regression endpoints with </w:t>
      </w:r>
      <w:r w:rsidRPr="004B4A6F">
        <w:rPr>
          <w:rFonts w:ascii="Cambria Math" w:hAnsi="Cambria Math" w:cs="Cambria Math"/>
          <w:color w:val="000000" w:themeColor="text1"/>
          <w:kern w:val="0"/>
          <w:sz w:val="24"/>
        </w:rPr>
        <w:t>∣</w:t>
      </w:r>
      <w:r w:rsidRPr="004B4A6F">
        <w:rPr>
          <w:rFonts w:ascii="Times New Roman" w:hAnsi="Times New Roman" w:cs="Times New Roman"/>
          <w:color w:val="000000" w:themeColor="text1"/>
          <w:kern w:val="0"/>
          <w:sz w:val="24"/>
        </w:rPr>
        <w:t>Hedges′</w:t>
      </w:r>
      <w:r w:rsidR="001905F6" w:rsidRPr="004B4A6F">
        <w:rPr>
          <w:rFonts w:ascii="Times New Roman" w:hAnsi="Times New Roman" w:cs="Times New Roman"/>
          <w:color w:val="000000" w:themeColor="text1"/>
          <w:kern w:val="0"/>
          <w:sz w:val="24"/>
        </w:rPr>
        <w:t xml:space="preserve"> </w:t>
      </w:r>
      <w:r w:rsidRPr="004B4A6F">
        <w:rPr>
          <w:rFonts w:ascii="Times New Roman" w:hAnsi="Times New Roman" w:cs="Times New Roman"/>
          <w:color w:val="000000" w:themeColor="text1"/>
          <w:kern w:val="0"/>
          <w:sz w:val="24"/>
        </w:rPr>
        <w:t>g</w:t>
      </w:r>
      <w:r w:rsidRPr="004B4A6F">
        <w:rPr>
          <w:rFonts w:ascii="Cambria Math" w:hAnsi="Cambria Math" w:cs="Cambria Math"/>
          <w:color w:val="000000" w:themeColor="text1"/>
          <w:kern w:val="0"/>
          <w:sz w:val="24"/>
        </w:rPr>
        <w:t>∣</w:t>
      </w:r>
      <w:r w:rsidR="001905F6" w:rsidRPr="004B4A6F">
        <w:rPr>
          <w:rFonts w:ascii="Times New Roman" w:hAnsi="Times New Roman" w:cs="Times New Roman"/>
          <w:color w:val="000000" w:themeColor="text1"/>
          <w:kern w:val="0"/>
          <w:sz w:val="24"/>
        </w:rPr>
        <w:t xml:space="preserve"> </w:t>
      </w:r>
      <w:r w:rsidRPr="004B4A6F">
        <w:rPr>
          <w:rFonts w:ascii="Times New Roman" w:hAnsi="Times New Roman" w:cs="Times New Roman"/>
          <w:color w:val="000000" w:themeColor="text1"/>
          <w:kern w:val="0"/>
          <w:sz w:val="24"/>
        </w:rPr>
        <w:t>≥</w:t>
      </w:r>
      <w:r w:rsidR="001905F6" w:rsidRPr="004B4A6F">
        <w:rPr>
          <w:rFonts w:ascii="Times New Roman" w:hAnsi="Times New Roman" w:cs="Times New Roman"/>
          <w:color w:val="000000" w:themeColor="text1"/>
          <w:kern w:val="0"/>
          <w:sz w:val="24"/>
        </w:rPr>
        <w:t xml:space="preserve"> </w:t>
      </w:r>
      <w:r w:rsidRPr="004B4A6F">
        <w:rPr>
          <w:rFonts w:ascii="Times New Roman" w:hAnsi="Times New Roman" w:cs="Times New Roman"/>
          <w:color w:val="000000" w:themeColor="text1"/>
          <w:kern w:val="0"/>
          <w:sz w:val="24"/>
        </w:rPr>
        <w:t xml:space="preserve">0.5 are listed and ranked in descending order of </w:t>
      </w:r>
      <w:r w:rsidRPr="004B4A6F">
        <w:rPr>
          <w:rFonts w:ascii="Cambria Math" w:hAnsi="Cambria Math" w:cs="Cambria Math"/>
          <w:color w:val="000000" w:themeColor="text1"/>
          <w:kern w:val="0"/>
          <w:sz w:val="24"/>
        </w:rPr>
        <w:t>∣</w:t>
      </w:r>
      <w:r w:rsidRPr="004B4A6F">
        <w:rPr>
          <w:rFonts w:ascii="Times New Roman" w:hAnsi="Times New Roman" w:cs="Times New Roman"/>
          <w:color w:val="000000" w:themeColor="text1"/>
          <w:kern w:val="0"/>
          <w:sz w:val="24"/>
        </w:rPr>
        <w:t>Hedges′</w:t>
      </w:r>
      <w:r w:rsidR="007B6AED" w:rsidRPr="004B4A6F">
        <w:rPr>
          <w:rFonts w:ascii="Times New Roman" w:hAnsi="Times New Roman" w:cs="Times New Roman" w:hint="eastAsia"/>
          <w:color w:val="000000" w:themeColor="text1"/>
          <w:kern w:val="0"/>
          <w:sz w:val="24"/>
        </w:rPr>
        <w:t xml:space="preserve"> </w:t>
      </w:r>
      <w:r w:rsidRPr="004B4A6F">
        <w:rPr>
          <w:rFonts w:ascii="Times New Roman" w:hAnsi="Times New Roman" w:cs="Times New Roman"/>
          <w:color w:val="000000" w:themeColor="text1"/>
          <w:kern w:val="0"/>
          <w:sz w:val="24"/>
        </w:rPr>
        <w:t>g</w:t>
      </w:r>
      <w:r w:rsidRPr="004B4A6F">
        <w:rPr>
          <w:rFonts w:ascii="Cambria Math" w:hAnsi="Cambria Math" w:cs="Cambria Math"/>
          <w:color w:val="000000" w:themeColor="text1"/>
          <w:kern w:val="0"/>
          <w:sz w:val="24"/>
        </w:rPr>
        <w:t>∣</w:t>
      </w:r>
      <w:r w:rsidR="001905F6" w:rsidRPr="004B4A6F">
        <w:rPr>
          <w:rFonts w:ascii="Times New Roman" w:hAnsi="Times New Roman" w:cs="Times New Roman"/>
          <w:color w:val="000000" w:themeColor="text1"/>
          <w:kern w:val="0"/>
          <w:sz w:val="24"/>
        </w:rPr>
        <w:t>.</w:t>
      </w:r>
      <w:r w:rsidRPr="004B4A6F">
        <w:rPr>
          <w:rFonts w:ascii="Times New Roman" w:hAnsi="Times New Roman" w:cs="Times New Roman"/>
          <w:color w:val="000000" w:themeColor="text1"/>
          <w:kern w:val="0"/>
          <w:sz w:val="24"/>
        </w:rPr>
        <w:t xml:space="preserve"> </w:t>
      </w:r>
      <w:r w:rsidRPr="004B4A6F">
        <w:rPr>
          <w:rFonts w:ascii="Cambria Math" w:hAnsi="Cambria Math" w:cs="Cambria Math"/>
          <w:color w:val="000000" w:themeColor="text1"/>
          <w:kern w:val="0"/>
          <w:sz w:val="24"/>
        </w:rPr>
        <w:t>∣</w:t>
      </w:r>
      <w:r w:rsidRPr="004B4A6F">
        <w:rPr>
          <w:rFonts w:ascii="Times New Roman" w:hAnsi="Times New Roman" w:cs="Times New Roman"/>
          <w:color w:val="000000" w:themeColor="text1"/>
          <w:kern w:val="0"/>
          <w:sz w:val="24"/>
        </w:rPr>
        <w:t>Hedges′</w:t>
      </w:r>
      <w:r w:rsidR="007B6AED" w:rsidRPr="004B4A6F">
        <w:rPr>
          <w:rFonts w:ascii="Times New Roman" w:hAnsi="Times New Roman" w:cs="Times New Roman" w:hint="eastAsia"/>
          <w:color w:val="000000" w:themeColor="text1"/>
          <w:kern w:val="0"/>
          <w:sz w:val="24"/>
        </w:rPr>
        <w:t xml:space="preserve"> </w:t>
      </w:r>
      <w:r w:rsidRPr="004B4A6F">
        <w:rPr>
          <w:rFonts w:ascii="Times New Roman" w:hAnsi="Times New Roman" w:cs="Times New Roman"/>
          <w:color w:val="000000" w:themeColor="text1"/>
          <w:kern w:val="0"/>
          <w:sz w:val="24"/>
        </w:rPr>
        <w:t>g</w:t>
      </w:r>
      <w:r w:rsidRPr="004B4A6F">
        <w:rPr>
          <w:rFonts w:ascii="Cambria Math" w:hAnsi="Cambria Math" w:cs="Cambria Math"/>
          <w:color w:val="000000" w:themeColor="text1"/>
          <w:kern w:val="0"/>
          <w:sz w:val="24"/>
        </w:rPr>
        <w:t>∣</w:t>
      </w:r>
      <w:r w:rsidR="001905F6" w:rsidRPr="004B4A6F">
        <w:rPr>
          <w:rFonts w:ascii="Times New Roman" w:hAnsi="Times New Roman" w:cs="Times New Roman"/>
          <w:color w:val="000000" w:themeColor="text1"/>
          <w:kern w:val="0"/>
          <w:sz w:val="24"/>
        </w:rPr>
        <w:t xml:space="preserve"> </w:t>
      </w:r>
      <w:r w:rsidRPr="004B4A6F">
        <w:rPr>
          <w:rFonts w:ascii="Times New Roman" w:hAnsi="Times New Roman" w:cs="Times New Roman"/>
          <w:color w:val="000000" w:themeColor="text1"/>
          <w:kern w:val="0"/>
          <w:sz w:val="24"/>
        </w:rPr>
        <w:t>measures the standardized difference in mean target values between no-scaffold and scaffold-bearing molecules, whereas the KS statistic measures the maximum difference between their empirical target-value distributions.</w:t>
      </w:r>
    </w:p>
    <w:tbl>
      <w:tblPr>
        <w:tblW w:w="8232" w:type="dxa"/>
        <w:tblInd w:w="113" w:type="dxa"/>
        <w:tblLook w:val="04A0" w:firstRow="1" w:lastRow="0" w:firstColumn="1" w:lastColumn="0" w:noHBand="0" w:noVBand="1"/>
      </w:tblPr>
      <w:tblGrid>
        <w:gridCol w:w="1555"/>
        <w:gridCol w:w="3118"/>
        <w:gridCol w:w="1843"/>
        <w:gridCol w:w="1716"/>
      </w:tblGrid>
      <w:tr w:rsidR="0050672C" w:rsidRPr="00CB63E4" w14:paraId="7B8E424C" w14:textId="77777777" w:rsidTr="00CB63E4">
        <w:trPr>
          <w:trHeight w:val="285"/>
        </w:trPr>
        <w:tc>
          <w:tcPr>
            <w:tcW w:w="1555" w:type="dxa"/>
            <w:tcBorders>
              <w:top w:val="single" w:sz="4" w:space="0" w:color="auto"/>
              <w:left w:val="single" w:sz="4" w:space="0" w:color="auto"/>
              <w:bottom w:val="single" w:sz="4" w:space="0" w:color="auto"/>
              <w:right w:val="single" w:sz="4" w:space="0" w:color="auto"/>
            </w:tcBorders>
            <w:shd w:val="clear" w:color="auto" w:fill="1F4E78"/>
            <w:noWrap/>
            <w:vAlign w:val="center"/>
            <w:hideMark/>
          </w:tcPr>
          <w:bookmarkEnd w:id="1"/>
          <w:p w14:paraId="179B2A83" w14:textId="77777777" w:rsidR="007D2042" w:rsidRPr="00CB63E4" w:rsidRDefault="007D2042" w:rsidP="002F0411">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Benchmark</w:t>
            </w:r>
          </w:p>
        </w:tc>
        <w:tc>
          <w:tcPr>
            <w:tcW w:w="3118" w:type="dxa"/>
            <w:tcBorders>
              <w:top w:val="single" w:sz="4" w:space="0" w:color="auto"/>
              <w:left w:val="nil"/>
              <w:bottom w:val="single" w:sz="4" w:space="0" w:color="auto"/>
              <w:right w:val="single" w:sz="4" w:space="0" w:color="auto"/>
            </w:tcBorders>
            <w:shd w:val="clear" w:color="auto" w:fill="1F4E78"/>
            <w:noWrap/>
            <w:vAlign w:val="center"/>
            <w:hideMark/>
          </w:tcPr>
          <w:p w14:paraId="36BAA7C7" w14:textId="77777777" w:rsidR="007D2042" w:rsidRPr="00CB63E4" w:rsidRDefault="007D2042" w:rsidP="002F0411">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Task</w:t>
            </w:r>
          </w:p>
        </w:tc>
        <w:tc>
          <w:tcPr>
            <w:tcW w:w="1843" w:type="dxa"/>
            <w:tcBorders>
              <w:top w:val="single" w:sz="4" w:space="0" w:color="auto"/>
              <w:left w:val="nil"/>
              <w:bottom w:val="single" w:sz="4" w:space="0" w:color="auto"/>
              <w:right w:val="single" w:sz="4" w:space="0" w:color="auto"/>
            </w:tcBorders>
            <w:shd w:val="clear" w:color="auto" w:fill="1F4E78"/>
            <w:noWrap/>
            <w:vAlign w:val="center"/>
            <w:hideMark/>
          </w:tcPr>
          <w:p w14:paraId="31C34783" w14:textId="229F2D4D" w:rsidR="007D2042" w:rsidRPr="00CB63E4" w:rsidRDefault="007D2042" w:rsidP="002F0411">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|Hedges'</w:t>
            </w:r>
            <w:r w:rsidR="004B4A6F">
              <w:rPr>
                <w:rFonts w:ascii="Times New Roman" w:eastAsia="宋体" w:hAnsi="Times New Roman" w:cs="Times New Roman" w:hint="eastAsia"/>
                <w:b/>
                <w:bCs/>
                <w:color w:val="FFFFFF" w:themeColor="background1"/>
                <w:kern w:val="0"/>
                <w:sz w:val="18"/>
                <w:szCs w:val="18"/>
              </w:rPr>
              <w:t xml:space="preserve"> </w:t>
            </w:r>
            <w:r w:rsidRPr="004B4A6F">
              <w:rPr>
                <w:rFonts w:ascii="Times New Roman" w:eastAsia="宋体" w:hAnsi="Times New Roman" w:cs="Times New Roman"/>
                <w:b/>
                <w:bCs/>
                <w:color w:val="FFFFFF" w:themeColor="background1"/>
                <w:kern w:val="0"/>
                <w:sz w:val="18"/>
                <w:szCs w:val="18"/>
              </w:rPr>
              <w:t>g|</w:t>
            </w:r>
          </w:p>
        </w:tc>
        <w:tc>
          <w:tcPr>
            <w:tcW w:w="1716" w:type="dxa"/>
            <w:tcBorders>
              <w:top w:val="single" w:sz="4" w:space="0" w:color="auto"/>
              <w:left w:val="nil"/>
              <w:bottom w:val="single" w:sz="4" w:space="0" w:color="auto"/>
              <w:right w:val="single" w:sz="4" w:space="0" w:color="auto"/>
            </w:tcBorders>
            <w:shd w:val="clear" w:color="auto" w:fill="1F4E78"/>
            <w:noWrap/>
            <w:vAlign w:val="center"/>
            <w:hideMark/>
          </w:tcPr>
          <w:p w14:paraId="2B9B3007" w14:textId="77777777" w:rsidR="007D2042" w:rsidRPr="00CB63E4" w:rsidRDefault="007D2042" w:rsidP="002F0411">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KS statistic</w:t>
            </w:r>
          </w:p>
        </w:tc>
      </w:tr>
      <w:tr w:rsidR="0050672C" w:rsidRPr="00CB63E4" w14:paraId="1BB87B37"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1B9261EF"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proofErr w:type="spellStart"/>
            <w:r w:rsidRPr="00CB63E4">
              <w:rPr>
                <w:rFonts w:ascii="Times New Roman" w:eastAsia="宋体" w:hAnsi="Times New Roman" w:cs="Times New Roman"/>
                <w:color w:val="000000" w:themeColor="text1"/>
                <w:kern w:val="0"/>
                <w:sz w:val="18"/>
                <w:szCs w:val="18"/>
              </w:rPr>
              <w:t>MoleculeNet</w:t>
            </w:r>
            <w:proofErr w:type="spellEnd"/>
          </w:p>
        </w:tc>
        <w:tc>
          <w:tcPr>
            <w:tcW w:w="3118" w:type="dxa"/>
            <w:tcBorders>
              <w:top w:val="nil"/>
              <w:left w:val="nil"/>
              <w:bottom w:val="single" w:sz="4" w:space="0" w:color="auto"/>
              <w:right w:val="single" w:sz="4" w:space="0" w:color="auto"/>
            </w:tcBorders>
            <w:noWrap/>
            <w:vAlign w:val="center"/>
            <w:hideMark/>
          </w:tcPr>
          <w:p w14:paraId="59C3DF45" w14:textId="0E3815BF"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QM9</w:t>
            </w:r>
            <w:r w:rsidR="00B929FC" w:rsidRPr="00CB63E4">
              <w:rPr>
                <w:rFonts w:ascii="Times New Roman" w:eastAsia="宋体" w:hAnsi="Times New Roman" w:cs="Times New Roman"/>
                <w:color w:val="000000" w:themeColor="text1"/>
                <w:kern w:val="0"/>
                <w:sz w:val="18"/>
                <w:szCs w:val="18"/>
              </w:rPr>
              <w:t xml:space="preserve"> &lt;</w:t>
            </w:r>
            <w:r w:rsidRPr="00CB63E4">
              <w:rPr>
                <w:rFonts w:ascii="Times New Roman" w:eastAsia="宋体" w:hAnsi="Times New Roman" w:cs="Times New Roman"/>
                <w:color w:val="000000" w:themeColor="text1"/>
                <w:kern w:val="0"/>
                <w:sz w:val="18"/>
                <w:szCs w:val="18"/>
              </w:rPr>
              <w:t>R²</w:t>
            </w:r>
            <w:r w:rsidR="00B929FC" w:rsidRPr="00CB63E4">
              <w:rPr>
                <w:rFonts w:ascii="Times New Roman" w:eastAsia="宋体" w:hAnsi="Times New Roman" w:cs="Times New Roman"/>
                <w:color w:val="000000" w:themeColor="text1"/>
                <w:kern w:val="0"/>
                <w:sz w:val="18"/>
                <w:szCs w:val="18"/>
              </w:rPr>
              <w:t>&gt;</w:t>
            </w:r>
          </w:p>
        </w:tc>
        <w:tc>
          <w:tcPr>
            <w:tcW w:w="1843" w:type="dxa"/>
            <w:tcBorders>
              <w:top w:val="nil"/>
              <w:left w:val="nil"/>
              <w:bottom w:val="single" w:sz="4" w:space="0" w:color="auto"/>
              <w:right w:val="single" w:sz="4" w:space="0" w:color="auto"/>
            </w:tcBorders>
            <w:noWrap/>
            <w:vAlign w:val="center"/>
            <w:hideMark/>
          </w:tcPr>
          <w:p w14:paraId="4A5944EA"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1.47</w:t>
            </w:r>
          </w:p>
        </w:tc>
        <w:tc>
          <w:tcPr>
            <w:tcW w:w="1716" w:type="dxa"/>
            <w:tcBorders>
              <w:top w:val="nil"/>
              <w:left w:val="nil"/>
              <w:bottom w:val="single" w:sz="4" w:space="0" w:color="auto"/>
              <w:right w:val="single" w:sz="4" w:space="0" w:color="auto"/>
            </w:tcBorders>
            <w:noWrap/>
            <w:vAlign w:val="center"/>
            <w:hideMark/>
          </w:tcPr>
          <w:p w14:paraId="5DB59F98"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0.514</w:t>
            </w:r>
          </w:p>
        </w:tc>
      </w:tr>
      <w:tr w:rsidR="0050672C" w:rsidRPr="00CB63E4" w14:paraId="252C5CFC"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0F5B9D2A"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48A8FFDE"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Melting point</w:t>
            </w:r>
          </w:p>
        </w:tc>
        <w:tc>
          <w:tcPr>
            <w:tcW w:w="1843" w:type="dxa"/>
            <w:tcBorders>
              <w:top w:val="nil"/>
              <w:left w:val="nil"/>
              <w:bottom w:val="single" w:sz="4" w:space="0" w:color="auto"/>
              <w:right w:val="single" w:sz="4" w:space="0" w:color="auto"/>
            </w:tcBorders>
            <w:noWrap/>
            <w:vAlign w:val="center"/>
            <w:hideMark/>
          </w:tcPr>
          <w:p w14:paraId="166CB68D"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1.259</w:t>
            </w:r>
          </w:p>
        </w:tc>
        <w:tc>
          <w:tcPr>
            <w:tcW w:w="1716" w:type="dxa"/>
            <w:tcBorders>
              <w:top w:val="nil"/>
              <w:left w:val="nil"/>
              <w:bottom w:val="single" w:sz="4" w:space="0" w:color="auto"/>
              <w:right w:val="single" w:sz="4" w:space="0" w:color="auto"/>
            </w:tcBorders>
            <w:noWrap/>
            <w:vAlign w:val="center"/>
            <w:hideMark/>
          </w:tcPr>
          <w:p w14:paraId="63A3FCF6"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0.49</w:t>
            </w:r>
          </w:p>
        </w:tc>
      </w:tr>
      <w:tr w:rsidR="0050672C" w:rsidRPr="00CB63E4" w14:paraId="352100F6"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31F7ED70"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0F5CBCE1"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proofErr w:type="spellStart"/>
            <w:r w:rsidRPr="00CB63E4">
              <w:rPr>
                <w:rFonts w:ascii="Times New Roman" w:eastAsia="宋体" w:hAnsi="Times New Roman" w:cs="Times New Roman"/>
                <w:color w:val="000000" w:themeColor="text1"/>
                <w:kern w:val="0"/>
                <w:sz w:val="18"/>
                <w:szCs w:val="18"/>
              </w:rPr>
              <w:t>logVP</w:t>
            </w:r>
            <w:proofErr w:type="spellEnd"/>
            <w:r w:rsidRPr="00CB63E4">
              <w:rPr>
                <w:rFonts w:ascii="Times New Roman" w:eastAsia="宋体" w:hAnsi="Times New Roman" w:cs="Times New Roman"/>
                <w:color w:val="000000" w:themeColor="text1"/>
                <w:kern w:val="0"/>
                <w:sz w:val="18"/>
                <w:szCs w:val="18"/>
              </w:rPr>
              <w:t xml:space="preserve"> (vapor pressure)</w:t>
            </w:r>
          </w:p>
        </w:tc>
        <w:tc>
          <w:tcPr>
            <w:tcW w:w="1843" w:type="dxa"/>
            <w:tcBorders>
              <w:top w:val="nil"/>
              <w:left w:val="nil"/>
              <w:bottom w:val="single" w:sz="4" w:space="0" w:color="auto"/>
              <w:right w:val="single" w:sz="4" w:space="0" w:color="auto"/>
            </w:tcBorders>
            <w:noWrap/>
            <w:vAlign w:val="center"/>
            <w:hideMark/>
          </w:tcPr>
          <w:p w14:paraId="73C6B962"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1.152</w:t>
            </w:r>
          </w:p>
        </w:tc>
        <w:tc>
          <w:tcPr>
            <w:tcW w:w="1716" w:type="dxa"/>
            <w:tcBorders>
              <w:top w:val="nil"/>
              <w:left w:val="nil"/>
              <w:bottom w:val="single" w:sz="4" w:space="0" w:color="auto"/>
              <w:right w:val="single" w:sz="4" w:space="0" w:color="auto"/>
            </w:tcBorders>
            <w:noWrap/>
            <w:vAlign w:val="center"/>
            <w:hideMark/>
          </w:tcPr>
          <w:p w14:paraId="29C2E6E7"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0.46</w:t>
            </w:r>
          </w:p>
        </w:tc>
      </w:tr>
      <w:tr w:rsidR="0050672C" w:rsidRPr="00CB63E4" w14:paraId="5F740798"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4E2EBD6D"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proofErr w:type="spellStart"/>
            <w:r w:rsidRPr="00CB63E4">
              <w:rPr>
                <w:rFonts w:ascii="Times New Roman" w:eastAsia="宋体" w:hAnsi="Times New Roman" w:cs="Times New Roman"/>
                <w:color w:val="000000" w:themeColor="text1"/>
                <w:kern w:val="0"/>
                <w:sz w:val="18"/>
                <w:szCs w:val="18"/>
              </w:rPr>
              <w:t>MoleculeNet</w:t>
            </w:r>
            <w:proofErr w:type="spellEnd"/>
          </w:p>
        </w:tc>
        <w:tc>
          <w:tcPr>
            <w:tcW w:w="3118" w:type="dxa"/>
            <w:tcBorders>
              <w:top w:val="nil"/>
              <w:left w:val="nil"/>
              <w:bottom w:val="single" w:sz="4" w:space="0" w:color="auto"/>
              <w:right w:val="single" w:sz="4" w:space="0" w:color="auto"/>
            </w:tcBorders>
            <w:noWrap/>
            <w:vAlign w:val="center"/>
            <w:hideMark/>
          </w:tcPr>
          <w:p w14:paraId="7225D330" w14:textId="576A9C84"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QM9</w:t>
            </w:r>
            <w:r w:rsidR="00B929FC" w:rsidRPr="00CB63E4">
              <w:rPr>
                <w:rFonts w:ascii="Times New Roman" w:eastAsia="宋体" w:hAnsi="Times New Roman" w:cs="Times New Roman"/>
                <w:color w:val="000000" w:themeColor="text1"/>
                <w:kern w:val="0"/>
                <w:sz w:val="18"/>
                <w:szCs w:val="18"/>
              </w:rPr>
              <w:t xml:space="preserve"> </w:t>
            </w:r>
            <w:proofErr w:type="spellStart"/>
            <w:r w:rsidRPr="00CB63E4">
              <w:rPr>
                <w:rFonts w:ascii="Times New Roman" w:eastAsia="宋体" w:hAnsi="Times New Roman" w:cs="Times New Roman"/>
                <w:color w:val="000000" w:themeColor="text1"/>
                <w:kern w:val="0"/>
                <w:sz w:val="18"/>
                <w:szCs w:val="18"/>
              </w:rPr>
              <w:t>C</w:t>
            </w:r>
            <w:r w:rsidRPr="00CB63E4">
              <w:rPr>
                <w:rFonts w:ascii="Times New Roman" w:eastAsia="宋体" w:hAnsi="Times New Roman" w:cs="Times New Roman"/>
                <w:color w:val="000000" w:themeColor="text1"/>
                <w:kern w:val="0"/>
                <w:sz w:val="18"/>
                <w:szCs w:val="18"/>
                <w:vertAlign w:val="subscript"/>
              </w:rPr>
              <w:t>v</w:t>
            </w:r>
            <w:proofErr w:type="spellEnd"/>
          </w:p>
        </w:tc>
        <w:tc>
          <w:tcPr>
            <w:tcW w:w="1843" w:type="dxa"/>
            <w:tcBorders>
              <w:top w:val="nil"/>
              <w:left w:val="nil"/>
              <w:bottom w:val="single" w:sz="4" w:space="0" w:color="auto"/>
              <w:right w:val="single" w:sz="4" w:space="0" w:color="auto"/>
            </w:tcBorders>
            <w:noWrap/>
            <w:vAlign w:val="center"/>
            <w:hideMark/>
          </w:tcPr>
          <w:p w14:paraId="3023DB6A"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1.049</w:t>
            </w:r>
          </w:p>
        </w:tc>
        <w:tc>
          <w:tcPr>
            <w:tcW w:w="1716" w:type="dxa"/>
            <w:tcBorders>
              <w:top w:val="nil"/>
              <w:left w:val="nil"/>
              <w:bottom w:val="single" w:sz="4" w:space="0" w:color="auto"/>
              <w:right w:val="single" w:sz="4" w:space="0" w:color="auto"/>
            </w:tcBorders>
            <w:noWrap/>
            <w:vAlign w:val="center"/>
            <w:hideMark/>
          </w:tcPr>
          <w:p w14:paraId="6AA53876"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0.438</w:t>
            </w:r>
          </w:p>
        </w:tc>
      </w:tr>
      <w:tr w:rsidR="0050672C" w:rsidRPr="00CB63E4" w14:paraId="4DB8C929"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01542E4F"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1581493F"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Boiling point</w:t>
            </w:r>
          </w:p>
        </w:tc>
        <w:tc>
          <w:tcPr>
            <w:tcW w:w="1843" w:type="dxa"/>
            <w:tcBorders>
              <w:top w:val="nil"/>
              <w:left w:val="nil"/>
              <w:bottom w:val="single" w:sz="4" w:space="0" w:color="auto"/>
              <w:right w:val="single" w:sz="4" w:space="0" w:color="auto"/>
            </w:tcBorders>
            <w:noWrap/>
            <w:vAlign w:val="center"/>
            <w:hideMark/>
          </w:tcPr>
          <w:p w14:paraId="1BE3A060"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1.042</w:t>
            </w:r>
          </w:p>
        </w:tc>
        <w:tc>
          <w:tcPr>
            <w:tcW w:w="1716" w:type="dxa"/>
            <w:tcBorders>
              <w:top w:val="nil"/>
              <w:left w:val="nil"/>
              <w:bottom w:val="single" w:sz="4" w:space="0" w:color="auto"/>
              <w:right w:val="single" w:sz="4" w:space="0" w:color="auto"/>
            </w:tcBorders>
            <w:noWrap/>
            <w:vAlign w:val="center"/>
            <w:hideMark/>
          </w:tcPr>
          <w:p w14:paraId="068C417B"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0.464</w:t>
            </w:r>
          </w:p>
        </w:tc>
      </w:tr>
      <w:tr w:rsidR="0050672C" w:rsidRPr="00CB63E4" w14:paraId="5452C5DF"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450A184D"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2F53216F"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proofErr w:type="spellStart"/>
            <w:r w:rsidRPr="00CB63E4">
              <w:rPr>
                <w:rFonts w:ascii="Times New Roman" w:eastAsia="宋体" w:hAnsi="Times New Roman" w:cs="Times New Roman"/>
                <w:color w:val="000000" w:themeColor="text1"/>
                <w:kern w:val="0"/>
                <w:sz w:val="18"/>
                <w:szCs w:val="18"/>
              </w:rPr>
              <w:t>pK</w:t>
            </w:r>
            <w:r w:rsidRPr="00CB63E4">
              <w:rPr>
                <w:rFonts w:ascii="Times New Roman" w:eastAsia="宋体" w:hAnsi="Times New Roman" w:cs="Times New Roman"/>
                <w:color w:val="000000" w:themeColor="text1"/>
                <w:kern w:val="0"/>
                <w:sz w:val="18"/>
                <w:szCs w:val="18"/>
                <w:vertAlign w:val="subscript"/>
              </w:rPr>
              <w:t>b</w:t>
            </w:r>
            <w:proofErr w:type="spellEnd"/>
          </w:p>
        </w:tc>
        <w:tc>
          <w:tcPr>
            <w:tcW w:w="1843" w:type="dxa"/>
            <w:tcBorders>
              <w:top w:val="nil"/>
              <w:left w:val="nil"/>
              <w:bottom w:val="single" w:sz="4" w:space="0" w:color="auto"/>
              <w:right w:val="single" w:sz="4" w:space="0" w:color="auto"/>
            </w:tcBorders>
            <w:noWrap/>
            <w:vAlign w:val="center"/>
            <w:hideMark/>
          </w:tcPr>
          <w:p w14:paraId="23366289"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0.89</w:t>
            </w:r>
          </w:p>
        </w:tc>
        <w:tc>
          <w:tcPr>
            <w:tcW w:w="1716" w:type="dxa"/>
            <w:tcBorders>
              <w:top w:val="nil"/>
              <w:left w:val="nil"/>
              <w:bottom w:val="single" w:sz="4" w:space="0" w:color="auto"/>
              <w:right w:val="single" w:sz="4" w:space="0" w:color="auto"/>
            </w:tcBorders>
            <w:noWrap/>
            <w:vAlign w:val="center"/>
            <w:hideMark/>
          </w:tcPr>
          <w:p w14:paraId="786EF8FC"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0.437</w:t>
            </w:r>
          </w:p>
        </w:tc>
      </w:tr>
      <w:tr w:rsidR="0050672C" w:rsidRPr="00CB63E4" w14:paraId="55EEEC72"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067DCC44"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proofErr w:type="spellStart"/>
            <w:r w:rsidRPr="00CB63E4">
              <w:rPr>
                <w:rFonts w:ascii="Times New Roman" w:eastAsia="宋体" w:hAnsi="Times New Roman" w:cs="Times New Roman"/>
                <w:color w:val="000000" w:themeColor="text1"/>
                <w:kern w:val="0"/>
                <w:sz w:val="18"/>
                <w:szCs w:val="18"/>
              </w:rPr>
              <w:t>MoleculeNet</w:t>
            </w:r>
            <w:proofErr w:type="spellEnd"/>
          </w:p>
        </w:tc>
        <w:tc>
          <w:tcPr>
            <w:tcW w:w="3118" w:type="dxa"/>
            <w:tcBorders>
              <w:top w:val="nil"/>
              <w:left w:val="nil"/>
              <w:bottom w:val="single" w:sz="4" w:space="0" w:color="auto"/>
              <w:right w:val="single" w:sz="4" w:space="0" w:color="auto"/>
            </w:tcBorders>
            <w:noWrap/>
            <w:vAlign w:val="center"/>
            <w:hideMark/>
          </w:tcPr>
          <w:p w14:paraId="2311EE6C" w14:textId="30036519"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QM9-ε(HOMO)</w:t>
            </w:r>
          </w:p>
        </w:tc>
        <w:tc>
          <w:tcPr>
            <w:tcW w:w="1843" w:type="dxa"/>
            <w:tcBorders>
              <w:top w:val="nil"/>
              <w:left w:val="nil"/>
              <w:bottom w:val="single" w:sz="4" w:space="0" w:color="auto"/>
              <w:right w:val="single" w:sz="4" w:space="0" w:color="auto"/>
            </w:tcBorders>
            <w:noWrap/>
            <w:vAlign w:val="center"/>
            <w:hideMark/>
          </w:tcPr>
          <w:p w14:paraId="01F4750A"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0.83</w:t>
            </w:r>
          </w:p>
        </w:tc>
        <w:tc>
          <w:tcPr>
            <w:tcW w:w="1716" w:type="dxa"/>
            <w:tcBorders>
              <w:top w:val="nil"/>
              <w:left w:val="nil"/>
              <w:bottom w:val="single" w:sz="4" w:space="0" w:color="auto"/>
              <w:right w:val="single" w:sz="4" w:space="0" w:color="auto"/>
            </w:tcBorders>
            <w:noWrap/>
            <w:vAlign w:val="center"/>
            <w:hideMark/>
          </w:tcPr>
          <w:p w14:paraId="1A3A9EE8"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0.382</w:t>
            </w:r>
          </w:p>
        </w:tc>
      </w:tr>
      <w:tr w:rsidR="0050672C" w:rsidRPr="00CB63E4" w14:paraId="3363398D"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49F1AACE"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57326F0F"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Marine tox (Daphnia magna)</w:t>
            </w:r>
          </w:p>
        </w:tc>
        <w:tc>
          <w:tcPr>
            <w:tcW w:w="1843" w:type="dxa"/>
            <w:tcBorders>
              <w:top w:val="nil"/>
              <w:left w:val="nil"/>
              <w:bottom w:val="single" w:sz="4" w:space="0" w:color="auto"/>
              <w:right w:val="single" w:sz="4" w:space="0" w:color="auto"/>
            </w:tcBorders>
            <w:noWrap/>
            <w:vAlign w:val="center"/>
            <w:hideMark/>
          </w:tcPr>
          <w:p w14:paraId="44DB8491"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0.802</w:t>
            </w:r>
          </w:p>
        </w:tc>
        <w:tc>
          <w:tcPr>
            <w:tcW w:w="1716" w:type="dxa"/>
            <w:tcBorders>
              <w:top w:val="nil"/>
              <w:left w:val="nil"/>
              <w:bottom w:val="single" w:sz="4" w:space="0" w:color="auto"/>
              <w:right w:val="single" w:sz="4" w:space="0" w:color="auto"/>
            </w:tcBorders>
            <w:noWrap/>
            <w:vAlign w:val="center"/>
            <w:hideMark/>
          </w:tcPr>
          <w:p w14:paraId="34797AA7"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0.446</w:t>
            </w:r>
          </w:p>
        </w:tc>
      </w:tr>
      <w:tr w:rsidR="0050672C" w:rsidRPr="00CB63E4" w14:paraId="36EAFCC0"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00A3AABF"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21DA10AB"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Hydration energy</w:t>
            </w:r>
          </w:p>
        </w:tc>
        <w:tc>
          <w:tcPr>
            <w:tcW w:w="1843" w:type="dxa"/>
            <w:tcBorders>
              <w:top w:val="nil"/>
              <w:left w:val="nil"/>
              <w:bottom w:val="single" w:sz="4" w:space="0" w:color="auto"/>
              <w:right w:val="single" w:sz="4" w:space="0" w:color="auto"/>
            </w:tcBorders>
            <w:noWrap/>
            <w:vAlign w:val="center"/>
            <w:hideMark/>
          </w:tcPr>
          <w:p w14:paraId="45BE3B33"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0.798</w:t>
            </w:r>
          </w:p>
        </w:tc>
        <w:tc>
          <w:tcPr>
            <w:tcW w:w="1716" w:type="dxa"/>
            <w:tcBorders>
              <w:top w:val="nil"/>
              <w:left w:val="nil"/>
              <w:bottom w:val="single" w:sz="4" w:space="0" w:color="auto"/>
              <w:right w:val="single" w:sz="4" w:space="0" w:color="auto"/>
            </w:tcBorders>
            <w:noWrap/>
            <w:vAlign w:val="center"/>
            <w:hideMark/>
          </w:tcPr>
          <w:p w14:paraId="2DF1F905"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0.383</w:t>
            </w:r>
          </w:p>
        </w:tc>
      </w:tr>
      <w:tr w:rsidR="0050672C" w:rsidRPr="00CB63E4" w14:paraId="370043D4"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6FEF139C"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proofErr w:type="spellStart"/>
            <w:r w:rsidRPr="00CB63E4">
              <w:rPr>
                <w:rFonts w:ascii="Times New Roman" w:eastAsia="宋体" w:hAnsi="Times New Roman" w:cs="Times New Roman"/>
                <w:color w:val="000000" w:themeColor="text1"/>
                <w:kern w:val="0"/>
                <w:sz w:val="18"/>
                <w:szCs w:val="18"/>
              </w:rPr>
              <w:t>MoleculeNet</w:t>
            </w:r>
            <w:proofErr w:type="spellEnd"/>
          </w:p>
        </w:tc>
        <w:tc>
          <w:tcPr>
            <w:tcW w:w="3118" w:type="dxa"/>
            <w:tcBorders>
              <w:top w:val="nil"/>
              <w:left w:val="nil"/>
              <w:bottom w:val="single" w:sz="4" w:space="0" w:color="auto"/>
              <w:right w:val="single" w:sz="4" w:space="0" w:color="auto"/>
            </w:tcBorders>
            <w:noWrap/>
            <w:vAlign w:val="center"/>
            <w:hideMark/>
          </w:tcPr>
          <w:p w14:paraId="41D03AE9"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Measured log solubility</w:t>
            </w:r>
          </w:p>
        </w:tc>
        <w:tc>
          <w:tcPr>
            <w:tcW w:w="1843" w:type="dxa"/>
            <w:tcBorders>
              <w:top w:val="nil"/>
              <w:left w:val="nil"/>
              <w:bottom w:val="single" w:sz="4" w:space="0" w:color="auto"/>
              <w:right w:val="single" w:sz="4" w:space="0" w:color="auto"/>
            </w:tcBorders>
            <w:noWrap/>
            <w:vAlign w:val="center"/>
            <w:hideMark/>
          </w:tcPr>
          <w:p w14:paraId="6C70E491"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0.797</w:t>
            </w:r>
          </w:p>
        </w:tc>
        <w:tc>
          <w:tcPr>
            <w:tcW w:w="1716" w:type="dxa"/>
            <w:tcBorders>
              <w:top w:val="nil"/>
              <w:left w:val="nil"/>
              <w:bottom w:val="single" w:sz="4" w:space="0" w:color="auto"/>
              <w:right w:val="single" w:sz="4" w:space="0" w:color="auto"/>
            </w:tcBorders>
            <w:noWrap/>
            <w:vAlign w:val="center"/>
            <w:hideMark/>
          </w:tcPr>
          <w:p w14:paraId="41FD8C68"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0.379</w:t>
            </w:r>
          </w:p>
        </w:tc>
      </w:tr>
      <w:tr w:rsidR="0050672C" w:rsidRPr="00CB63E4" w14:paraId="5BB18CEF"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2036F1E3"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proofErr w:type="spellStart"/>
            <w:r w:rsidRPr="00CB63E4">
              <w:rPr>
                <w:rFonts w:ascii="Times New Roman" w:eastAsia="宋体" w:hAnsi="Times New Roman" w:cs="Times New Roman"/>
                <w:color w:val="000000" w:themeColor="text1"/>
                <w:kern w:val="0"/>
                <w:sz w:val="18"/>
                <w:szCs w:val="18"/>
              </w:rPr>
              <w:t>MoleculeNet</w:t>
            </w:r>
            <w:proofErr w:type="spellEnd"/>
          </w:p>
        </w:tc>
        <w:tc>
          <w:tcPr>
            <w:tcW w:w="3118" w:type="dxa"/>
            <w:tcBorders>
              <w:top w:val="nil"/>
              <w:left w:val="nil"/>
              <w:bottom w:val="single" w:sz="4" w:space="0" w:color="auto"/>
              <w:right w:val="single" w:sz="4" w:space="0" w:color="auto"/>
            </w:tcBorders>
            <w:noWrap/>
            <w:vAlign w:val="center"/>
            <w:hideMark/>
          </w:tcPr>
          <w:p w14:paraId="76EA4B15"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Experimental hydration free energy</w:t>
            </w:r>
          </w:p>
        </w:tc>
        <w:tc>
          <w:tcPr>
            <w:tcW w:w="1843" w:type="dxa"/>
            <w:tcBorders>
              <w:top w:val="nil"/>
              <w:left w:val="nil"/>
              <w:bottom w:val="single" w:sz="4" w:space="0" w:color="auto"/>
              <w:right w:val="single" w:sz="4" w:space="0" w:color="auto"/>
            </w:tcBorders>
            <w:noWrap/>
            <w:vAlign w:val="center"/>
            <w:hideMark/>
          </w:tcPr>
          <w:p w14:paraId="154F589F"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0.793</w:t>
            </w:r>
          </w:p>
        </w:tc>
        <w:tc>
          <w:tcPr>
            <w:tcW w:w="1716" w:type="dxa"/>
            <w:tcBorders>
              <w:top w:val="nil"/>
              <w:left w:val="nil"/>
              <w:bottom w:val="single" w:sz="4" w:space="0" w:color="auto"/>
              <w:right w:val="single" w:sz="4" w:space="0" w:color="auto"/>
            </w:tcBorders>
            <w:noWrap/>
            <w:vAlign w:val="center"/>
            <w:hideMark/>
          </w:tcPr>
          <w:p w14:paraId="20078622"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0.381</w:t>
            </w:r>
          </w:p>
        </w:tc>
      </w:tr>
      <w:tr w:rsidR="0050672C" w:rsidRPr="00CB63E4" w14:paraId="56161369"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45788AB6"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3C6E3272"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proofErr w:type="spellStart"/>
            <w:r w:rsidRPr="00CB63E4">
              <w:rPr>
                <w:rFonts w:ascii="Times New Roman" w:eastAsia="宋体" w:hAnsi="Times New Roman" w:cs="Times New Roman"/>
                <w:color w:val="000000" w:themeColor="text1"/>
                <w:kern w:val="0"/>
                <w:sz w:val="18"/>
                <w:szCs w:val="18"/>
              </w:rPr>
              <w:t>Tetraphymena</w:t>
            </w:r>
            <w:proofErr w:type="spellEnd"/>
            <w:r w:rsidRPr="00CB63E4">
              <w:rPr>
                <w:rFonts w:ascii="Times New Roman" w:eastAsia="宋体" w:hAnsi="Times New Roman" w:cs="Times New Roman"/>
                <w:color w:val="000000" w:themeColor="text1"/>
                <w:kern w:val="0"/>
                <w:sz w:val="18"/>
                <w:szCs w:val="18"/>
              </w:rPr>
              <w:t xml:space="preserve"> pyriformis</w:t>
            </w:r>
          </w:p>
        </w:tc>
        <w:tc>
          <w:tcPr>
            <w:tcW w:w="1843" w:type="dxa"/>
            <w:tcBorders>
              <w:top w:val="nil"/>
              <w:left w:val="nil"/>
              <w:bottom w:val="single" w:sz="4" w:space="0" w:color="auto"/>
              <w:right w:val="single" w:sz="4" w:space="0" w:color="auto"/>
            </w:tcBorders>
            <w:noWrap/>
            <w:vAlign w:val="center"/>
            <w:hideMark/>
          </w:tcPr>
          <w:p w14:paraId="6A922072"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0.761</w:t>
            </w:r>
          </w:p>
        </w:tc>
        <w:tc>
          <w:tcPr>
            <w:tcW w:w="1716" w:type="dxa"/>
            <w:tcBorders>
              <w:top w:val="nil"/>
              <w:left w:val="nil"/>
              <w:bottom w:val="single" w:sz="4" w:space="0" w:color="auto"/>
              <w:right w:val="single" w:sz="4" w:space="0" w:color="auto"/>
            </w:tcBorders>
            <w:noWrap/>
            <w:vAlign w:val="center"/>
            <w:hideMark/>
          </w:tcPr>
          <w:p w14:paraId="02F397E0"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0.386</w:t>
            </w:r>
          </w:p>
        </w:tc>
      </w:tr>
      <w:tr w:rsidR="0050672C" w:rsidRPr="00CB63E4" w14:paraId="519C559B"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27F39557"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46B4EE31"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BBB (CNS)</w:t>
            </w:r>
          </w:p>
        </w:tc>
        <w:tc>
          <w:tcPr>
            <w:tcW w:w="1843" w:type="dxa"/>
            <w:tcBorders>
              <w:top w:val="nil"/>
              <w:left w:val="nil"/>
              <w:bottom w:val="single" w:sz="4" w:space="0" w:color="auto"/>
              <w:right w:val="single" w:sz="4" w:space="0" w:color="auto"/>
            </w:tcBorders>
            <w:noWrap/>
            <w:vAlign w:val="center"/>
            <w:hideMark/>
          </w:tcPr>
          <w:p w14:paraId="2622A17F"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0.697</w:t>
            </w:r>
          </w:p>
        </w:tc>
        <w:tc>
          <w:tcPr>
            <w:tcW w:w="1716" w:type="dxa"/>
            <w:tcBorders>
              <w:top w:val="nil"/>
              <w:left w:val="nil"/>
              <w:bottom w:val="single" w:sz="4" w:space="0" w:color="auto"/>
              <w:right w:val="single" w:sz="4" w:space="0" w:color="auto"/>
            </w:tcBorders>
            <w:noWrap/>
            <w:vAlign w:val="center"/>
            <w:hideMark/>
          </w:tcPr>
          <w:p w14:paraId="199A5ADB"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0.368</w:t>
            </w:r>
          </w:p>
        </w:tc>
      </w:tr>
      <w:tr w:rsidR="0050672C" w:rsidRPr="00CB63E4" w14:paraId="25C4900F"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758CF12C"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3B0D2B55"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proofErr w:type="spellStart"/>
            <w:r w:rsidRPr="00CB63E4">
              <w:rPr>
                <w:rFonts w:ascii="Times New Roman" w:eastAsia="宋体" w:hAnsi="Times New Roman" w:cs="Times New Roman"/>
                <w:color w:val="000000" w:themeColor="text1"/>
                <w:kern w:val="0"/>
                <w:sz w:val="18"/>
                <w:szCs w:val="18"/>
              </w:rPr>
              <w:t>logS</w:t>
            </w:r>
            <w:proofErr w:type="spellEnd"/>
            <w:r w:rsidRPr="00CB63E4">
              <w:rPr>
                <w:rFonts w:ascii="Times New Roman" w:eastAsia="宋体" w:hAnsi="Times New Roman" w:cs="Times New Roman"/>
                <w:color w:val="000000" w:themeColor="text1"/>
                <w:kern w:val="0"/>
                <w:sz w:val="18"/>
                <w:szCs w:val="18"/>
              </w:rPr>
              <w:t xml:space="preserve"> (water solubility)</w:t>
            </w:r>
          </w:p>
        </w:tc>
        <w:tc>
          <w:tcPr>
            <w:tcW w:w="1843" w:type="dxa"/>
            <w:tcBorders>
              <w:top w:val="nil"/>
              <w:left w:val="nil"/>
              <w:bottom w:val="single" w:sz="4" w:space="0" w:color="auto"/>
              <w:right w:val="single" w:sz="4" w:space="0" w:color="auto"/>
            </w:tcBorders>
            <w:noWrap/>
            <w:vAlign w:val="center"/>
            <w:hideMark/>
          </w:tcPr>
          <w:p w14:paraId="03442995"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0.616</w:t>
            </w:r>
          </w:p>
        </w:tc>
        <w:tc>
          <w:tcPr>
            <w:tcW w:w="1716" w:type="dxa"/>
            <w:tcBorders>
              <w:top w:val="nil"/>
              <w:left w:val="nil"/>
              <w:bottom w:val="single" w:sz="4" w:space="0" w:color="auto"/>
              <w:right w:val="single" w:sz="4" w:space="0" w:color="auto"/>
            </w:tcBorders>
            <w:noWrap/>
            <w:vAlign w:val="center"/>
            <w:hideMark/>
          </w:tcPr>
          <w:p w14:paraId="68FBFA77"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0.312</w:t>
            </w:r>
          </w:p>
        </w:tc>
      </w:tr>
      <w:tr w:rsidR="0050672C" w:rsidRPr="00CB63E4" w14:paraId="73CB0273"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00D75E5A"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614B606F"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proofErr w:type="spellStart"/>
            <w:r w:rsidRPr="00CB63E4">
              <w:rPr>
                <w:rFonts w:ascii="Times New Roman" w:eastAsia="宋体" w:hAnsi="Times New Roman" w:cs="Times New Roman"/>
                <w:color w:val="000000" w:themeColor="text1"/>
                <w:kern w:val="0"/>
                <w:sz w:val="18"/>
                <w:szCs w:val="18"/>
              </w:rPr>
              <w:t>logP</w:t>
            </w:r>
            <w:proofErr w:type="spellEnd"/>
            <w:r w:rsidRPr="00CB63E4">
              <w:rPr>
                <w:rFonts w:ascii="Times New Roman" w:eastAsia="宋体" w:hAnsi="Times New Roman" w:cs="Times New Roman"/>
                <w:color w:val="000000" w:themeColor="text1"/>
                <w:kern w:val="0"/>
                <w:sz w:val="18"/>
                <w:szCs w:val="18"/>
              </w:rPr>
              <w:t xml:space="preserve"> (octanol-water partition coefficient)</w:t>
            </w:r>
          </w:p>
        </w:tc>
        <w:tc>
          <w:tcPr>
            <w:tcW w:w="1843" w:type="dxa"/>
            <w:tcBorders>
              <w:top w:val="nil"/>
              <w:left w:val="nil"/>
              <w:bottom w:val="single" w:sz="4" w:space="0" w:color="auto"/>
              <w:right w:val="single" w:sz="4" w:space="0" w:color="auto"/>
            </w:tcBorders>
            <w:noWrap/>
            <w:vAlign w:val="center"/>
            <w:hideMark/>
          </w:tcPr>
          <w:p w14:paraId="23BF75F1"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0.586</w:t>
            </w:r>
          </w:p>
        </w:tc>
        <w:tc>
          <w:tcPr>
            <w:tcW w:w="1716" w:type="dxa"/>
            <w:tcBorders>
              <w:top w:val="nil"/>
              <w:left w:val="nil"/>
              <w:bottom w:val="single" w:sz="4" w:space="0" w:color="auto"/>
              <w:right w:val="single" w:sz="4" w:space="0" w:color="auto"/>
            </w:tcBorders>
            <w:noWrap/>
            <w:vAlign w:val="center"/>
            <w:hideMark/>
          </w:tcPr>
          <w:p w14:paraId="031C67E9"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0.27</w:t>
            </w:r>
          </w:p>
        </w:tc>
      </w:tr>
      <w:tr w:rsidR="0050672C" w:rsidRPr="00CB63E4" w14:paraId="060F1649"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4E29E772"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38A0DFF3"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Marine tox (Fathead minnow)</w:t>
            </w:r>
          </w:p>
        </w:tc>
        <w:tc>
          <w:tcPr>
            <w:tcW w:w="1843" w:type="dxa"/>
            <w:tcBorders>
              <w:top w:val="nil"/>
              <w:left w:val="nil"/>
              <w:bottom w:val="single" w:sz="4" w:space="0" w:color="auto"/>
              <w:right w:val="single" w:sz="4" w:space="0" w:color="auto"/>
            </w:tcBorders>
            <w:noWrap/>
            <w:vAlign w:val="center"/>
            <w:hideMark/>
          </w:tcPr>
          <w:p w14:paraId="0EBC3776"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0.509</w:t>
            </w:r>
          </w:p>
        </w:tc>
        <w:tc>
          <w:tcPr>
            <w:tcW w:w="1716" w:type="dxa"/>
            <w:tcBorders>
              <w:top w:val="nil"/>
              <w:left w:val="nil"/>
              <w:bottom w:val="single" w:sz="4" w:space="0" w:color="auto"/>
              <w:right w:val="single" w:sz="4" w:space="0" w:color="auto"/>
            </w:tcBorders>
            <w:noWrap/>
            <w:vAlign w:val="center"/>
            <w:hideMark/>
          </w:tcPr>
          <w:p w14:paraId="65A85699"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0.248</w:t>
            </w:r>
          </w:p>
        </w:tc>
      </w:tr>
      <w:tr w:rsidR="0050672C" w:rsidRPr="00CB63E4" w14:paraId="3E8817F0" w14:textId="77777777" w:rsidTr="002F0411">
        <w:trPr>
          <w:trHeight w:val="285"/>
        </w:trPr>
        <w:tc>
          <w:tcPr>
            <w:tcW w:w="1555" w:type="dxa"/>
            <w:tcBorders>
              <w:top w:val="nil"/>
              <w:left w:val="single" w:sz="4" w:space="0" w:color="auto"/>
              <w:bottom w:val="single" w:sz="4" w:space="0" w:color="auto"/>
              <w:right w:val="single" w:sz="4" w:space="0" w:color="auto"/>
            </w:tcBorders>
            <w:noWrap/>
            <w:vAlign w:val="center"/>
            <w:hideMark/>
          </w:tcPr>
          <w:p w14:paraId="0BD694D0"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ADMET</w:t>
            </w:r>
          </w:p>
        </w:tc>
        <w:tc>
          <w:tcPr>
            <w:tcW w:w="3118" w:type="dxa"/>
            <w:tcBorders>
              <w:top w:val="nil"/>
              <w:left w:val="nil"/>
              <w:bottom w:val="single" w:sz="4" w:space="0" w:color="auto"/>
              <w:right w:val="single" w:sz="4" w:space="0" w:color="auto"/>
            </w:tcBorders>
            <w:noWrap/>
            <w:vAlign w:val="center"/>
            <w:hideMark/>
          </w:tcPr>
          <w:p w14:paraId="42179C12"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Bioconcentration factor</w:t>
            </w:r>
          </w:p>
        </w:tc>
        <w:tc>
          <w:tcPr>
            <w:tcW w:w="1843" w:type="dxa"/>
            <w:tcBorders>
              <w:top w:val="nil"/>
              <w:left w:val="nil"/>
              <w:bottom w:val="single" w:sz="4" w:space="0" w:color="auto"/>
              <w:right w:val="single" w:sz="4" w:space="0" w:color="auto"/>
            </w:tcBorders>
            <w:noWrap/>
            <w:vAlign w:val="center"/>
            <w:hideMark/>
          </w:tcPr>
          <w:p w14:paraId="1ECB3456"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0.503</w:t>
            </w:r>
          </w:p>
        </w:tc>
        <w:tc>
          <w:tcPr>
            <w:tcW w:w="1716" w:type="dxa"/>
            <w:tcBorders>
              <w:top w:val="nil"/>
              <w:left w:val="nil"/>
              <w:bottom w:val="single" w:sz="4" w:space="0" w:color="auto"/>
              <w:right w:val="single" w:sz="4" w:space="0" w:color="auto"/>
            </w:tcBorders>
            <w:noWrap/>
            <w:vAlign w:val="center"/>
            <w:hideMark/>
          </w:tcPr>
          <w:p w14:paraId="74A379E4" w14:textId="77777777" w:rsidR="007D2042" w:rsidRPr="00CB63E4" w:rsidRDefault="007D2042" w:rsidP="002F0411">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0.256</w:t>
            </w:r>
          </w:p>
        </w:tc>
      </w:tr>
    </w:tbl>
    <w:p w14:paraId="060B32A0" w14:textId="77777777" w:rsidR="007D2042" w:rsidRPr="00CB63E4" w:rsidRDefault="007D2042" w:rsidP="0050672C">
      <w:pPr>
        <w:rPr>
          <w:rFonts w:ascii="Times New Roman" w:hAnsi="Times New Roman" w:cs="Times New Roman"/>
          <w:color w:val="000000" w:themeColor="text1"/>
        </w:rPr>
      </w:pPr>
    </w:p>
    <w:p w14:paraId="76A1CED5" w14:textId="79B6615A" w:rsidR="007D2042" w:rsidRPr="004B4A6F" w:rsidRDefault="001905F6" w:rsidP="001905F6">
      <w:pPr>
        <w:keepNext/>
        <w:adjustRightInd w:val="0"/>
        <w:snapToGrid w:val="0"/>
        <w:spacing w:line="360" w:lineRule="auto"/>
        <w:rPr>
          <w:rFonts w:ascii="Times New Roman" w:hAnsi="Times New Roman" w:cs="Times New Roman"/>
          <w:color w:val="000000" w:themeColor="text1"/>
          <w:sz w:val="24"/>
        </w:rPr>
      </w:pPr>
      <w:r w:rsidRPr="004B4A6F">
        <w:rPr>
          <w:rFonts w:ascii="Times New Roman" w:hAnsi="Times New Roman" w:cs="Times New Roman"/>
          <w:b/>
          <w:bCs/>
          <w:color w:val="000000" w:themeColor="text1"/>
          <w:sz w:val="24"/>
        </w:rPr>
        <w:t xml:space="preserve">Supplementary Table 4. Label-distribution shifts of no-scaffold molecules relative to scaffold-bearing molecules in classification tasks. </w:t>
      </w:r>
      <w:r w:rsidRPr="004B4A6F">
        <w:rPr>
          <w:rFonts w:ascii="Times New Roman" w:hAnsi="Times New Roman" w:cs="Times New Roman"/>
          <w:color w:val="000000" w:themeColor="text1"/>
          <w:sz w:val="24"/>
        </w:rPr>
        <w:t xml:space="preserve">Classification </w:t>
      </w:r>
      <w:r w:rsidRPr="004B4A6F">
        <w:rPr>
          <w:rFonts w:ascii="Times New Roman" w:hAnsi="Times New Roman" w:cs="Times New Roman"/>
          <w:color w:val="000000" w:themeColor="text1"/>
          <w:sz w:val="24"/>
        </w:rPr>
        <w:lastRenderedPageBreak/>
        <w:t xml:space="preserve">endpoints with </w:t>
      </w:r>
      <w:r w:rsidRPr="004B4A6F">
        <w:rPr>
          <w:rFonts w:ascii="Cambria Math" w:hAnsi="Cambria Math" w:cs="Cambria Math"/>
          <w:color w:val="000000" w:themeColor="text1"/>
          <w:sz w:val="24"/>
        </w:rPr>
        <w:t>∣</w:t>
      </w:r>
      <w:r w:rsidRPr="004B4A6F">
        <w:rPr>
          <w:rFonts w:ascii="Times New Roman" w:hAnsi="Times New Roman" w:cs="Times New Roman"/>
          <w:color w:val="000000" w:themeColor="text1"/>
          <w:sz w:val="24"/>
        </w:rPr>
        <w:t>Δpositive rate</w:t>
      </w:r>
      <w:r w:rsidRPr="004B4A6F">
        <w:rPr>
          <w:rFonts w:ascii="Cambria Math" w:hAnsi="Cambria Math" w:cs="Cambria Math"/>
          <w:color w:val="000000" w:themeColor="text1"/>
          <w:sz w:val="24"/>
        </w:rPr>
        <w:t>∣</w:t>
      </w:r>
      <w:r w:rsidRPr="004B4A6F">
        <w:rPr>
          <w:rFonts w:ascii="Times New Roman" w:hAnsi="Times New Roman" w:cs="Times New Roman"/>
          <w:color w:val="000000" w:themeColor="text1"/>
          <w:sz w:val="24"/>
        </w:rPr>
        <w:t xml:space="preserve"> ≥ 10% are listed and ranked in descending order of </w:t>
      </w:r>
      <w:r w:rsidRPr="004B4A6F">
        <w:rPr>
          <w:rFonts w:ascii="Cambria Math" w:hAnsi="Cambria Math" w:cs="Cambria Math"/>
          <w:color w:val="000000" w:themeColor="text1"/>
          <w:sz w:val="24"/>
        </w:rPr>
        <w:t>∣</w:t>
      </w:r>
      <w:r w:rsidRPr="004B4A6F">
        <w:rPr>
          <w:rFonts w:ascii="Times New Roman" w:hAnsi="Times New Roman" w:cs="Times New Roman"/>
          <w:color w:val="000000" w:themeColor="text1"/>
          <w:sz w:val="24"/>
        </w:rPr>
        <w:t>Δpositive rate</w:t>
      </w:r>
      <w:r w:rsidRPr="004B4A6F">
        <w:rPr>
          <w:rFonts w:ascii="Cambria Math" w:hAnsi="Cambria Math" w:cs="Cambria Math"/>
          <w:color w:val="000000" w:themeColor="text1"/>
          <w:sz w:val="24"/>
        </w:rPr>
        <w:t>∣</w:t>
      </w:r>
      <w:r w:rsidRPr="004B4A6F">
        <w:rPr>
          <w:rFonts w:ascii="Times New Roman" w:hAnsi="Times New Roman" w:cs="Times New Roman"/>
          <w:color w:val="000000" w:themeColor="text1"/>
          <w:sz w:val="24"/>
        </w:rPr>
        <w:t xml:space="preserve">. </w:t>
      </w:r>
      <w:r w:rsidRPr="004B4A6F">
        <w:rPr>
          <w:rFonts w:ascii="Cambria Math" w:hAnsi="Cambria Math" w:cs="Cambria Math"/>
          <w:color w:val="000000" w:themeColor="text1"/>
          <w:sz w:val="24"/>
        </w:rPr>
        <w:t>∣</w:t>
      </w:r>
      <w:r w:rsidRPr="004B4A6F">
        <w:rPr>
          <w:rFonts w:ascii="Times New Roman" w:hAnsi="Times New Roman" w:cs="Times New Roman"/>
          <w:color w:val="000000" w:themeColor="text1"/>
          <w:sz w:val="24"/>
        </w:rPr>
        <w:t>Δpositive rate</w:t>
      </w:r>
      <w:r w:rsidRPr="004B4A6F">
        <w:rPr>
          <w:rFonts w:ascii="Cambria Math" w:hAnsi="Cambria Math" w:cs="Cambria Math"/>
          <w:color w:val="000000" w:themeColor="text1"/>
          <w:sz w:val="24"/>
        </w:rPr>
        <w:t>∣</w:t>
      </w:r>
      <w:r w:rsidRPr="004B4A6F">
        <w:rPr>
          <w:rFonts w:ascii="Times New Roman" w:hAnsi="Times New Roman" w:cs="Times New Roman"/>
          <w:color w:val="000000" w:themeColor="text1"/>
          <w:sz w:val="24"/>
        </w:rPr>
        <w:t xml:space="preserve"> denotes the absolute difference in positive rate between no-scaffold and scaffold-bearing molecules, whereas Bernoulli JS divergence measures the Jensen–Shannon divergence between the corresponding Bernoulli label distributions.</w:t>
      </w:r>
    </w:p>
    <w:tbl>
      <w:tblPr>
        <w:tblStyle w:val="a8"/>
        <w:tblW w:w="0" w:type="auto"/>
        <w:tblInd w:w="108" w:type="dxa"/>
        <w:tblLayout w:type="fixed"/>
        <w:tblLook w:val="04A0" w:firstRow="1" w:lastRow="0" w:firstColumn="1" w:lastColumn="0" w:noHBand="0" w:noVBand="1"/>
      </w:tblPr>
      <w:tblGrid>
        <w:gridCol w:w="1418"/>
        <w:gridCol w:w="3402"/>
        <w:gridCol w:w="1701"/>
        <w:gridCol w:w="1701"/>
      </w:tblGrid>
      <w:tr w:rsidR="0050672C" w:rsidRPr="00CB63E4" w14:paraId="1CC162BB" w14:textId="77777777" w:rsidTr="00CB63E4">
        <w:trPr>
          <w:trHeight w:val="285"/>
        </w:trPr>
        <w:tc>
          <w:tcPr>
            <w:tcW w:w="1418" w:type="dxa"/>
            <w:shd w:val="clear" w:color="auto" w:fill="1F4E78"/>
            <w:noWrap/>
            <w:vAlign w:val="center"/>
            <w:hideMark/>
          </w:tcPr>
          <w:p w14:paraId="3888AFC0" w14:textId="77777777" w:rsidR="007D2042" w:rsidRPr="00CB63E4" w:rsidRDefault="007D2042" w:rsidP="002F0411">
            <w:pPr>
              <w:jc w:val="center"/>
              <w:rPr>
                <w:rFonts w:ascii="Times New Roman" w:hAnsi="Times New Roman" w:cs="Times New Roman"/>
                <w:b/>
                <w:bCs/>
                <w:color w:val="FFFFFF" w:themeColor="background1"/>
                <w:sz w:val="18"/>
                <w:szCs w:val="18"/>
              </w:rPr>
            </w:pPr>
            <w:r w:rsidRPr="00CB63E4">
              <w:rPr>
                <w:rFonts w:ascii="Times New Roman" w:hAnsi="Times New Roman" w:cs="Times New Roman"/>
                <w:b/>
                <w:bCs/>
                <w:color w:val="FFFFFF" w:themeColor="background1"/>
                <w:sz w:val="18"/>
                <w:szCs w:val="18"/>
              </w:rPr>
              <w:t>Benchmark</w:t>
            </w:r>
          </w:p>
        </w:tc>
        <w:tc>
          <w:tcPr>
            <w:tcW w:w="3402" w:type="dxa"/>
            <w:shd w:val="clear" w:color="auto" w:fill="1F4E78"/>
            <w:noWrap/>
            <w:vAlign w:val="center"/>
            <w:hideMark/>
          </w:tcPr>
          <w:p w14:paraId="6ECB21A7" w14:textId="77777777" w:rsidR="007D2042" w:rsidRPr="00CB63E4" w:rsidRDefault="007D2042" w:rsidP="002F0411">
            <w:pPr>
              <w:jc w:val="center"/>
              <w:rPr>
                <w:rFonts w:ascii="Times New Roman" w:hAnsi="Times New Roman" w:cs="Times New Roman"/>
                <w:b/>
                <w:bCs/>
                <w:color w:val="FFFFFF" w:themeColor="background1"/>
                <w:sz w:val="18"/>
                <w:szCs w:val="18"/>
              </w:rPr>
            </w:pPr>
            <w:r w:rsidRPr="00CB63E4">
              <w:rPr>
                <w:rFonts w:ascii="Times New Roman" w:hAnsi="Times New Roman" w:cs="Times New Roman"/>
                <w:b/>
                <w:bCs/>
                <w:color w:val="FFFFFF" w:themeColor="background1"/>
                <w:sz w:val="18"/>
                <w:szCs w:val="18"/>
              </w:rPr>
              <w:t>Task</w:t>
            </w:r>
          </w:p>
        </w:tc>
        <w:tc>
          <w:tcPr>
            <w:tcW w:w="1701" w:type="dxa"/>
            <w:shd w:val="clear" w:color="auto" w:fill="1F4E78"/>
            <w:noWrap/>
            <w:vAlign w:val="center"/>
            <w:hideMark/>
          </w:tcPr>
          <w:p w14:paraId="01D6F9C2" w14:textId="77777777" w:rsidR="007D2042" w:rsidRPr="00CB63E4" w:rsidRDefault="007D2042" w:rsidP="002F0411">
            <w:pPr>
              <w:jc w:val="center"/>
              <w:rPr>
                <w:rFonts w:ascii="Times New Roman" w:hAnsi="Times New Roman" w:cs="Times New Roman"/>
                <w:b/>
                <w:bCs/>
                <w:color w:val="FFFFFF" w:themeColor="background1"/>
                <w:sz w:val="18"/>
                <w:szCs w:val="18"/>
              </w:rPr>
            </w:pPr>
            <w:r w:rsidRPr="00CB63E4">
              <w:rPr>
                <w:rFonts w:ascii="Times New Roman" w:hAnsi="Times New Roman" w:cs="Times New Roman"/>
                <w:b/>
                <w:bCs/>
                <w:color w:val="FFFFFF" w:themeColor="background1"/>
                <w:sz w:val="18"/>
                <w:szCs w:val="18"/>
              </w:rPr>
              <w:t>|Δ positive rate| (%)</w:t>
            </w:r>
          </w:p>
        </w:tc>
        <w:tc>
          <w:tcPr>
            <w:tcW w:w="1701" w:type="dxa"/>
            <w:shd w:val="clear" w:color="auto" w:fill="1F4E78"/>
            <w:noWrap/>
            <w:vAlign w:val="center"/>
            <w:hideMark/>
          </w:tcPr>
          <w:p w14:paraId="2F384525" w14:textId="77777777" w:rsidR="007D2042" w:rsidRPr="00CB63E4" w:rsidRDefault="007D2042" w:rsidP="002F0411">
            <w:pPr>
              <w:jc w:val="center"/>
              <w:rPr>
                <w:rFonts w:ascii="Times New Roman" w:hAnsi="Times New Roman" w:cs="Times New Roman"/>
                <w:b/>
                <w:bCs/>
                <w:color w:val="FFFFFF" w:themeColor="background1"/>
                <w:sz w:val="18"/>
                <w:szCs w:val="18"/>
              </w:rPr>
            </w:pPr>
            <w:r w:rsidRPr="00CB63E4">
              <w:rPr>
                <w:rFonts w:ascii="Times New Roman" w:hAnsi="Times New Roman" w:cs="Times New Roman"/>
                <w:b/>
                <w:bCs/>
                <w:color w:val="FFFFFF" w:themeColor="background1"/>
                <w:sz w:val="18"/>
                <w:szCs w:val="18"/>
              </w:rPr>
              <w:t>Bernoulli JS divergence</w:t>
            </w:r>
          </w:p>
        </w:tc>
      </w:tr>
      <w:tr w:rsidR="0050672C" w:rsidRPr="00CB63E4" w14:paraId="5EE9251A" w14:textId="77777777" w:rsidTr="002F0411">
        <w:trPr>
          <w:trHeight w:val="285"/>
        </w:trPr>
        <w:tc>
          <w:tcPr>
            <w:tcW w:w="1418" w:type="dxa"/>
            <w:noWrap/>
            <w:vAlign w:val="center"/>
            <w:hideMark/>
          </w:tcPr>
          <w:p w14:paraId="41F55296"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7B6E163C"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Eye corrosion</w:t>
            </w:r>
          </w:p>
        </w:tc>
        <w:tc>
          <w:tcPr>
            <w:tcW w:w="1701" w:type="dxa"/>
            <w:noWrap/>
            <w:vAlign w:val="center"/>
            <w:hideMark/>
          </w:tcPr>
          <w:p w14:paraId="49580285"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63.1</w:t>
            </w:r>
          </w:p>
        </w:tc>
        <w:tc>
          <w:tcPr>
            <w:tcW w:w="1701" w:type="dxa"/>
            <w:noWrap/>
            <w:vAlign w:val="center"/>
            <w:hideMark/>
          </w:tcPr>
          <w:p w14:paraId="5065729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0.218</w:t>
            </w:r>
          </w:p>
        </w:tc>
      </w:tr>
      <w:tr w:rsidR="0050672C" w:rsidRPr="00CB63E4" w14:paraId="7D691E05" w14:textId="77777777" w:rsidTr="002F0411">
        <w:trPr>
          <w:trHeight w:val="285"/>
        </w:trPr>
        <w:tc>
          <w:tcPr>
            <w:tcW w:w="1418" w:type="dxa"/>
            <w:noWrap/>
            <w:vAlign w:val="center"/>
            <w:hideMark/>
          </w:tcPr>
          <w:p w14:paraId="31413D06"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2ECEDC35"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Genetic tox (micronucleus)</w:t>
            </w:r>
          </w:p>
        </w:tc>
        <w:tc>
          <w:tcPr>
            <w:tcW w:w="1701" w:type="dxa"/>
            <w:noWrap/>
            <w:vAlign w:val="center"/>
            <w:hideMark/>
          </w:tcPr>
          <w:p w14:paraId="50E2AC9A"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35.7</w:t>
            </w:r>
          </w:p>
        </w:tc>
        <w:tc>
          <w:tcPr>
            <w:tcW w:w="1701" w:type="dxa"/>
            <w:noWrap/>
            <w:vAlign w:val="center"/>
            <w:hideMark/>
          </w:tcPr>
          <w:p w14:paraId="2304778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0.071</w:t>
            </w:r>
          </w:p>
        </w:tc>
      </w:tr>
      <w:tr w:rsidR="0050672C" w:rsidRPr="00CB63E4" w14:paraId="4A7CC8E2" w14:textId="77777777" w:rsidTr="002F0411">
        <w:trPr>
          <w:trHeight w:val="285"/>
        </w:trPr>
        <w:tc>
          <w:tcPr>
            <w:tcW w:w="1418" w:type="dxa"/>
            <w:noWrap/>
            <w:vAlign w:val="center"/>
            <w:hideMark/>
          </w:tcPr>
          <w:p w14:paraId="44B1B2AE"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7020A9A1"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ToxCast-NVS_NR_hAR</w:t>
            </w:r>
            <w:proofErr w:type="spellEnd"/>
          </w:p>
        </w:tc>
        <w:tc>
          <w:tcPr>
            <w:tcW w:w="1701" w:type="dxa"/>
            <w:noWrap/>
            <w:vAlign w:val="center"/>
            <w:hideMark/>
          </w:tcPr>
          <w:p w14:paraId="30187F53"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34.5</w:t>
            </w:r>
          </w:p>
        </w:tc>
        <w:tc>
          <w:tcPr>
            <w:tcW w:w="1701" w:type="dxa"/>
            <w:noWrap/>
            <w:vAlign w:val="center"/>
            <w:hideMark/>
          </w:tcPr>
          <w:p w14:paraId="36D9541E"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0.065</w:t>
            </w:r>
          </w:p>
        </w:tc>
      </w:tr>
      <w:tr w:rsidR="0050672C" w:rsidRPr="00CB63E4" w14:paraId="18A9D9C6" w14:textId="77777777" w:rsidTr="002F0411">
        <w:trPr>
          <w:trHeight w:val="285"/>
        </w:trPr>
        <w:tc>
          <w:tcPr>
            <w:tcW w:w="1418" w:type="dxa"/>
            <w:noWrap/>
            <w:vAlign w:val="center"/>
            <w:hideMark/>
          </w:tcPr>
          <w:p w14:paraId="3033529B"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3BF4C93E"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Biodegradation</w:t>
            </w:r>
          </w:p>
        </w:tc>
        <w:tc>
          <w:tcPr>
            <w:tcW w:w="1701" w:type="dxa"/>
            <w:noWrap/>
            <w:vAlign w:val="center"/>
            <w:hideMark/>
          </w:tcPr>
          <w:p w14:paraId="38D92D8F"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34.3</w:t>
            </w:r>
          </w:p>
        </w:tc>
        <w:tc>
          <w:tcPr>
            <w:tcW w:w="1701" w:type="dxa"/>
            <w:noWrap/>
            <w:vAlign w:val="center"/>
            <w:hideMark/>
          </w:tcPr>
          <w:p w14:paraId="7EB59F36"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0.062</w:t>
            </w:r>
          </w:p>
        </w:tc>
      </w:tr>
      <w:tr w:rsidR="0050672C" w:rsidRPr="00CB63E4" w14:paraId="0D15D00C" w14:textId="77777777" w:rsidTr="002F0411">
        <w:trPr>
          <w:trHeight w:val="285"/>
        </w:trPr>
        <w:tc>
          <w:tcPr>
            <w:tcW w:w="1418" w:type="dxa"/>
            <w:noWrap/>
            <w:vAlign w:val="center"/>
            <w:hideMark/>
          </w:tcPr>
          <w:p w14:paraId="47143DD9"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6E957B28"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ToxCast-NVS_IC_hKhERGCh</w:t>
            </w:r>
            <w:proofErr w:type="spellEnd"/>
          </w:p>
        </w:tc>
        <w:tc>
          <w:tcPr>
            <w:tcW w:w="1701" w:type="dxa"/>
            <w:noWrap/>
            <w:vAlign w:val="center"/>
            <w:hideMark/>
          </w:tcPr>
          <w:p w14:paraId="77A298C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33.3</w:t>
            </w:r>
          </w:p>
        </w:tc>
        <w:tc>
          <w:tcPr>
            <w:tcW w:w="1701" w:type="dxa"/>
            <w:noWrap/>
            <w:vAlign w:val="center"/>
            <w:hideMark/>
          </w:tcPr>
          <w:p w14:paraId="33CAFB4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0.066</w:t>
            </w:r>
          </w:p>
        </w:tc>
      </w:tr>
      <w:tr w:rsidR="0050672C" w:rsidRPr="00CB63E4" w14:paraId="023B526C" w14:textId="77777777" w:rsidTr="002F0411">
        <w:trPr>
          <w:trHeight w:val="285"/>
        </w:trPr>
        <w:tc>
          <w:tcPr>
            <w:tcW w:w="1418" w:type="dxa"/>
            <w:noWrap/>
            <w:vAlign w:val="center"/>
            <w:hideMark/>
          </w:tcPr>
          <w:p w14:paraId="18DB1143"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2731F3F5"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Drug metabolism (cyp1a2 substrate)</w:t>
            </w:r>
          </w:p>
        </w:tc>
        <w:tc>
          <w:tcPr>
            <w:tcW w:w="1701" w:type="dxa"/>
            <w:noWrap/>
            <w:vAlign w:val="center"/>
            <w:hideMark/>
          </w:tcPr>
          <w:p w14:paraId="4268D5D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33.3</w:t>
            </w:r>
          </w:p>
        </w:tc>
        <w:tc>
          <w:tcPr>
            <w:tcW w:w="1701" w:type="dxa"/>
            <w:noWrap/>
            <w:vAlign w:val="center"/>
            <w:hideMark/>
          </w:tcPr>
          <w:p w14:paraId="4ADFAEA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0.065</w:t>
            </w:r>
          </w:p>
        </w:tc>
      </w:tr>
      <w:tr w:rsidR="0050672C" w:rsidRPr="00CB63E4" w14:paraId="7EF5095F" w14:textId="77777777" w:rsidTr="002F0411">
        <w:trPr>
          <w:trHeight w:val="285"/>
        </w:trPr>
        <w:tc>
          <w:tcPr>
            <w:tcW w:w="1418" w:type="dxa"/>
            <w:noWrap/>
            <w:vAlign w:val="center"/>
            <w:hideMark/>
          </w:tcPr>
          <w:p w14:paraId="38D5BD58"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7ACDB714"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SIDER-Reproductive system and breast disorders</w:t>
            </w:r>
          </w:p>
        </w:tc>
        <w:tc>
          <w:tcPr>
            <w:tcW w:w="1701" w:type="dxa"/>
            <w:noWrap/>
            <w:vAlign w:val="center"/>
            <w:hideMark/>
          </w:tcPr>
          <w:p w14:paraId="40F57081"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33.1</w:t>
            </w:r>
          </w:p>
        </w:tc>
        <w:tc>
          <w:tcPr>
            <w:tcW w:w="1701" w:type="dxa"/>
            <w:noWrap/>
            <w:vAlign w:val="center"/>
            <w:hideMark/>
          </w:tcPr>
          <w:p w14:paraId="22E9D09E"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0.06</w:t>
            </w:r>
          </w:p>
        </w:tc>
      </w:tr>
      <w:tr w:rsidR="0050672C" w:rsidRPr="00CB63E4" w14:paraId="5D2F3B10" w14:textId="77777777" w:rsidTr="002F0411">
        <w:trPr>
          <w:trHeight w:val="285"/>
        </w:trPr>
        <w:tc>
          <w:tcPr>
            <w:tcW w:w="1418" w:type="dxa"/>
            <w:noWrap/>
            <w:vAlign w:val="center"/>
            <w:hideMark/>
          </w:tcPr>
          <w:p w14:paraId="197588C3"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4D0C4F1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ToxCast-NVS_ENZ_oCOX1</w:t>
            </w:r>
          </w:p>
        </w:tc>
        <w:tc>
          <w:tcPr>
            <w:tcW w:w="1701" w:type="dxa"/>
            <w:noWrap/>
            <w:vAlign w:val="center"/>
            <w:hideMark/>
          </w:tcPr>
          <w:p w14:paraId="6C424226"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31.4</w:t>
            </w:r>
          </w:p>
        </w:tc>
        <w:tc>
          <w:tcPr>
            <w:tcW w:w="1701" w:type="dxa"/>
            <w:noWrap/>
            <w:vAlign w:val="center"/>
            <w:hideMark/>
          </w:tcPr>
          <w:p w14:paraId="44F0992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0.05</w:t>
            </w:r>
          </w:p>
        </w:tc>
      </w:tr>
      <w:tr w:rsidR="0050672C" w:rsidRPr="00CB63E4" w14:paraId="765EFA50" w14:textId="77777777" w:rsidTr="002F0411">
        <w:trPr>
          <w:trHeight w:val="285"/>
        </w:trPr>
        <w:tc>
          <w:tcPr>
            <w:tcW w:w="1418" w:type="dxa"/>
            <w:noWrap/>
            <w:vAlign w:val="center"/>
            <w:hideMark/>
          </w:tcPr>
          <w:p w14:paraId="77F9B7DD"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420F9E6F"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SIDER-Hepatobiliary disorders</w:t>
            </w:r>
          </w:p>
        </w:tc>
        <w:tc>
          <w:tcPr>
            <w:tcW w:w="1701" w:type="dxa"/>
            <w:noWrap/>
            <w:vAlign w:val="center"/>
            <w:hideMark/>
          </w:tcPr>
          <w:p w14:paraId="6C3DD99E"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30.7</w:t>
            </w:r>
          </w:p>
        </w:tc>
        <w:tc>
          <w:tcPr>
            <w:tcW w:w="1701" w:type="dxa"/>
            <w:noWrap/>
            <w:vAlign w:val="center"/>
            <w:hideMark/>
          </w:tcPr>
          <w:p w14:paraId="1BD285AD"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0.05</w:t>
            </w:r>
          </w:p>
        </w:tc>
      </w:tr>
      <w:tr w:rsidR="0050672C" w:rsidRPr="00CB63E4" w14:paraId="3C6C5006" w14:textId="77777777" w:rsidTr="002F0411">
        <w:trPr>
          <w:trHeight w:val="285"/>
        </w:trPr>
        <w:tc>
          <w:tcPr>
            <w:tcW w:w="1418" w:type="dxa"/>
            <w:noWrap/>
            <w:vAlign w:val="center"/>
            <w:hideMark/>
          </w:tcPr>
          <w:p w14:paraId="34B5BF4E"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3B78F11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Respiratory tox</w:t>
            </w:r>
          </w:p>
        </w:tc>
        <w:tc>
          <w:tcPr>
            <w:tcW w:w="1701" w:type="dxa"/>
            <w:noWrap/>
            <w:vAlign w:val="center"/>
            <w:hideMark/>
          </w:tcPr>
          <w:p w14:paraId="29C5224C"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26.5</w:t>
            </w:r>
          </w:p>
        </w:tc>
        <w:tc>
          <w:tcPr>
            <w:tcW w:w="1701" w:type="dxa"/>
            <w:noWrap/>
            <w:vAlign w:val="center"/>
            <w:hideMark/>
          </w:tcPr>
          <w:p w14:paraId="0AC18086"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0.035</w:t>
            </w:r>
          </w:p>
        </w:tc>
      </w:tr>
      <w:tr w:rsidR="0050672C" w:rsidRPr="00CB63E4" w14:paraId="37B99337" w14:textId="77777777" w:rsidTr="002F0411">
        <w:trPr>
          <w:trHeight w:val="285"/>
        </w:trPr>
        <w:tc>
          <w:tcPr>
            <w:tcW w:w="1418" w:type="dxa"/>
            <w:noWrap/>
            <w:vAlign w:val="center"/>
            <w:hideMark/>
          </w:tcPr>
          <w:p w14:paraId="2246CAA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10D82ACE"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Bee tox</w:t>
            </w:r>
          </w:p>
        </w:tc>
        <w:tc>
          <w:tcPr>
            <w:tcW w:w="1701" w:type="dxa"/>
            <w:noWrap/>
            <w:vAlign w:val="center"/>
            <w:hideMark/>
          </w:tcPr>
          <w:p w14:paraId="4FEEC9AC"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25.6</w:t>
            </w:r>
          </w:p>
        </w:tc>
        <w:tc>
          <w:tcPr>
            <w:tcW w:w="1701" w:type="dxa"/>
            <w:noWrap/>
            <w:vAlign w:val="center"/>
            <w:hideMark/>
          </w:tcPr>
          <w:p w14:paraId="16BBA51A"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0.035</w:t>
            </w:r>
          </w:p>
        </w:tc>
      </w:tr>
      <w:tr w:rsidR="0050672C" w:rsidRPr="00CB63E4" w14:paraId="715A5CE3" w14:textId="77777777" w:rsidTr="002F0411">
        <w:trPr>
          <w:trHeight w:val="285"/>
        </w:trPr>
        <w:tc>
          <w:tcPr>
            <w:tcW w:w="1418" w:type="dxa"/>
            <w:noWrap/>
            <w:vAlign w:val="center"/>
            <w:hideMark/>
          </w:tcPr>
          <w:p w14:paraId="6551645E"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7E845D9C"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SIDER-Musculoskeletal and connective tissue disorders</w:t>
            </w:r>
          </w:p>
        </w:tc>
        <w:tc>
          <w:tcPr>
            <w:tcW w:w="1701" w:type="dxa"/>
            <w:noWrap/>
            <w:vAlign w:val="center"/>
            <w:hideMark/>
          </w:tcPr>
          <w:p w14:paraId="3708265A"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24.5</w:t>
            </w:r>
          </w:p>
        </w:tc>
        <w:tc>
          <w:tcPr>
            <w:tcW w:w="1701" w:type="dxa"/>
            <w:noWrap/>
            <w:vAlign w:val="center"/>
            <w:hideMark/>
          </w:tcPr>
          <w:p w14:paraId="4EB42E2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0.032</w:t>
            </w:r>
          </w:p>
        </w:tc>
      </w:tr>
      <w:tr w:rsidR="0050672C" w:rsidRPr="00CB63E4" w14:paraId="6DF34D98" w14:textId="77777777" w:rsidTr="002F0411">
        <w:trPr>
          <w:trHeight w:val="285"/>
        </w:trPr>
        <w:tc>
          <w:tcPr>
            <w:tcW w:w="1418" w:type="dxa"/>
            <w:noWrap/>
            <w:vAlign w:val="center"/>
            <w:hideMark/>
          </w:tcPr>
          <w:p w14:paraId="32AA537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4B50144E"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Liver tox</w:t>
            </w:r>
          </w:p>
        </w:tc>
        <w:tc>
          <w:tcPr>
            <w:tcW w:w="1701" w:type="dxa"/>
            <w:noWrap/>
            <w:vAlign w:val="center"/>
            <w:hideMark/>
          </w:tcPr>
          <w:p w14:paraId="5A27D0A5"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23.4</w:t>
            </w:r>
          </w:p>
        </w:tc>
        <w:tc>
          <w:tcPr>
            <w:tcW w:w="1701" w:type="dxa"/>
            <w:noWrap/>
            <w:vAlign w:val="center"/>
            <w:hideMark/>
          </w:tcPr>
          <w:p w14:paraId="447C41C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0.028</w:t>
            </w:r>
          </w:p>
        </w:tc>
      </w:tr>
      <w:tr w:rsidR="0050672C" w:rsidRPr="00CB63E4" w14:paraId="03A594D7" w14:textId="77777777" w:rsidTr="002F0411">
        <w:trPr>
          <w:trHeight w:val="285"/>
        </w:trPr>
        <w:tc>
          <w:tcPr>
            <w:tcW w:w="1418" w:type="dxa"/>
            <w:noWrap/>
            <w:vAlign w:val="center"/>
            <w:hideMark/>
          </w:tcPr>
          <w:p w14:paraId="29F4C12C"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2DA37FB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Eye irritation</w:t>
            </w:r>
          </w:p>
        </w:tc>
        <w:tc>
          <w:tcPr>
            <w:tcW w:w="1701" w:type="dxa"/>
            <w:noWrap/>
            <w:vAlign w:val="center"/>
            <w:hideMark/>
          </w:tcPr>
          <w:p w14:paraId="7466607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22.9</w:t>
            </w:r>
          </w:p>
        </w:tc>
        <w:tc>
          <w:tcPr>
            <w:tcW w:w="1701" w:type="dxa"/>
            <w:noWrap/>
            <w:vAlign w:val="center"/>
            <w:hideMark/>
          </w:tcPr>
          <w:p w14:paraId="168EE9A1"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0.046</w:t>
            </w:r>
          </w:p>
        </w:tc>
      </w:tr>
      <w:tr w:rsidR="0050672C" w:rsidRPr="00CB63E4" w14:paraId="6950072A" w14:textId="77777777" w:rsidTr="002F0411">
        <w:trPr>
          <w:trHeight w:val="285"/>
        </w:trPr>
        <w:tc>
          <w:tcPr>
            <w:tcW w:w="1418" w:type="dxa"/>
            <w:noWrap/>
            <w:vAlign w:val="center"/>
            <w:hideMark/>
          </w:tcPr>
          <w:p w14:paraId="024BBD4C"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2EA9C123"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SIDER-Renal and urinary disorders</w:t>
            </w:r>
          </w:p>
        </w:tc>
        <w:tc>
          <w:tcPr>
            <w:tcW w:w="1701" w:type="dxa"/>
            <w:noWrap/>
            <w:vAlign w:val="center"/>
            <w:hideMark/>
          </w:tcPr>
          <w:p w14:paraId="41631BDB"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20.6</w:t>
            </w:r>
          </w:p>
        </w:tc>
        <w:tc>
          <w:tcPr>
            <w:tcW w:w="1701" w:type="dxa"/>
            <w:noWrap/>
            <w:vAlign w:val="center"/>
            <w:hideMark/>
          </w:tcPr>
          <w:p w14:paraId="12307D9F"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0.022</w:t>
            </w:r>
          </w:p>
        </w:tc>
      </w:tr>
      <w:tr w:rsidR="0050672C" w:rsidRPr="00CB63E4" w14:paraId="617C22D9" w14:textId="77777777" w:rsidTr="002F0411">
        <w:trPr>
          <w:trHeight w:val="285"/>
        </w:trPr>
        <w:tc>
          <w:tcPr>
            <w:tcW w:w="1418" w:type="dxa"/>
            <w:noWrap/>
            <w:vAlign w:val="center"/>
            <w:hideMark/>
          </w:tcPr>
          <w:p w14:paraId="3E2FBE42"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48A2C85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SIDER-Skin and subcutaneous tissue disorders</w:t>
            </w:r>
          </w:p>
        </w:tc>
        <w:tc>
          <w:tcPr>
            <w:tcW w:w="1701" w:type="dxa"/>
            <w:noWrap/>
            <w:vAlign w:val="center"/>
            <w:hideMark/>
          </w:tcPr>
          <w:p w14:paraId="27EB72D7"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20.6</w:t>
            </w:r>
          </w:p>
        </w:tc>
        <w:tc>
          <w:tcPr>
            <w:tcW w:w="1701" w:type="dxa"/>
            <w:noWrap/>
            <w:vAlign w:val="center"/>
            <w:hideMark/>
          </w:tcPr>
          <w:p w14:paraId="0EA16A6A"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0.043</w:t>
            </w:r>
          </w:p>
        </w:tc>
      </w:tr>
      <w:tr w:rsidR="0050672C" w:rsidRPr="00CB63E4" w14:paraId="669BF284" w14:textId="77777777" w:rsidTr="002F0411">
        <w:trPr>
          <w:trHeight w:val="285"/>
        </w:trPr>
        <w:tc>
          <w:tcPr>
            <w:tcW w:w="1418" w:type="dxa"/>
            <w:noWrap/>
            <w:vAlign w:val="center"/>
            <w:hideMark/>
          </w:tcPr>
          <w:p w14:paraId="7251BD77"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44DE67E1"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SIDER-Nervous system disorders</w:t>
            </w:r>
          </w:p>
        </w:tc>
        <w:tc>
          <w:tcPr>
            <w:tcW w:w="1701" w:type="dxa"/>
            <w:noWrap/>
            <w:vAlign w:val="center"/>
            <w:hideMark/>
          </w:tcPr>
          <w:p w14:paraId="23440113"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20.2</w:t>
            </w:r>
          </w:p>
        </w:tc>
        <w:tc>
          <w:tcPr>
            <w:tcW w:w="1701" w:type="dxa"/>
            <w:noWrap/>
            <w:vAlign w:val="center"/>
            <w:hideMark/>
          </w:tcPr>
          <w:p w14:paraId="02EA03AF"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0.039</w:t>
            </w:r>
          </w:p>
        </w:tc>
      </w:tr>
      <w:tr w:rsidR="0050672C" w:rsidRPr="00CB63E4" w14:paraId="43A6472F" w14:textId="77777777" w:rsidTr="002F0411">
        <w:trPr>
          <w:trHeight w:val="285"/>
        </w:trPr>
        <w:tc>
          <w:tcPr>
            <w:tcW w:w="1418" w:type="dxa"/>
            <w:noWrap/>
            <w:vAlign w:val="center"/>
            <w:hideMark/>
          </w:tcPr>
          <w:p w14:paraId="07B396AA"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0FA7A0AC"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Carcinogenicity</w:t>
            </w:r>
          </w:p>
        </w:tc>
        <w:tc>
          <w:tcPr>
            <w:tcW w:w="1701" w:type="dxa"/>
            <w:noWrap/>
            <w:vAlign w:val="center"/>
            <w:hideMark/>
          </w:tcPr>
          <w:p w14:paraId="2CCBA0B5"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20.1</w:t>
            </w:r>
          </w:p>
        </w:tc>
        <w:tc>
          <w:tcPr>
            <w:tcW w:w="1701" w:type="dxa"/>
            <w:noWrap/>
            <w:vAlign w:val="center"/>
            <w:hideMark/>
          </w:tcPr>
          <w:p w14:paraId="1AE0F867"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0.02</w:t>
            </w:r>
          </w:p>
        </w:tc>
      </w:tr>
      <w:tr w:rsidR="0050672C" w:rsidRPr="00CB63E4" w14:paraId="1FA983AB" w14:textId="77777777" w:rsidTr="002F0411">
        <w:trPr>
          <w:trHeight w:val="285"/>
        </w:trPr>
        <w:tc>
          <w:tcPr>
            <w:tcW w:w="1418" w:type="dxa"/>
            <w:noWrap/>
            <w:vAlign w:val="center"/>
            <w:hideMark/>
          </w:tcPr>
          <w:p w14:paraId="5D059FA7"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3BCAB1BE"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SIDER-Immune system disorders</w:t>
            </w:r>
          </w:p>
        </w:tc>
        <w:tc>
          <w:tcPr>
            <w:tcW w:w="1701" w:type="dxa"/>
            <w:noWrap/>
            <w:vAlign w:val="center"/>
            <w:hideMark/>
          </w:tcPr>
          <w:p w14:paraId="6A11AB53"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19.3</w:t>
            </w:r>
          </w:p>
        </w:tc>
        <w:tc>
          <w:tcPr>
            <w:tcW w:w="1701" w:type="dxa"/>
            <w:noWrap/>
            <w:vAlign w:val="center"/>
            <w:hideMark/>
          </w:tcPr>
          <w:p w14:paraId="42E67F2C"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0.02</w:t>
            </w:r>
          </w:p>
        </w:tc>
      </w:tr>
      <w:tr w:rsidR="0050672C" w:rsidRPr="00CB63E4" w14:paraId="2D95D6C5" w14:textId="77777777" w:rsidTr="002F0411">
        <w:trPr>
          <w:trHeight w:val="285"/>
        </w:trPr>
        <w:tc>
          <w:tcPr>
            <w:tcW w:w="1418" w:type="dxa"/>
            <w:noWrap/>
            <w:vAlign w:val="center"/>
            <w:hideMark/>
          </w:tcPr>
          <w:p w14:paraId="452CF1F1"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684A7494"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SIDER-Ear and labyrinth disorders</w:t>
            </w:r>
          </w:p>
        </w:tc>
        <w:tc>
          <w:tcPr>
            <w:tcW w:w="1701" w:type="dxa"/>
            <w:noWrap/>
            <w:vAlign w:val="center"/>
            <w:hideMark/>
          </w:tcPr>
          <w:p w14:paraId="0B673D4B"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19</w:t>
            </w:r>
          </w:p>
        </w:tc>
        <w:tc>
          <w:tcPr>
            <w:tcW w:w="1701" w:type="dxa"/>
            <w:noWrap/>
            <w:vAlign w:val="center"/>
            <w:hideMark/>
          </w:tcPr>
          <w:p w14:paraId="12A70C76"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0.019</w:t>
            </w:r>
          </w:p>
        </w:tc>
      </w:tr>
      <w:tr w:rsidR="0050672C" w:rsidRPr="00CB63E4" w14:paraId="72CF000C" w14:textId="77777777" w:rsidTr="002F0411">
        <w:trPr>
          <w:trHeight w:val="285"/>
        </w:trPr>
        <w:tc>
          <w:tcPr>
            <w:tcW w:w="1418" w:type="dxa"/>
            <w:noWrap/>
            <w:vAlign w:val="center"/>
            <w:hideMark/>
          </w:tcPr>
          <w:p w14:paraId="685D1D7A"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5740D053"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SIDER-Eye disorders</w:t>
            </w:r>
          </w:p>
        </w:tc>
        <w:tc>
          <w:tcPr>
            <w:tcW w:w="1701" w:type="dxa"/>
            <w:noWrap/>
            <w:vAlign w:val="center"/>
            <w:hideMark/>
          </w:tcPr>
          <w:p w14:paraId="6C84D56B"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18.6</w:t>
            </w:r>
          </w:p>
        </w:tc>
        <w:tc>
          <w:tcPr>
            <w:tcW w:w="1701" w:type="dxa"/>
            <w:noWrap/>
            <w:vAlign w:val="center"/>
            <w:hideMark/>
          </w:tcPr>
          <w:p w14:paraId="3EFC5ED6"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0.017</w:t>
            </w:r>
          </w:p>
        </w:tc>
      </w:tr>
      <w:tr w:rsidR="0050672C" w:rsidRPr="00CB63E4" w14:paraId="52C57FD7" w14:textId="77777777" w:rsidTr="002F0411">
        <w:trPr>
          <w:trHeight w:val="285"/>
        </w:trPr>
        <w:tc>
          <w:tcPr>
            <w:tcW w:w="1418" w:type="dxa"/>
            <w:noWrap/>
            <w:vAlign w:val="center"/>
            <w:hideMark/>
          </w:tcPr>
          <w:p w14:paraId="0A41B111"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15329173"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SIDER-Cardiac disorders</w:t>
            </w:r>
          </w:p>
        </w:tc>
        <w:tc>
          <w:tcPr>
            <w:tcW w:w="1701" w:type="dxa"/>
            <w:noWrap/>
            <w:vAlign w:val="center"/>
            <w:hideMark/>
          </w:tcPr>
          <w:p w14:paraId="5002AC1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17.2</w:t>
            </w:r>
          </w:p>
        </w:tc>
        <w:tc>
          <w:tcPr>
            <w:tcW w:w="1701" w:type="dxa"/>
            <w:noWrap/>
            <w:vAlign w:val="center"/>
            <w:hideMark/>
          </w:tcPr>
          <w:p w14:paraId="118FC00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0.016</w:t>
            </w:r>
          </w:p>
        </w:tc>
      </w:tr>
      <w:tr w:rsidR="0050672C" w:rsidRPr="00CB63E4" w14:paraId="7C57684A" w14:textId="77777777" w:rsidTr="002F0411">
        <w:trPr>
          <w:trHeight w:val="285"/>
        </w:trPr>
        <w:tc>
          <w:tcPr>
            <w:tcW w:w="1418" w:type="dxa"/>
            <w:noWrap/>
            <w:vAlign w:val="center"/>
            <w:hideMark/>
          </w:tcPr>
          <w:p w14:paraId="7DC62BA6"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368589A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SIDER-Blood and lymphatic system disorders</w:t>
            </w:r>
          </w:p>
        </w:tc>
        <w:tc>
          <w:tcPr>
            <w:tcW w:w="1701" w:type="dxa"/>
            <w:noWrap/>
            <w:vAlign w:val="center"/>
            <w:hideMark/>
          </w:tcPr>
          <w:p w14:paraId="3BFD7E97"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17.1</w:t>
            </w:r>
          </w:p>
        </w:tc>
        <w:tc>
          <w:tcPr>
            <w:tcW w:w="1701" w:type="dxa"/>
            <w:noWrap/>
            <w:vAlign w:val="center"/>
            <w:hideMark/>
          </w:tcPr>
          <w:p w14:paraId="06EE3AEE"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0.015</w:t>
            </w:r>
          </w:p>
        </w:tc>
      </w:tr>
      <w:tr w:rsidR="0050672C" w:rsidRPr="00CB63E4" w14:paraId="5CE42DBC" w14:textId="77777777" w:rsidTr="002F0411">
        <w:trPr>
          <w:trHeight w:val="285"/>
        </w:trPr>
        <w:tc>
          <w:tcPr>
            <w:tcW w:w="1418" w:type="dxa"/>
            <w:noWrap/>
            <w:vAlign w:val="center"/>
            <w:hideMark/>
          </w:tcPr>
          <w:p w14:paraId="4048E90D"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48216F77"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SR-MMP</w:t>
            </w:r>
          </w:p>
        </w:tc>
        <w:tc>
          <w:tcPr>
            <w:tcW w:w="1701" w:type="dxa"/>
            <w:noWrap/>
            <w:vAlign w:val="center"/>
            <w:hideMark/>
          </w:tcPr>
          <w:p w14:paraId="45BDF69B"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16.5</w:t>
            </w:r>
          </w:p>
        </w:tc>
        <w:tc>
          <w:tcPr>
            <w:tcW w:w="1701" w:type="dxa"/>
            <w:noWrap/>
            <w:vAlign w:val="center"/>
            <w:hideMark/>
          </w:tcPr>
          <w:p w14:paraId="23AA720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0.039</w:t>
            </w:r>
          </w:p>
        </w:tc>
      </w:tr>
      <w:tr w:rsidR="0050672C" w:rsidRPr="00CB63E4" w14:paraId="43CB8DA6" w14:textId="77777777" w:rsidTr="002F0411">
        <w:trPr>
          <w:trHeight w:val="285"/>
        </w:trPr>
        <w:tc>
          <w:tcPr>
            <w:tcW w:w="1418" w:type="dxa"/>
            <w:noWrap/>
            <w:vAlign w:val="center"/>
            <w:hideMark/>
          </w:tcPr>
          <w:p w14:paraId="38BB66EE"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086885F1"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SIDER-Injury, poisoning and procedural complications</w:t>
            </w:r>
          </w:p>
        </w:tc>
        <w:tc>
          <w:tcPr>
            <w:tcW w:w="1701" w:type="dxa"/>
            <w:noWrap/>
            <w:vAlign w:val="center"/>
            <w:hideMark/>
          </w:tcPr>
          <w:p w14:paraId="2CE71AFC"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16.1</w:t>
            </w:r>
          </w:p>
        </w:tc>
        <w:tc>
          <w:tcPr>
            <w:tcW w:w="1701" w:type="dxa"/>
            <w:noWrap/>
            <w:vAlign w:val="center"/>
            <w:hideMark/>
          </w:tcPr>
          <w:p w14:paraId="3903045F"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0.014</w:t>
            </w:r>
          </w:p>
        </w:tc>
      </w:tr>
      <w:tr w:rsidR="0050672C" w:rsidRPr="00CB63E4" w14:paraId="5D6B0C19" w14:textId="77777777" w:rsidTr="002F0411">
        <w:trPr>
          <w:trHeight w:val="285"/>
        </w:trPr>
        <w:tc>
          <w:tcPr>
            <w:tcW w:w="1418" w:type="dxa"/>
            <w:noWrap/>
            <w:vAlign w:val="center"/>
            <w:hideMark/>
          </w:tcPr>
          <w:p w14:paraId="7305EAAD"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4508D2BA"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Tox21-SR-MMP</w:t>
            </w:r>
          </w:p>
        </w:tc>
        <w:tc>
          <w:tcPr>
            <w:tcW w:w="1701" w:type="dxa"/>
            <w:noWrap/>
            <w:vAlign w:val="center"/>
            <w:hideMark/>
          </w:tcPr>
          <w:p w14:paraId="7E89085A"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16.1</w:t>
            </w:r>
          </w:p>
        </w:tc>
        <w:tc>
          <w:tcPr>
            <w:tcW w:w="1701" w:type="dxa"/>
            <w:noWrap/>
            <w:vAlign w:val="center"/>
            <w:hideMark/>
          </w:tcPr>
          <w:p w14:paraId="6A125C47"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0.033</w:t>
            </w:r>
          </w:p>
        </w:tc>
      </w:tr>
      <w:tr w:rsidR="0050672C" w:rsidRPr="00CB63E4" w14:paraId="510BDAD5" w14:textId="77777777" w:rsidTr="002F0411">
        <w:trPr>
          <w:trHeight w:val="285"/>
        </w:trPr>
        <w:tc>
          <w:tcPr>
            <w:tcW w:w="1418" w:type="dxa"/>
            <w:noWrap/>
            <w:vAlign w:val="center"/>
            <w:hideMark/>
          </w:tcPr>
          <w:p w14:paraId="6EBC0208"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3DA6DCC6"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SIDER-Metabolism and nutrition disorders</w:t>
            </w:r>
          </w:p>
        </w:tc>
        <w:tc>
          <w:tcPr>
            <w:tcW w:w="1701" w:type="dxa"/>
            <w:noWrap/>
            <w:vAlign w:val="center"/>
            <w:hideMark/>
          </w:tcPr>
          <w:p w14:paraId="4570791D"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15.6</w:t>
            </w:r>
          </w:p>
        </w:tc>
        <w:tc>
          <w:tcPr>
            <w:tcW w:w="1701" w:type="dxa"/>
            <w:noWrap/>
            <w:vAlign w:val="center"/>
            <w:hideMark/>
          </w:tcPr>
          <w:p w14:paraId="06E31791"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0.013</w:t>
            </w:r>
          </w:p>
        </w:tc>
      </w:tr>
      <w:tr w:rsidR="0050672C" w:rsidRPr="00CB63E4" w14:paraId="6AC58007" w14:textId="77777777" w:rsidTr="002F0411">
        <w:trPr>
          <w:trHeight w:val="285"/>
        </w:trPr>
        <w:tc>
          <w:tcPr>
            <w:tcW w:w="1418" w:type="dxa"/>
            <w:noWrap/>
            <w:vAlign w:val="center"/>
            <w:hideMark/>
          </w:tcPr>
          <w:p w14:paraId="4ED71051"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2B99E5B1"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ToxCast-NVS_ENZ_oCOX2</w:t>
            </w:r>
          </w:p>
        </w:tc>
        <w:tc>
          <w:tcPr>
            <w:tcW w:w="1701" w:type="dxa"/>
            <w:noWrap/>
            <w:vAlign w:val="center"/>
            <w:hideMark/>
          </w:tcPr>
          <w:p w14:paraId="4A0D9137"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14.7</w:t>
            </w:r>
          </w:p>
        </w:tc>
        <w:tc>
          <w:tcPr>
            <w:tcW w:w="1701" w:type="dxa"/>
            <w:noWrap/>
            <w:vAlign w:val="center"/>
            <w:hideMark/>
          </w:tcPr>
          <w:p w14:paraId="0588C3A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0.011</w:t>
            </w:r>
          </w:p>
        </w:tc>
      </w:tr>
      <w:tr w:rsidR="0050672C" w:rsidRPr="00CB63E4" w14:paraId="41332E8F" w14:textId="77777777" w:rsidTr="002F0411">
        <w:trPr>
          <w:trHeight w:val="285"/>
        </w:trPr>
        <w:tc>
          <w:tcPr>
            <w:tcW w:w="1418" w:type="dxa"/>
            <w:noWrap/>
            <w:vAlign w:val="center"/>
            <w:hideMark/>
          </w:tcPr>
          <w:p w14:paraId="35CD818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27EE2089"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Marine tox (crustacean)</w:t>
            </w:r>
          </w:p>
        </w:tc>
        <w:tc>
          <w:tcPr>
            <w:tcW w:w="1701" w:type="dxa"/>
            <w:noWrap/>
            <w:vAlign w:val="center"/>
            <w:hideMark/>
          </w:tcPr>
          <w:p w14:paraId="7562E61B"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14.7</w:t>
            </w:r>
          </w:p>
        </w:tc>
        <w:tc>
          <w:tcPr>
            <w:tcW w:w="1701" w:type="dxa"/>
            <w:noWrap/>
            <w:vAlign w:val="center"/>
            <w:hideMark/>
          </w:tcPr>
          <w:p w14:paraId="6E229ECE"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0.011</w:t>
            </w:r>
          </w:p>
        </w:tc>
      </w:tr>
      <w:tr w:rsidR="0050672C" w:rsidRPr="00CB63E4" w14:paraId="061CA6B4" w14:textId="77777777" w:rsidTr="002F0411">
        <w:trPr>
          <w:trHeight w:val="285"/>
        </w:trPr>
        <w:tc>
          <w:tcPr>
            <w:tcW w:w="1418" w:type="dxa"/>
            <w:noWrap/>
            <w:vAlign w:val="center"/>
            <w:hideMark/>
          </w:tcPr>
          <w:p w14:paraId="638E092D"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5B02EC65"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Ames</w:t>
            </w:r>
          </w:p>
        </w:tc>
        <w:tc>
          <w:tcPr>
            <w:tcW w:w="1701" w:type="dxa"/>
            <w:noWrap/>
            <w:vAlign w:val="center"/>
            <w:hideMark/>
          </w:tcPr>
          <w:p w14:paraId="1A33D1DC"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14.1</w:t>
            </w:r>
          </w:p>
        </w:tc>
        <w:tc>
          <w:tcPr>
            <w:tcW w:w="1701" w:type="dxa"/>
            <w:noWrap/>
            <w:vAlign w:val="center"/>
            <w:hideMark/>
          </w:tcPr>
          <w:p w14:paraId="51069F5D"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w:t>
            </w:r>
          </w:p>
        </w:tc>
      </w:tr>
      <w:tr w:rsidR="0050672C" w:rsidRPr="00CB63E4" w14:paraId="1CD29893" w14:textId="77777777" w:rsidTr="002F0411">
        <w:trPr>
          <w:trHeight w:val="285"/>
        </w:trPr>
        <w:tc>
          <w:tcPr>
            <w:tcW w:w="1418" w:type="dxa"/>
            <w:noWrap/>
            <w:vAlign w:val="center"/>
            <w:hideMark/>
          </w:tcPr>
          <w:p w14:paraId="1433FACB"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lastRenderedPageBreak/>
              <w:t>ADMET</w:t>
            </w:r>
          </w:p>
        </w:tc>
        <w:tc>
          <w:tcPr>
            <w:tcW w:w="3402" w:type="dxa"/>
            <w:noWrap/>
            <w:vAlign w:val="center"/>
            <w:hideMark/>
          </w:tcPr>
          <w:p w14:paraId="29290874"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NR-</w:t>
            </w:r>
            <w:proofErr w:type="spellStart"/>
            <w:r w:rsidRPr="00CB63E4">
              <w:rPr>
                <w:rFonts w:ascii="Times New Roman" w:hAnsi="Times New Roman" w:cs="Times New Roman"/>
                <w:color w:val="000000" w:themeColor="text1"/>
                <w:sz w:val="18"/>
                <w:szCs w:val="18"/>
              </w:rPr>
              <w:t>AhR</w:t>
            </w:r>
            <w:proofErr w:type="spellEnd"/>
          </w:p>
        </w:tc>
        <w:tc>
          <w:tcPr>
            <w:tcW w:w="1701" w:type="dxa"/>
            <w:noWrap/>
            <w:vAlign w:val="center"/>
            <w:hideMark/>
          </w:tcPr>
          <w:p w14:paraId="2636014A"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14</w:t>
            </w:r>
          </w:p>
        </w:tc>
        <w:tc>
          <w:tcPr>
            <w:tcW w:w="1701" w:type="dxa"/>
            <w:noWrap/>
            <w:vAlign w:val="center"/>
            <w:hideMark/>
          </w:tcPr>
          <w:p w14:paraId="00DC41BD"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0.038</w:t>
            </w:r>
          </w:p>
        </w:tc>
      </w:tr>
      <w:tr w:rsidR="0050672C" w:rsidRPr="00CB63E4" w14:paraId="23C0B8C8" w14:textId="77777777" w:rsidTr="002F0411">
        <w:trPr>
          <w:trHeight w:val="285"/>
        </w:trPr>
        <w:tc>
          <w:tcPr>
            <w:tcW w:w="1418" w:type="dxa"/>
            <w:noWrap/>
            <w:vAlign w:val="center"/>
            <w:hideMark/>
          </w:tcPr>
          <w:p w14:paraId="5633F99F"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22FC3346"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Tox21-NR-AhR</w:t>
            </w:r>
          </w:p>
        </w:tc>
        <w:tc>
          <w:tcPr>
            <w:tcW w:w="1701" w:type="dxa"/>
            <w:noWrap/>
            <w:vAlign w:val="center"/>
            <w:hideMark/>
          </w:tcPr>
          <w:p w14:paraId="4047D2CE"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13.8</w:t>
            </w:r>
          </w:p>
        </w:tc>
        <w:tc>
          <w:tcPr>
            <w:tcW w:w="1701" w:type="dxa"/>
            <w:noWrap/>
            <w:vAlign w:val="center"/>
            <w:hideMark/>
          </w:tcPr>
          <w:p w14:paraId="1E6F0287"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0.036</w:t>
            </w:r>
          </w:p>
        </w:tc>
      </w:tr>
      <w:tr w:rsidR="0050672C" w:rsidRPr="00CB63E4" w14:paraId="20913AC7" w14:textId="77777777" w:rsidTr="002F0411">
        <w:trPr>
          <w:trHeight w:val="285"/>
        </w:trPr>
        <w:tc>
          <w:tcPr>
            <w:tcW w:w="1418" w:type="dxa"/>
            <w:noWrap/>
            <w:vAlign w:val="center"/>
            <w:hideMark/>
          </w:tcPr>
          <w:p w14:paraId="337D8BED"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726DD09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SIDER-Vascular disorders</w:t>
            </w:r>
          </w:p>
        </w:tc>
        <w:tc>
          <w:tcPr>
            <w:tcW w:w="1701" w:type="dxa"/>
            <w:noWrap/>
            <w:vAlign w:val="center"/>
            <w:hideMark/>
          </w:tcPr>
          <w:p w14:paraId="79E76A3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12.8</w:t>
            </w:r>
          </w:p>
        </w:tc>
        <w:tc>
          <w:tcPr>
            <w:tcW w:w="1701" w:type="dxa"/>
            <w:noWrap/>
            <w:vAlign w:val="center"/>
            <w:hideMark/>
          </w:tcPr>
          <w:p w14:paraId="3DE1F56D"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w:t>
            </w:r>
          </w:p>
        </w:tc>
      </w:tr>
      <w:tr w:rsidR="0050672C" w:rsidRPr="00CB63E4" w14:paraId="74DE87AB" w14:textId="77777777" w:rsidTr="002F0411">
        <w:trPr>
          <w:trHeight w:val="285"/>
        </w:trPr>
        <w:tc>
          <w:tcPr>
            <w:tcW w:w="1418" w:type="dxa"/>
            <w:noWrap/>
            <w:vAlign w:val="center"/>
            <w:hideMark/>
          </w:tcPr>
          <w:p w14:paraId="7E88B882"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5E1B59B9"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SIDER-Gastrointestinal disorders</w:t>
            </w:r>
          </w:p>
        </w:tc>
        <w:tc>
          <w:tcPr>
            <w:tcW w:w="1701" w:type="dxa"/>
            <w:noWrap/>
            <w:vAlign w:val="center"/>
            <w:hideMark/>
          </w:tcPr>
          <w:p w14:paraId="5A4DE9D8"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12.4</w:t>
            </w:r>
          </w:p>
        </w:tc>
        <w:tc>
          <w:tcPr>
            <w:tcW w:w="1701" w:type="dxa"/>
            <w:noWrap/>
            <w:vAlign w:val="center"/>
            <w:hideMark/>
          </w:tcPr>
          <w:p w14:paraId="7A10E2ED"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0.017</w:t>
            </w:r>
          </w:p>
        </w:tc>
      </w:tr>
      <w:tr w:rsidR="0050672C" w:rsidRPr="00CB63E4" w14:paraId="5255481E" w14:textId="77777777" w:rsidTr="002F0411">
        <w:trPr>
          <w:trHeight w:val="285"/>
        </w:trPr>
        <w:tc>
          <w:tcPr>
            <w:tcW w:w="1418" w:type="dxa"/>
            <w:noWrap/>
            <w:vAlign w:val="center"/>
            <w:hideMark/>
          </w:tcPr>
          <w:p w14:paraId="1807A8C7"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78E2A54B"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ToxCast-APR_HepG2_MitoMembPot_24h_dn</w:t>
            </w:r>
          </w:p>
        </w:tc>
        <w:tc>
          <w:tcPr>
            <w:tcW w:w="1701" w:type="dxa"/>
            <w:noWrap/>
            <w:vAlign w:val="center"/>
            <w:hideMark/>
          </w:tcPr>
          <w:p w14:paraId="29EC27A2"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12.3</w:t>
            </w:r>
          </w:p>
        </w:tc>
        <w:tc>
          <w:tcPr>
            <w:tcW w:w="1701" w:type="dxa"/>
            <w:noWrap/>
            <w:vAlign w:val="center"/>
            <w:hideMark/>
          </w:tcPr>
          <w:p w14:paraId="63B92F37"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0.016</w:t>
            </w:r>
          </w:p>
        </w:tc>
      </w:tr>
      <w:tr w:rsidR="0050672C" w:rsidRPr="00CB63E4" w14:paraId="229301D7" w14:textId="77777777" w:rsidTr="002F0411">
        <w:trPr>
          <w:trHeight w:val="285"/>
        </w:trPr>
        <w:tc>
          <w:tcPr>
            <w:tcW w:w="1418" w:type="dxa"/>
            <w:noWrap/>
            <w:vAlign w:val="center"/>
            <w:hideMark/>
          </w:tcPr>
          <w:p w14:paraId="2CBC7965"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5589F101"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SIDER-Respiratory, thoracic and mediastinal disorders</w:t>
            </w:r>
          </w:p>
        </w:tc>
        <w:tc>
          <w:tcPr>
            <w:tcW w:w="1701" w:type="dxa"/>
            <w:noWrap/>
            <w:vAlign w:val="center"/>
            <w:hideMark/>
          </w:tcPr>
          <w:p w14:paraId="27EFA0FC"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11.9</w:t>
            </w:r>
          </w:p>
        </w:tc>
        <w:tc>
          <w:tcPr>
            <w:tcW w:w="1701" w:type="dxa"/>
            <w:noWrap/>
            <w:vAlign w:val="center"/>
            <w:hideMark/>
          </w:tcPr>
          <w:p w14:paraId="2EFFB36C"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0.008</w:t>
            </w:r>
          </w:p>
        </w:tc>
      </w:tr>
      <w:tr w:rsidR="0050672C" w:rsidRPr="00CB63E4" w14:paraId="519A8C43" w14:textId="77777777" w:rsidTr="002F0411">
        <w:trPr>
          <w:trHeight w:val="285"/>
        </w:trPr>
        <w:tc>
          <w:tcPr>
            <w:tcW w:w="1418" w:type="dxa"/>
            <w:noWrap/>
            <w:vAlign w:val="center"/>
            <w:hideMark/>
          </w:tcPr>
          <w:p w14:paraId="7CBA5325"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13149B92"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ToxCast-NVS_NR_hER</w:t>
            </w:r>
            <w:proofErr w:type="spellEnd"/>
          </w:p>
        </w:tc>
        <w:tc>
          <w:tcPr>
            <w:tcW w:w="1701" w:type="dxa"/>
            <w:noWrap/>
            <w:vAlign w:val="center"/>
            <w:hideMark/>
          </w:tcPr>
          <w:p w14:paraId="18A0DD86"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10.3</w:t>
            </w:r>
          </w:p>
        </w:tc>
        <w:tc>
          <w:tcPr>
            <w:tcW w:w="1701" w:type="dxa"/>
            <w:noWrap/>
            <w:vAlign w:val="center"/>
            <w:hideMark/>
          </w:tcPr>
          <w:p w14:paraId="6E5F1AF8"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0.009</w:t>
            </w:r>
          </w:p>
        </w:tc>
      </w:tr>
      <w:tr w:rsidR="0050672C" w:rsidRPr="00CB63E4" w14:paraId="7D16409F" w14:textId="77777777" w:rsidTr="002F0411">
        <w:trPr>
          <w:trHeight w:val="285"/>
        </w:trPr>
        <w:tc>
          <w:tcPr>
            <w:tcW w:w="1418" w:type="dxa"/>
            <w:noWrap/>
            <w:vAlign w:val="center"/>
            <w:hideMark/>
          </w:tcPr>
          <w:p w14:paraId="3103BD08"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ADMET</w:t>
            </w:r>
          </w:p>
        </w:tc>
        <w:tc>
          <w:tcPr>
            <w:tcW w:w="3402" w:type="dxa"/>
            <w:noWrap/>
            <w:vAlign w:val="center"/>
            <w:hideMark/>
          </w:tcPr>
          <w:p w14:paraId="7777BBD0"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Skin sensitivity</w:t>
            </w:r>
          </w:p>
        </w:tc>
        <w:tc>
          <w:tcPr>
            <w:tcW w:w="1701" w:type="dxa"/>
            <w:noWrap/>
            <w:vAlign w:val="center"/>
            <w:hideMark/>
          </w:tcPr>
          <w:p w14:paraId="476D0795"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10.3</w:t>
            </w:r>
          </w:p>
        </w:tc>
        <w:tc>
          <w:tcPr>
            <w:tcW w:w="1701" w:type="dxa"/>
            <w:noWrap/>
            <w:vAlign w:val="center"/>
            <w:hideMark/>
          </w:tcPr>
          <w:p w14:paraId="3CC8C40F"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0.006</w:t>
            </w:r>
          </w:p>
        </w:tc>
      </w:tr>
      <w:tr w:rsidR="0050672C" w:rsidRPr="00CB63E4" w14:paraId="15D9FF88" w14:textId="77777777" w:rsidTr="002F0411">
        <w:trPr>
          <w:trHeight w:val="285"/>
        </w:trPr>
        <w:tc>
          <w:tcPr>
            <w:tcW w:w="1418" w:type="dxa"/>
            <w:noWrap/>
            <w:vAlign w:val="center"/>
            <w:hideMark/>
          </w:tcPr>
          <w:p w14:paraId="59BA1769" w14:textId="77777777" w:rsidR="007D2042" w:rsidRPr="00CB63E4" w:rsidRDefault="007D2042"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MoleculeNet</w:t>
            </w:r>
            <w:proofErr w:type="spellEnd"/>
          </w:p>
        </w:tc>
        <w:tc>
          <w:tcPr>
            <w:tcW w:w="3402" w:type="dxa"/>
            <w:noWrap/>
            <w:vAlign w:val="center"/>
            <w:hideMark/>
          </w:tcPr>
          <w:p w14:paraId="5320F687"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SIDER-Endocrine disorders</w:t>
            </w:r>
          </w:p>
        </w:tc>
        <w:tc>
          <w:tcPr>
            <w:tcW w:w="1701" w:type="dxa"/>
            <w:noWrap/>
            <w:vAlign w:val="center"/>
            <w:hideMark/>
          </w:tcPr>
          <w:p w14:paraId="329E7BA6"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10.1</w:t>
            </w:r>
          </w:p>
        </w:tc>
        <w:tc>
          <w:tcPr>
            <w:tcW w:w="1701" w:type="dxa"/>
            <w:noWrap/>
            <w:vAlign w:val="center"/>
            <w:hideMark/>
          </w:tcPr>
          <w:p w14:paraId="04FA6AA5" w14:textId="77777777" w:rsidR="007D2042" w:rsidRPr="00CB63E4" w:rsidRDefault="007D2042"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0.008</w:t>
            </w:r>
          </w:p>
        </w:tc>
      </w:tr>
    </w:tbl>
    <w:p w14:paraId="2F1F36A3" w14:textId="77777777" w:rsidR="0050672C" w:rsidRPr="00CB63E4" w:rsidRDefault="0050672C" w:rsidP="0050672C">
      <w:pPr>
        <w:adjustRightInd w:val="0"/>
        <w:snapToGrid w:val="0"/>
        <w:spacing w:line="360" w:lineRule="auto"/>
        <w:rPr>
          <w:rFonts w:ascii="Times New Roman" w:hAnsi="Times New Roman" w:cs="Times New Roman"/>
          <w:color w:val="000000" w:themeColor="text1"/>
          <w:kern w:val="0"/>
          <w:sz w:val="24"/>
        </w:rPr>
      </w:pPr>
    </w:p>
    <w:p w14:paraId="492575C5" w14:textId="0881E44D" w:rsidR="003B52F7" w:rsidRPr="00E62E62" w:rsidRDefault="00E974BE" w:rsidP="00E974BE">
      <w:pPr>
        <w:keepNext/>
        <w:adjustRightInd w:val="0"/>
        <w:snapToGrid w:val="0"/>
        <w:spacing w:line="360" w:lineRule="auto"/>
        <w:rPr>
          <w:rFonts w:ascii="Times New Roman" w:hAnsi="Times New Roman" w:cs="Times New Roman"/>
          <w:color w:val="000000" w:themeColor="text1"/>
          <w:kern w:val="0"/>
          <w:sz w:val="24"/>
        </w:rPr>
      </w:pPr>
      <w:r w:rsidRPr="00E62E62">
        <w:rPr>
          <w:rFonts w:ascii="Times New Roman" w:hAnsi="Times New Roman" w:cs="Times New Roman"/>
          <w:b/>
          <w:bCs/>
          <w:color w:val="000000" w:themeColor="text1"/>
          <w:kern w:val="0"/>
          <w:sz w:val="24"/>
        </w:rPr>
        <w:t xml:space="preserve">Supplementary Table 5. Representative cases of training-side underrepresentation of no-scaffold molecules in </w:t>
      </w:r>
      <w:proofErr w:type="spellStart"/>
      <w:r w:rsidRPr="00E62E62">
        <w:rPr>
          <w:rFonts w:ascii="Times New Roman" w:hAnsi="Times New Roman" w:cs="Times New Roman"/>
          <w:b/>
          <w:bCs/>
          <w:color w:val="000000" w:themeColor="text1"/>
          <w:kern w:val="0"/>
          <w:sz w:val="24"/>
        </w:rPr>
        <w:t>DataSAIL</w:t>
      </w:r>
      <w:proofErr w:type="spellEnd"/>
      <w:r w:rsidRPr="00E62E62">
        <w:rPr>
          <w:rFonts w:ascii="Times New Roman" w:hAnsi="Times New Roman" w:cs="Times New Roman"/>
          <w:b/>
          <w:bCs/>
          <w:color w:val="000000" w:themeColor="text1"/>
          <w:kern w:val="0"/>
          <w:sz w:val="24"/>
        </w:rPr>
        <w:t xml:space="preserve"> and </w:t>
      </w:r>
      <w:proofErr w:type="spellStart"/>
      <w:r w:rsidRPr="00E62E62">
        <w:rPr>
          <w:rFonts w:ascii="Times New Roman" w:hAnsi="Times New Roman" w:cs="Times New Roman"/>
          <w:b/>
          <w:bCs/>
          <w:color w:val="000000" w:themeColor="text1"/>
          <w:kern w:val="0"/>
          <w:sz w:val="24"/>
        </w:rPr>
        <w:t>LoHi</w:t>
      </w:r>
      <w:proofErr w:type="spellEnd"/>
      <w:r w:rsidRPr="00E62E62">
        <w:rPr>
          <w:rFonts w:ascii="Times New Roman" w:hAnsi="Times New Roman" w:cs="Times New Roman"/>
          <w:b/>
          <w:bCs/>
          <w:color w:val="000000" w:themeColor="text1"/>
          <w:kern w:val="0"/>
          <w:sz w:val="24"/>
        </w:rPr>
        <w:t xml:space="preserve"> splits.</w:t>
      </w:r>
    </w:p>
    <w:tbl>
      <w:tblPr>
        <w:tblStyle w:val="a8"/>
        <w:tblW w:w="0" w:type="auto"/>
        <w:tblInd w:w="108" w:type="dxa"/>
        <w:tblLayout w:type="fixed"/>
        <w:tblLook w:val="04A0" w:firstRow="1" w:lastRow="0" w:firstColumn="1" w:lastColumn="0" w:noHBand="0" w:noVBand="1"/>
      </w:tblPr>
      <w:tblGrid>
        <w:gridCol w:w="2047"/>
        <w:gridCol w:w="1559"/>
        <w:gridCol w:w="1559"/>
        <w:gridCol w:w="1559"/>
        <w:gridCol w:w="1498"/>
      </w:tblGrid>
      <w:tr w:rsidR="0050672C" w:rsidRPr="00CB63E4" w14:paraId="741C6EBE" w14:textId="77777777" w:rsidTr="00CB63E4">
        <w:trPr>
          <w:trHeight w:val="285"/>
        </w:trPr>
        <w:tc>
          <w:tcPr>
            <w:tcW w:w="2047" w:type="dxa"/>
            <w:shd w:val="clear" w:color="auto" w:fill="1F4E78"/>
            <w:noWrap/>
            <w:tcMar>
              <w:left w:w="28" w:type="dxa"/>
              <w:right w:w="28" w:type="dxa"/>
            </w:tcMar>
            <w:vAlign w:val="center"/>
            <w:hideMark/>
          </w:tcPr>
          <w:p w14:paraId="3D23F4DD" w14:textId="77777777" w:rsidR="003B52F7" w:rsidRPr="00CB63E4" w:rsidRDefault="003B52F7" w:rsidP="002F0411">
            <w:pPr>
              <w:jc w:val="center"/>
              <w:rPr>
                <w:rFonts w:ascii="Times New Roman" w:hAnsi="Times New Roman" w:cs="Times New Roman"/>
                <w:b/>
                <w:bCs/>
                <w:color w:val="FFFFFF" w:themeColor="background1"/>
                <w:sz w:val="18"/>
                <w:szCs w:val="18"/>
              </w:rPr>
            </w:pPr>
            <w:bookmarkStart w:id="2" w:name="_Hlk228228057"/>
            <w:r w:rsidRPr="00CB63E4">
              <w:rPr>
                <w:rFonts w:ascii="Times New Roman" w:hAnsi="Times New Roman" w:cs="Times New Roman"/>
                <w:b/>
                <w:bCs/>
                <w:color w:val="FFFFFF" w:themeColor="background1"/>
                <w:sz w:val="18"/>
                <w:szCs w:val="18"/>
              </w:rPr>
              <w:t>Splitter/Dataset</w:t>
            </w:r>
          </w:p>
        </w:tc>
        <w:tc>
          <w:tcPr>
            <w:tcW w:w="1559" w:type="dxa"/>
            <w:shd w:val="clear" w:color="auto" w:fill="1F4E78"/>
            <w:noWrap/>
            <w:tcMar>
              <w:left w:w="28" w:type="dxa"/>
              <w:right w:w="28" w:type="dxa"/>
            </w:tcMar>
            <w:vAlign w:val="center"/>
            <w:hideMark/>
          </w:tcPr>
          <w:p w14:paraId="27758426" w14:textId="77777777" w:rsidR="003B52F7" w:rsidRPr="00CB63E4" w:rsidRDefault="003B52F7" w:rsidP="002F0411">
            <w:pPr>
              <w:jc w:val="center"/>
              <w:rPr>
                <w:rFonts w:ascii="Times New Roman" w:hAnsi="Times New Roman" w:cs="Times New Roman"/>
                <w:b/>
                <w:bCs/>
                <w:color w:val="FFFFFF" w:themeColor="background1"/>
                <w:sz w:val="18"/>
                <w:szCs w:val="18"/>
              </w:rPr>
            </w:pPr>
            <w:r w:rsidRPr="00CB63E4">
              <w:rPr>
                <w:rFonts w:ascii="Times New Roman" w:hAnsi="Times New Roman" w:cs="Times New Roman"/>
                <w:b/>
                <w:bCs/>
                <w:color w:val="FFFFFF" w:themeColor="background1"/>
                <w:sz w:val="18"/>
                <w:szCs w:val="18"/>
              </w:rPr>
              <w:t>Overall no-scaffold (%)</w:t>
            </w:r>
          </w:p>
        </w:tc>
        <w:tc>
          <w:tcPr>
            <w:tcW w:w="1559" w:type="dxa"/>
            <w:shd w:val="clear" w:color="auto" w:fill="1F4E78"/>
            <w:noWrap/>
            <w:tcMar>
              <w:left w:w="28" w:type="dxa"/>
              <w:right w:w="28" w:type="dxa"/>
            </w:tcMar>
            <w:vAlign w:val="center"/>
            <w:hideMark/>
          </w:tcPr>
          <w:p w14:paraId="625B72AE" w14:textId="77777777" w:rsidR="003B52F7" w:rsidRPr="00CB63E4" w:rsidRDefault="003B52F7" w:rsidP="002F0411">
            <w:pPr>
              <w:jc w:val="center"/>
              <w:rPr>
                <w:rFonts w:ascii="Times New Roman" w:hAnsi="Times New Roman" w:cs="Times New Roman"/>
                <w:b/>
                <w:bCs/>
                <w:color w:val="FFFFFF" w:themeColor="background1"/>
                <w:sz w:val="18"/>
                <w:szCs w:val="18"/>
              </w:rPr>
            </w:pPr>
            <w:r w:rsidRPr="00CB63E4">
              <w:rPr>
                <w:rFonts w:ascii="Times New Roman" w:hAnsi="Times New Roman" w:cs="Times New Roman"/>
                <w:b/>
                <w:bCs/>
                <w:color w:val="FFFFFF" w:themeColor="background1"/>
                <w:sz w:val="18"/>
                <w:szCs w:val="18"/>
              </w:rPr>
              <w:t>Train no-scaffold (%)</w:t>
            </w:r>
          </w:p>
        </w:tc>
        <w:tc>
          <w:tcPr>
            <w:tcW w:w="1559" w:type="dxa"/>
            <w:shd w:val="clear" w:color="auto" w:fill="1F4E78"/>
            <w:noWrap/>
            <w:tcMar>
              <w:left w:w="28" w:type="dxa"/>
              <w:right w:w="28" w:type="dxa"/>
            </w:tcMar>
            <w:vAlign w:val="center"/>
            <w:hideMark/>
          </w:tcPr>
          <w:p w14:paraId="694B64FC" w14:textId="77777777" w:rsidR="003B52F7" w:rsidRPr="00CB63E4" w:rsidRDefault="003B52F7" w:rsidP="002F0411">
            <w:pPr>
              <w:jc w:val="center"/>
              <w:rPr>
                <w:rFonts w:ascii="Times New Roman" w:hAnsi="Times New Roman" w:cs="Times New Roman"/>
                <w:b/>
                <w:bCs/>
                <w:color w:val="FFFFFF" w:themeColor="background1"/>
                <w:sz w:val="18"/>
                <w:szCs w:val="18"/>
              </w:rPr>
            </w:pPr>
            <w:r w:rsidRPr="00CB63E4">
              <w:rPr>
                <w:rFonts w:ascii="Times New Roman" w:hAnsi="Times New Roman" w:cs="Times New Roman"/>
                <w:b/>
                <w:bCs/>
                <w:color w:val="FFFFFF" w:themeColor="background1"/>
                <w:sz w:val="18"/>
                <w:szCs w:val="18"/>
              </w:rPr>
              <w:t>Validation no-scaffold (%)</w:t>
            </w:r>
          </w:p>
        </w:tc>
        <w:tc>
          <w:tcPr>
            <w:tcW w:w="1498" w:type="dxa"/>
            <w:shd w:val="clear" w:color="auto" w:fill="1F4E78"/>
            <w:noWrap/>
            <w:tcMar>
              <w:left w:w="28" w:type="dxa"/>
              <w:right w:w="28" w:type="dxa"/>
            </w:tcMar>
            <w:vAlign w:val="center"/>
            <w:hideMark/>
          </w:tcPr>
          <w:p w14:paraId="0C6E0758" w14:textId="77777777" w:rsidR="003B52F7" w:rsidRPr="00CB63E4" w:rsidRDefault="003B52F7" w:rsidP="002F0411">
            <w:pPr>
              <w:jc w:val="center"/>
              <w:rPr>
                <w:rFonts w:ascii="Times New Roman" w:hAnsi="Times New Roman" w:cs="Times New Roman"/>
                <w:b/>
                <w:bCs/>
                <w:color w:val="FFFFFF" w:themeColor="background1"/>
                <w:sz w:val="18"/>
                <w:szCs w:val="18"/>
              </w:rPr>
            </w:pPr>
            <w:r w:rsidRPr="00CB63E4">
              <w:rPr>
                <w:rFonts w:ascii="Times New Roman" w:hAnsi="Times New Roman" w:cs="Times New Roman"/>
                <w:b/>
                <w:bCs/>
                <w:color w:val="FFFFFF" w:themeColor="background1"/>
                <w:sz w:val="18"/>
                <w:szCs w:val="18"/>
              </w:rPr>
              <w:t>Test no-scaffold (%)</w:t>
            </w:r>
          </w:p>
        </w:tc>
      </w:tr>
      <w:tr w:rsidR="0050672C" w:rsidRPr="00CB63E4" w14:paraId="0D961D2C" w14:textId="77777777" w:rsidTr="002F0411">
        <w:trPr>
          <w:trHeight w:val="285"/>
        </w:trPr>
        <w:tc>
          <w:tcPr>
            <w:tcW w:w="2047" w:type="dxa"/>
            <w:noWrap/>
            <w:tcMar>
              <w:left w:w="28" w:type="dxa"/>
              <w:right w:w="28" w:type="dxa"/>
            </w:tcMar>
            <w:vAlign w:val="center"/>
            <w:hideMark/>
          </w:tcPr>
          <w:p w14:paraId="01D15C93" w14:textId="77777777" w:rsidR="003B52F7" w:rsidRPr="00CB63E4" w:rsidRDefault="003B52F7" w:rsidP="002F0411">
            <w:pPr>
              <w:jc w:val="center"/>
              <w:rPr>
                <w:rFonts w:ascii="Times New Roman" w:hAnsi="Times New Roman" w:cs="Times New Roman"/>
                <w:color w:val="000000" w:themeColor="text1"/>
                <w:sz w:val="18"/>
                <w:szCs w:val="18"/>
              </w:rPr>
            </w:pPr>
            <w:bookmarkStart w:id="3" w:name="OLE_LINK10"/>
            <w:proofErr w:type="spellStart"/>
            <w:r w:rsidRPr="00CB63E4">
              <w:rPr>
                <w:rFonts w:ascii="Times New Roman" w:hAnsi="Times New Roman" w:cs="Times New Roman"/>
                <w:color w:val="000000" w:themeColor="text1"/>
                <w:sz w:val="18"/>
                <w:szCs w:val="18"/>
              </w:rPr>
              <w:t>DataSAIL</w:t>
            </w:r>
            <w:proofErr w:type="spellEnd"/>
            <w:r w:rsidRPr="00CB63E4">
              <w:rPr>
                <w:rFonts w:ascii="Times New Roman" w:hAnsi="Times New Roman" w:cs="Times New Roman"/>
                <w:color w:val="000000" w:themeColor="text1"/>
                <w:sz w:val="18"/>
                <w:szCs w:val="18"/>
              </w:rPr>
              <w:t>/</w:t>
            </w:r>
            <w:bookmarkEnd w:id="3"/>
            <w:r w:rsidRPr="00CB63E4">
              <w:rPr>
                <w:rFonts w:ascii="Times New Roman" w:hAnsi="Times New Roman" w:cs="Times New Roman"/>
                <w:color w:val="000000" w:themeColor="text1"/>
                <w:sz w:val="18"/>
                <w:szCs w:val="18"/>
              </w:rPr>
              <w:t>Bioconcentration factor</w:t>
            </w:r>
          </w:p>
        </w:tc>
        <w:tc>
          <w:tcPr>
            <w:tcW w:w="1559" w:type="dxa"/>
            <w:noWrap/>
            <w:tcMar>
              <w:left w:w="28" w:type="dxa"/>
              <w:right w:w="28" w:type="dxa"/>
            </w:tcMar>
            <w:vAlign w:val="center"/>
            <w:hideMark/>
          </w:tcPr>
          <w:p w14:paraId="57D91618"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17</w:t>
            </w:r>
          </w:p>
        </w:tc>
        <w:tc>
          <w:tcPr>
            <w:tcW w:w="1559" w:type="dxa"/>
            <w:noWrap/>
            <w:tcMar>
              <w:left w:w="28" w:type="dxa"/>
              <w:right w:w="28" w:type="dxa"/>
            </w:tcMar>
            <w:vAlign w:val="center"/>
            <w:hideMark/>
          </w:tcPr>
          <w:p w14:paraId="3E317462"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2.1</w:t>
            </w:r>
          </w:p>
        </w:tc>
        <w:tc>
          <w:tcPr>
            <w:tcW w:w="1559" w:type="dxa"/>
            <w:noWrap/>
            <w:tcMar>
              <w:left w:w="28" w:type="dxa"/>
              <w:right w:w="28" w:type="dxa"/>
            </w:tcMar>
            <w:vAlign w:val="center"/>
            <w:hideMark/>
          </w:tcPr>
          <w:p w14:paraId="0A4AA008"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0.8</w:t>
            </w:r>
          </w:p>
        </w:tc>
        <w:tc>
          <w:tcPr>
            <w:tcW w:w="1498" w:type="dxa"/>
            <w:noWrap/>
            <w:tcMar>
              <w:left w:w="28" w:type="dxa"/>
              <w:right w:w="28" w:type="dxa"/>
            </w:tcMar>
            <w:vAlign w:val="center"/>
            <w:hideMark/>
          </w:tcPr>
          <w:p w14:paraId="6BEA10DF"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82</w:t>
            </w:r>
          </w:p>
        </w:tc>
      </w:tr>
      <w:tr w:rsidR="0050672C" w:rsidRPr="00CB63E4" w14:paraId="5AC07262" w14:textId="77777777" w:rsidTr="002F0411">
        <w:trPr>
          <w:trHeight w:val="285"/>
        </w:trPr>
        <w:tc>
          <w:tcPr>
            <w:tcW w:w="2047" w:type="dxa"/>
            <w:noWrap/>
            <w:tcMar>
              <w:left w:w="28" w:type="dxa"/>
              <w:right w:w="28" w:type="dxa"/>
            </w:tcMar>
            <w:vAlign w:val="center"/>
            <w:hideMark/>
          </w:tcPr>
          <w:p w14:paraId="52E9D2A9" w14:textId="77777777" w:rsidR="003B52F7" w:rsidRPr="00CB63E4" w:rsidRDefault="003B52F7"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DataSAIL</w:t>
            </w:r>
            <w:proofErr w:type="spellEnd"/>
            <w:r w:rsidRPr="00CB63E4">
              <w:rPr>
                <w:rFonts w:ascii="Times New Roman" w:hAnsi="Times New Roman" w:cs="Times New Roman"/>
                <w:color w:val="000000" w:themeColor="text1"/>
                <w:sz w:val="18"/>
                <w:szCs w:val="18"/>
              </w:rPr>
              <w:t>/</w:t>
            </w:r>
            <w:proofErr w:type="spellStart"/>
            <w:r w:rsidRPr="00CB63E4">
              <w:rPr>
                <w:rFonts w:ascii="Times New Roman" w:hAnsi="Times New Roman" w:cs="Times New Roman"/>
                <w:color w:val="000000" w:themeColor="text1"/>
                <w:sz w:val="18"/>
                <w:szCs w:val="18"/>
              </w:rPr>
              <w:t>pK</w:t>
            </w:r>
            <w:r w:rsidRPr="00CB63E4">
              <w:rPr>
                <w:rFonts w:ascii="Times New Roman" w:hAnsi="Times New Roman" w:cs="Times New Roman"/>
                <w:color w:val="000000" w:themeColor="text1"/>
                <w:sz w:val="18"/>
                <w:szCs w:val="18"/>
                <w:vertAlign w:val="subscript"/>
              </w:rPr>
              <w:t>b</w:t>
            </w:r>
            <w:proofErr w:type="spellEnd"/>
          </w:p>
        </w:tc>
        <w:tc>
          <w:tcPr>
            <w:tcW w:w="1559" w:type="dxa"/>
            <w:noWrap/>
            <w:tcMar>
              <w:left w:w="28" w:type="dxa"/>
              <w:right w:w="28" w:type="dxa"/>
            </w:tcMar>
            <w:vAlign w:val="center"/>
            <w:hideMark/>
          </w:tcPr>
          <w:p w14:paraId="6F4387A4"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16.1</w:t>
            </w:r>
          </w:p>
        </w:tc>
        <w:tc>
          <w:tcPr>
            <w:tcW w:w="1559" w:type="dxa"/>
            <w:noWrap/>
            <w:tcMar>
              <w:left w:w="28" w:type="dxa"/>
              <w:right w:w="28" w:type="dxa"/>
            </w:tcMar>
            <w:vAlign w:val="center"/>
            <w:hideMark/>
          </w:tcPr>
          <w:p w14:paraId="0CB78E26"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2.8</w:t>
            </w:r>
          </w:p>
        </w:tc>
        <w:tc>
          <w:tcPr>
            <w:tcW w:w="1559" w:type="dxa"/>
            <w:noWrap/>
            <w:tcMar>
              <w:left w:w="28" w:type="dxa"/>
              <w:right w:w="28" w:type="dxa"/>
            </w:tcMar>
            <w:vAlign w:val="center"/>
            <w:hideMark/>
          </w:tcPr>
          <w:p w14:paraId="78D50D1C"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95.4</w:t>
            </w:r>
          </w:p>
        </w:tc>
        <w:tc>
          <w:tcPr>
            <w:tcW w:w="1498" w:type="dxa"/>
            <w:noWrap/>
            <w:tcMar>
              <w:left w:w="28" w:type="dxa"/>
              <w:right w:w="28" w:type="dxa"/>
            </w:tcMar>
            <w:vAlign w:val="center"/>
            <w:hideMark/>
          </w:tcPr>
          <w:p w14:paraId="2064EC0D"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51.3</w:t>
            </w:r>
          </w:p>
        </w:tc>
      </w:tr>
      <w:tr w:rsidR="0050672C" w:rsidRPr="00CB63E4" w14:paraId="5A673096" w14:textId="77777777" w:rsidTr="002F0411">
        <w:trPr>
          <w:trHeight w:val="285"/>
        </w:trPr>
        <w:tc>
          <w:tcPr>
            <w:tcW w:w="2047" w:type="dxa"/>
            <w:noWrap/>
            <w:tcMar>
              <w:left w:w="28" w:type="dxa"/>
              <w:right w:w="28" w:type="dxa"/>
            </w:tcMar>
            <w:vAlign w:val="center"/>
            <w:hideMark/>
          </w:tcPr>
          <w:p w14:paraId="23F0F444" w14:textId="77777777" w:rsidR="003B52F7" w:rsidRPr="00CB63E4" w:rsidRDefault="003B52F7"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DataSAIL</w:t>
            </w:r>
            <w:proofErr w:type="spellEnd"/>
            <w:r w:rsidRPr="00CB63E4">
              <w:rPr>
                <w:rFonts w:ascii="Times New Roman" w:hAnsi="Times New Roman" w:cs="Times New Roman"/>
                <w:color w:val="000000" w:themeColor="text1"/>
                <w:sz w:val="18"/>
                <w:szCs w:val="18"/>
              </w:rPr>
              <w:t>/Ames</w:t>
            </w:r>
          </w:p>
        </w:tc>
        <w:tc>
          <w:tcPr>
            <w:tcW w:w="1559" w:type="dxa"/>
            <w:noWrap/>
            <w:tcMar>
              <w:left w:w="28" w:type="dxa"/>
              <w:right w:w="28" w:type="dxa"/>
            </w:tcMar>
            <w:vAlign w:val="center"/>
            <w:hideMark/>
          </w:tcPr>
          <w:p w14:paraId="6DD7A64C"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16.9</w:t>
            </w:r>
          </w:p>
        </w:tc>
        <w:tc>
          <w:tcPr>
            <w:tcW w:w="1559" w:type="dxa"/>
            <w:noWrap/>
            <w:tcMar>
              <w:left w:w="28" w:type="dxa"/>
              <w:right w:w="28" w:type="dxa"/>
            </w:tcMar>
            <w:vAlign w:val="center"/>
            <w:hideMark/>
          </w:tcPr>
          <w:p w14:paraId="0513AA66"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3.2</w:t>
            </w:r>
          </w:p>
        </w:tc>
        <w:tc>
          <w:tcPr>
            <w:tcW w:w="1559" w:type="dxa"/>
            <w:noWrap/>
            <w:tcMar>
              <w:left w:w="28" w:type="dxa"/>
              <w:right w:w="28" w:type="dxa"/>
            </w:tcMar>
            <w:vAlign w:val="center"/>
            <w:hideMark/>
          </w:tcPr>
          <w:p w14:paraId="5E7CB709"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95.5</w:t>
            </w:r>
          </w:p>
        </w:tc>
        <w:tc>
          <w:tcPr>
            <w:tcW w:w="1498" w:type="dxa"/>
            <w:noWrap/>
            <w:tcMar>
              <w:left w:w="28" w:type="dxa"/>
              <w:right w:w="28" w:type="dxa"/>
            </w:tcMar>
            <w:vAlign w:val="center"/>
            <w:hideMark/>
          </w:tcPr>
          <w:p w14:paraId="7186C602"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54.6</w:t>
            </w:r>
          </w:p>
        </w:tc>
      </w:tr>
      <w:tr w:rsidR="0050672C" w:rsidRPr="00CB63E4" w14:paraId="14A5D715" w14:textId="77777777" w:rsidTr="002F0411">
        <w:trPr>
          <w:trHeight w:val="285"/>
        </w:trPr>
        <w:tc>
          <w:tcPr>
            <w:tcW w:w="2047" w:type="dxa"/>
            <w:noWrap/>
            <w:tcMar>
              <w:left w:w="28" w:type="dxa"/>
              <w:right w:w="28" w:type="dxa"/>
            </w:tcMar>
            <w:vAlign w:val="center"/>
            <w:hideMark/>
          </w:tcPr>
          <w:p w14:paraId="43BFE00E" w14:textId="77777777" w:rsidR="003B52F7" w:rsidRPr="00CB63E4" w:rsidRDefault="003B52F7"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DataSAIL</w:t>
            </w:r>
            <w:proofErr w:type="spellEnd"/>
            <w:r w:rsidRPr="00CB63E4">
              <w:rPr>
                <w:rFonts w:ascii="Times New Roman" w:hAnsi="Times New Roman" w:cs="Times New Roman"/>
                <w:color w:val="000000" w:themeColor="text1"/>
                <w:sz w:val="18"/>
                <w:szCs w:val="18"/>
              </w:rPr>
              <w:t>/Respiratory tox</w:t>
            </w:r>
          </w:p>
        </w:tc>
        <w:tc>
          <w:tcPr>
            <w:tcW w:w="1559" w:type="dxa"/>
            <w:noWrap/>
            <w:tcMar>
              <w:left w:w="28" w:type="dxa"/>
              <w:right w:w="28" w:type="dxa"/>
            </w:tcMar>
            <w:vAlign w:val="center"/>
            <w:hideMark/>
          </w:tcPr>
          <w:p w14:paraId="330352B4"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16.6</w:t>
            </w:r>
          </w:p>
        </w:tc>
        <w:tc>
          <w:tcPr>
            <w:tcW w:w="1559" w:type="dxa"/>
            <w:noWrap/>
            <w:tcMar>
              <w:left w:w="28" w:type="dxa"/>
              <w:right w:w="28" w:type="dxa"/>
            </w:tcMar>
            <w:vAlign w:val="center"/>
            <w:hideMark/>
          </w:tcPr>
          <w:p w14:paraId="21888029"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w:t>
            </w:r>
          </w:p>
        </w:tc>
        <w:tc>
          <w:tcPr>
            <w:tcW w:w="1559" w:type="dxa"/>
            <w:noWrap/>
            <w:tcMar>
              <w:left w:w="28" w:type="dxa"/>
              <w:right w:w="28" w:type="dxa"/>
            </w:tcMar>
            <w:vAlign w:val="center"/>
            <w:hideMark/>
          </w:tcPr>
          <w:p w14:paraId="0CA9644A"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83</w:t>
            </w:r>
          </w:p>
        </w:tc>
        <w:tc>
          <w:tcPr>
            <w:tcW w:w="1498" w:type="dxa"/>
            <w:noWrap/>
            <w:tcMar>
              <w:left w:w="28" w:type="dxa"/>
              <w:right w:w="28" w:type="dxa"/>
            </w:tcMar>
            <w:vAlign w:val="center"/>
            <w:hideMark/>
          </w:tcPr>
          <w:p w14:paraId="5979119F"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66.3</w:t>
            </w:r>
          </w:p>
        </w:tc>
      </w:tr>
      <w:tr w:rsidR="0050672C" w:rsidRPr="00CB63E4" w14:paraId="22D53A07" w14:textId="77777777" w:rsidTr="002F0411">
        <w:trPr>
          <w:trHeight w:val="285"/>
        </w:trPr>
        <w:tc>
          <w:tcPr>
            <w:tcW w:w="2047" w:type="dxa"/>
            <w:noWrap/>
            <w:tcMar>
              <w:left w:w="28" w:type="dxa"/>
              <w:right w:w="28" w:type="dxa"/>
            </w:tcMar>
            <w:vAlign w:val="center"/>
            <w:hideMark/>
          </w:tcPr>
          <w:p w14:paraId="3938FDB2" w14:textId="77777777" w:rsidR="003B52F7" w:rsidRPr="00CB63E4" w:rsidRDefault="003B52F7"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DataSAIL</w:t>
            </w:r>
            <w:proofErr w:type="spellEnd"/>
            <w:r w:rsidRPr="00CB63E4">
              <w:rPr>
                <w:rFonts w:ascii="Times New Roman" w:hAnsi="Times New Roman" w:cs="Times New Roman"/>
                <w:color w:val="000000" w:themeColor="text1"/>
                <w:sz w:val="18"/>
                <w:szCs w:val="18"/>
              </w:rPr>
              <w:t>/Eye irritation</w:t>
            </w:r>
          </w:p>
        </w:tc>
        <w:tc>
          <w:tcPr>
            <w:tcW w:w="1559" w:type="dxa"/>
            <w:noWrap/>
            <w:tcMar>
              <w:left w:w="28" w:type="dxa"/>
              <w:right w:w="28" w:type="dxa"/>
            </w:tcMar>
            <w:vAlign w:val="center"/>
            <w:hideMark/>
          </w:tcPr>
          <w:p w14:paraId="5A6970ED"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18.9</w:t>
            </w:r>
          </w:p>
        </w:tc>
        <w:tc>
          <w:tcPr>
            <w:tcW w:w="1559" w:type="dxa"/>
            <w:noWrap/>
            <w:tcMar>
              <w:left w:w="28" w:type="dxa"/>
              <w:right w:w="28" w:type="dxa"/>
            </w:tcMar>
            <w:vAlign w:val="center"/>
            <w:hideMark/>
          </w:tcPr>
          <w:p w14:paraId="1A1E1715"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3.7</w:t>
            </w:r>
          </w:p>
        </w:tc>
        <w:tc>
          <w:tcPr>
            <w:tcW w:w="1559" w:type="dxa"/>
            <w:noWrap/>
            <w:tcMar>
              <w:left w:w="28" w:type="dxa"/>
              <w:right w:w="28" w:type="dxa"/>
            </w:tcMar>
            <w:vAlign w:val="center"/>
            <w:hideMark/>
          </w:tcPr>
          <w:p w14:paraId="0F683216"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88.3</w:t>
            </w:r>
          </w:p>
        </w:tc>
        <w:tc>
          <w:tcPr>
            <w:tcW w:w="1498" w:type="dxa"/>
            <w:noWrap/>
            <w:tcMar>
              <w:left w:w="28" w:type="dxa"/>
              <w:right w:w="28" w:type="dxa"/>
            </w:tcMar>
            <w:vAlign w:val="center"/>
            <w:hideMark/>
          </w:tcPr>
          <w:p w14:paraId="2B5624F9"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79.6</w:t>
            </w:r>
          </w:p>
        </w:tc>
      </w:tr>
      <w:tr w:rsidR="0050672C" w:rsidRPr="00CB63E4" w14:paraId="5B2114F0" w14:textId="77777777" w:rsidTr="002F0411">
        <w:trPr>
          <w:trHeight w:val="285"/>
        </w:trPr>
        <w:tc>
          <w:tcPr>
            <w:tcW w:w="2047" w:type="dxa"/>
            <w:noWrap/>
            <w:tcMar>
              <w:left w:w="28" w:type="dxa"/>
              <w:right w:w="28" w:type="dxa"/>
            </w:tcMar>
            <w:vAlign w:val="center"/>
            <w:hideMark/>
          </w:tcPr>
          <w:p w14:paraId="691FE2A7" w14:textId="77777777" w:rsidR="003B52F7" w:rsidRPr="00CB63E4" w:rsidRDefault="003B52F7"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LoHi</w:t>
            </w:r>
            <w:proofErr w:type="spellEnd"/>
            <w:r w:rsidRPr="00CB63E4">
              <w:rPr>
                <w:rFonts w:ascii="Times New Roman" w:hAnsi="Times New Roman" w:cs="Times New Roman"/>
                <w:color w:val="000000" w:themeColor="text1"/>
                <w:sz w:val="18"/>
                <w:szCs w:val="18"/>
              </w:rPr>
              <w:t>/Biodegradation</w:t>
            </w:r>
          </w:p>
        </w:tc>
        <w:tc>
          <w:tcPr>
            <w:tcW w:w="1559" w:type="dxa"/>
            <w:noWrap/>
            <w:tcMar>
              <w:left w:w="28" w:type="dxa"/>
              <w:right w:w="28" w:type="dxa"/>
            </w:tcMar>
            <w:vAlign w:val="center"/>
            <w:hideMark/>
          </w:tcPr>
          <w:p w14:paraId="0746FEC8"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33.3</w:t>
            </w:r>
          </w:p>
        </w:tc>
        <w:tc>
          <w:tcPr>
            <w:tcW w:w="1559" w:type="dxa"/>
            <w:noWrap/>
            <w:tcMar>
              <w:left w:w="28" w:type="dxa"/>
              <w:right w:w="28" w:type="dxa"/>
            </w:tcMar>
            <w:vAlign w:val="center"/>
            <w:hideMark/>
          </w:tcPr>
          <w:p w14:paraId="49A8F787"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13.2</w:t>
            </w:r>
          </w:p>
        </w:tc>
        <w:tc>
          <w:tcPr>
            <w:tcW w:w="1559" w:type="dxa"/>
            <w:noWrap/>
            <w:tcMar>
              <w:left w:w="28" w:type="dxa"/>
              <w:right w:w="28" w:type="dxa"/>
            </w:tcMar>
            <w:vAlign w:val="center"/>
            <w:hideMark/>
          </w:tcPr>
          <w:p w14:paraId="722CCAB6"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88.8</w:t>
            </w:r>
          </w:p>
        </w:tc>
        <w:tc>
          <w:tcPr>
            <w:tcW w:w="1498" w:type="dxa"/>
            <w:noWrap/>
            <w:tcMar>
              <w:left w:w="28" w:type="dxa"/>
              <w:right w:w="28" w:type="dxa"/>
            </w:tcMar>
            <w:vAlign w:val="center"/>
            <w:hideMark/>
          </w:tcPr>
          <w:p w14:paraId="3B698BB3"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86.4</w:t>
            </w:r>
          </w:p>
        </w:tc>
      </w:tr>
      <w:tr w:rsidR="0050672C" w:rsidRPr="00CB63E4" w14:paraId="193D01AA" w14:textId="77777777" w:rsidTr="002F0411">
        <w:trPr>
          <w:trHeight w:val="285"/>
        </w:trPr>
        <w:tc>
          <w:tcPr>
            <w:tcW w:w="2047" w:type="dxa"/>
            <w:noWrap/>
            <w:tcMar>
              <w:left w:w="28" w:type="dxa"/>
              <w:right w:w="28" w:type="dxa"/>
            </w:tcMar>
            <w:vAlign w:val="center"/>
            <w:hideMark/>
          </w:tcPr>
          <w:p w14:paraId="1F2D1CE5" w14:textId="77777777" w:rsidR="003B52F7" w:rsidRPr="00CB63E4" w:rsidRDefault="003B52F7"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LoHi</w:t>
            </w:r>
            <w:proofErr w:type="spellEnd"/>
            <w:r w:rsidRPr="00CB63E4">
              <w:rPr>
                <w:rFonts w:ascii="Times New Roman" w:hAnsi="Times New Roman" w:cs="Times New Roman"/>
                <w:color w:val="000000" w:themeColor="text1"/>
                <w:sz w:val="18"/>
                <w:szCs w:val="18"/>
              </w:rPr>
              <w:t>/Hydration energy</w:t>
            </w:r>
          </w:p>
        </w:tc>
        <w:tc>
          <w:tcPr>
            <w:tcW w:w="1559" w:type="dxa"/>
            <w:noWrap/>
            <w:tcMar>
              <w:left w:w="28" w:type="dxa"/>
              <w:right w:w="28" w:type="dxa"/>
            </w:tcMar>
            <w:vAlign w:val="center"/>
            <w:hideMark/>
          </w:tcPr>
          <w:p w14:paraId="20BA51A3"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48.7</w:t>
            </w:r>
          </w:p>
        </w:tc>
        <w:tc>
          <w:tcPr>
            <w:tcW w:w="1559" w:type="dxa"/>
            <w:noWrap/>
            <w:tcMar>
              <w:left w:w="28" w:type="dxa"/>
              <w:right w:w="28" w:type="dxa"/>
            </w:tcMar>
            <w:vAlign w:val="center"/>
            <w:hideMark/>
          </w:tcPr>
          <w:p w14:paraId="26DAA8E4"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25.9</w:t>
            </w:r>
          </w:p>
        </w:tc>
        <w:tc>
          <w:tcPr>
            <w:tcW w:w="1559" w:type="dxa"/>
            <w:noWrap/>
            <w:tcMar>
              <w:left w:w="28" w:type="dxa"/>
              <w:right w:w="28" w:type="dxa"/>
            </w:tcMar>
            <w:vAlign w:val="center"/>
            <w:hideMark/>
          </w:tcPr>
          <w:p w14:paraId="2D8E0207"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81.1</w:t>
            </w:r>
          </w:p>
        </w:tc>
        <w:tc>
          <w:tcPr>
            <w:tcW w:w="1498" w:type="dxa"/>
            <w:noWrap/>
            <w:tcMar>
              <w:left w:w="28" w:type="dxa"/>
              <w:right w:w="28" w:type="dxa"/>
            </w:tcMar>
            <w:vAlign w:val="center"/>
            <w:hideMark/>
          </w:tcPr>
          <w:p w14:paraId="3BF0A028"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87.7</w:t>
            </w:r>
          </w:p>
        </w:tc>
      </w:tr>
      <w:tr w:rsidR="0050672C" w:rsidRPr="00CB63E4" w14:paraId="07FC8CAE" w14:textId="77777777" w:rsidTr="002F0411">
        <w:trPr>
          <w:trHeight w:val="285"/>
        </w:trPr>
        <w:tc>
          <w:tcPr>
            <w:tcW w:w="2047" w:type="dxa"/>
            <w:noWrap/>
            <w:tcMar>
              <w:left w:w="28" w:type="dxa"/>
              <w:right w:w="28" w:type="dxa"/>
            </w:tcMar>
            <w:vAlign w:val="center"/>
            <w:hideMark/>
          </w:tcPr>
          <w:p w14:paraId="54759625" w14:textId="77777777" w:rsidR="003B52F7" w:rsidRPr="00CB63E4" w:rsidRDefault="003B52F7"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LoHi</w:t>
            </w:r>
            <w:proofErr w:type="spellEnd"/>
            <w:r w:rsidRPr="00CB63E4">
              <w:rPr>
                <w:rFonts w:ascii="Times New Roman" w:hAnsi="Times New Roman" w:cs="Times New Roman"/>
                <w:color w:val="000000" w:themeColor="text1"/>
                <w:sz w:val="18"/>
                <w:szCs w:val="18"/>
              </w:rPr>
              <w:t>/</w:t>
            </w:r>
            <w:proofErr w:type="spellStart"/>
            <w:r w:rsidRPr="00CB63E4">
              <w:rPr>
                <w:rFonts w:ascii="Times New Roman" w:hAnsi="Times New Roman" w:cs="Times New Roman"/>
                <w:color w:val="000000" w:themeColor="text1"/>
                <w:sz w:val="18"/>
                <w:szCs w:val="18"/>
              </w:rPr>
              <w:t>pK</w:t>
            </w:r>
            <w:r w:rsidRPr="00CB63E4">
              <w:rPr>
                <w:rFonts w:ascii="Times New Roman" w:hAnsi="Times New Roman" w:cs="Times New Roman"/>
                <w:color w:val="000000" w:themeColor="text1"/>
                <w:sz w:val="18"/>
                <w:szCs w:val="18"/>
                <w:vertAlign w:val="subscript"/>
              </w:rPr>
              <w:t>a</w:t>
            </w:r>
            <w:proofErr w:type="spellEnd"/>
          </w:p>
        </w:tc>
        <w:tc>
          <w:tcPr>
            <w:tcW w:w="1559" w:type="dxa"/>
            <w:noWrap/>
            <w:tcMar>
              <w:left w:w="28" w:type="dxa"/>
              <w:right w:w="28" w:type="dxa"/>
            </w:tcMar>
            <w:vAlign w:val="center"/>
            <w:hideMark/>
          </w:tcPr>
          <w:p w14:paraId="3E0DFCE8"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15.2</w:t>
            </w:r>
          </w:p>
        </w:tc>
        <w:tc>
          <w:tcPr>
            <w:tcW w:w="1559" w:type="dxa"/>
            <w:noWrap/>
            <w:tcMar>
              <w:left w:w="28" w:type="dxa"/>
              <w:right w:w="28" w:type="dxa"/>
            </w:tcMar>
            <w:vAlign w:val="center"/>
            <w:hideMark/>
          </w:tcPr>
          <w:p w14:paraId="39AC2699"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8.5</w:t>
            </w:r>
          </w:p>
        </w:tc>
        <w:tc>
          <w:tcPr>
            <w:tcW w:w="1559" w:type="dxa"/>
            <w:noWrap/>
            <w:tcMar>
              <w:left w:w="28" w:type="dxa"/>
              <w:right w:w="28" w:type="dxa"/>
            </w:tcMar>
            <w:vAlign w:val="center"/>
            <w:hideMark/>
          </w:tcPr>
          <w:p w14:paraId="1C519F04"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49.7</w:t>
            </w:r>
          </w:p>
        </w:tc>
        <w:tc>
          <w:tcPr>
            <w:tcW w:w="1498" w:type="dxa"/>
            <w:noWrap/>
            <w:tcMar>
              <w:left w:w="28" w:type="dxa"/>
              <w:right w:w="28" w:type="dxa"/>
            </w:tcMar>
            <w:vAlign w:val="center"/>
            <w:hideMark/>
          </w:tcPr>
          <w:p w14:paraId="024E115B"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35.9</w:t>
            </w:r>
          </w:p>
        </w:tc>
      </w:tr>
      <w:tr w:rsidR="0050672C" w:rsidRPr="00CB63E4" w14:paraId="6FD5F128" w14:textId="77777777" w:rsidTr="002F0411">
        <w:trPr>
          <w:trHeight w:val="285"/>
        </w:trPr>
        <w:tc>
          <w:tcPr>
            <w:tcW w:w="2047" w:type="dxa"/>
            <w:noWrap/>
            <w:tcMar>
              <w:left w:w="28" w:type="dxa"/>
              <w:right w:w="28" w:type="dxa"/>
            </w:tcMar>
            <w:vAlign w:val="center"/>
            <w:hideMark/>
          </w:tcPr>
          <w:p w14:paraId="7EADA0AA" w14:textId="77777777" w:rsidR="003B52F7" w:rsidRPr="00CB63E4" w:rsidRDefault="003B52F7"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LoHi</w:t>
            </w:r>
            <w:proofErr w:type="spellEnd"/>
            <w:r w:rsidRPr="00CB63E4">
              <w:rPr>
                <w:rFonts w:ascii="Times New Roman" w:hAnsi="Times New Roman" w:cs="Times New Roman"/>
                <w:color w:val="000000" w:themeColor="text1"/>
                <w:sz w:val="18"/>
                <w:szCs w:val="18"/>
              </w:rPr>
              <w:t>/</w:t>
            </w:r>
            <w:proofErr w:type="spellStart"/>
            <w:r w:rsidRPr="00CB63E4">
              <w:rPr>
                <w:rFonts w:ascii="Times New Roman" w:hAnsi="Times New Roman" w:cs="Times New Roman"/>
                <w:color w:val="000000" w:themeColor="text1"/>
                <w:sz w:val="18"/>
                <w:szCs w:val="18"/>
              </w:rPr>
              <w:t>pK</w:t>
            </w:r>
            <w:r w:rsidRPr="00CB63E4">
              <w:rPr>
                <w:rFonts w:ascii="Times New Roman" w:hAnsi="Times New Roman" w:cs="Times New Roman"/>
                <w:color w:val="000000" w:themeColor="text1"/>
                <w:sz w:val="18"/>
                <w:szCs w:val="18"/>
                <w:vertAlign w:val="subscript"/>
              </w:rPr>
              <w:t>b</w:t>
            </w:r>
            <w:proofErr w:type="spellEnd"/>
          </w:p>
        </w:tc>
        <w:tc>
          <w:tcPr>
            <w:tcW w:w="1559" w:type="dxa"/>
            <w:noWrap/>
            <w:tcMar>
              <w:left w:w="28" w:type="dxa"/>
              <w:right w:w="28" w:type="dxa"/>
            </w:tcMar>
            <w:vAlign w:val="center"/>
            <w:hideMark/>
          </w:tcPr>
          <w:p w14:paraId="65F98618"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15.5</w:t>
            </w:r>
          </w:p>
        </w:tc>
        <w:tc>
          <w:tcPr>
            <w:tcW w:w="1559" w:type="dxa"/>
            <w:noWrap/>
            <w:tcMar>
              <w:left w:w="28" w:type="dxa"/>
              <w:right w:w="28" w:type="dxa"/>
            </w:tcMar>
            <w:vAlign w:val="center"/>
            <w:hideMark/>
          </w:tcPr>
          <w:p w14:paraId="309A2A73"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10.3</w:t>
            </w:r>
          </w:p>
        </w:tc>
        <w:tc>
          <w:tcPr>
            <w:tcW w:w="1559" w:type="dxa"/>
            <w:noWrap/>
            <w:tcMar>
              <w:left w:w="28" w:type="dxa"/>
              <w:right w:w="28" w:type="dxa"/>
            </w:tcMar>
            <w:vAlign w:val="center"/>
            <w:hideMark/>
          </w:tcPr>
          <w:p w14:paraId="255B4E8D"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42.9</w:t>
            </w:r>
          </w:p>
        </w:tc>
        <w:tc>
          <w:tcPr>
            <w:tcW w:w="1498" w:type="dxa"/>
            <w:noWrap/>
            <w:tcMar>
              <w:left w:w="28" w:type="dxa"/>
              <w:right w:w="28" w:type="dxa"/>
            </w:tcMar>
            <w:vAlign w:val="center"/>
            <w:hideMark/>
          </w:tcPr>
          <w:p w14:paraId="3AE149B8"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30.1</w:t>
            </w:r>
          </w:p>
        </w:tc>
      </w:tr>
      <w:tr w:rsidR="0050672C" w:rsidRPr="00CB63E4" w14:paraId="1C627892" w14:textId="77777777" w:rsidTr="002F0411">
        <w:trPr>
          <w:trHeight w:val="285"/>
        </w:trPr>
        <w:tc>
          <w:tcPr>
            <w:tcW w:w="2047" w:type="dxa"/>
            <w:noWrap/>
            <w:tcMar>
              <w:left w:w="28" w:type="dxa"/>
              <w:right w:w="28" w:type="dxa"/>
            </w:tcMar>
            <w:vAlign w:val="center"/>
            <w:hideMark/>
          </w:tcPr>
          <w:p w14:paraId="7D917926" w14:textId="77777777" w:rsidR="003B52F7" w:rsidRPr="00CB63E4" w:rsidRDefault="003B52F7" w:rsidP="002F0411">
            <w:pPr>
              <w:jc w:val="center"/>
              <w:rPr>
                <w:rFonts w:ascii="Times New Roman" w:hAnsi="Times New Roman" w:cs="Times New Roman"/>
                <w:color w:val="000000" w:themeColor="text1"/>
                <w:sz w:val="18"/>
                <w:szCs w:val="18"/>
              </w:rPr>
            </w:pPr>
            <w:proofErr w:type="spellStart"/>
            <w:r w:rsidRPr="00CB63E4">
              <w:rPr>
                <w:rFonts w:ascii="Times New Roman" w:hAnsi="Times New Roman" w:cs="Times New Roman"/>
                <w:color w:val="000000" w:themeColor="text1"/>
                <w:sz w:val="18"/>
                <w:szCs w:val="18"/>
              </w:rPr>
              <w:t>LoHi</w:t>
            </w:r>
            <w:proofErr w:type="spellEnd"/>
            <w:r w:rsidRPr="00CB63E4">
              <w:rPr>
                <w:rFonts w:ascii="Times New Roman" w:hAnsi="Times New Roman" w:cs="Times New Roman"/>
                <w:color w:val="000000" w:themeColor="text1"/>
                <w:sz w:val="18"/>
                <w:szCs w:val="18"/>
              </w:rPr>
              <w:t>/Marine tox (Fathead minnow)</w:t>
            </w:r>
          </w:p>
        </w:tc>
        <w:tc>
          <w:tcPr>
            <w:tcW w:w="1559" w:type="dxa"/>
            <w:noWrap/>
            <w:tcMar>
              <w:left w:w="28" w:type="dxa"/>
              <w:right w:w="28" w:type="dxa"/>
            </w:tcMar>
            <w:vAlign w:val="center"/>
            <w:hideMark/>
          </w:tcPr>
          <w:p w14:paraId="50E19D1E"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33.9</w:t>
            </w:r>
          </w:p>
        </w:tc>
        <w:tc>
          <w:tcPr>
            <w:tcW w:w="1559" w:type="dxa"/>
            <w:noWrap/>
            <w:tcMar>
              <w:left w:w="28" w:type="dxa"/>
              <w:right w:w="28" w:type="dxa"/>
            </w:tcMar>
            <w:vAlign w:val="center"/>
            <w:hideMark/>
          </w:tcPr>
          <w:p w14:paraId="7A555A8B"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20.1</w:t>
            </w:r>
          </w:p>
        </w:tc>
        <w:tc>
          <w:tcPr>
            <w:tcW w:w="1559" w:type="dxa"/>
            <w:noWrap/>
            <w:tcMar>
              <w:left w:w="28" w:type="dxa"/>
              <w:right w:w="28" w:type="dxa"/>
            </w:tcMar>
            <w:vAlign w:val="center"/>
            <w:hideMark/>
          </w:tcPr>
          <w:p w14:paraId="377F6DC0"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73.2</w:t>
            </w:r>
          </w:p>
        </w:tc>
        <w:tc>
          <w:tcPr>
            <w:tcW w:w="1498" w:type="dxa"/>
            <w:noWrap/>
            <w:tcMar>
              <w:left w:w="28" w:type="dxa"/>
              <w:right w:w="28" w:type="dxa"/>
            </w:tcMar>
            <w:vAlign w:val="center"/>
            <w:hideMark/>
          </w:tcPr>
          <w:p w14:paraId="2EA21DEA" w14:textId="77777777" w:rsidR="003B52F7" w:rsidRPr="00CB63E4" w:rsidRDefault="003B52F7" w:rsidP="002F0411">
            <w:pPr>
              <w:jc w:val="center"/>
              <w:rPr>
                <w:rFonts w:ascii="Times New Roman" w:hAnsi="Times New Roman" w:cs="Times New Roman"/>
                <w:color w:val="000000" w:themeColor="text1"/>
                <w:sz w:val="18"/>
                <w:szCs w:val="18"/>
              </w:rPr>
            </w:pPr>
            <w:r w:rsidRPr="00CB63E4">
              <w:rPr>
                <w:rFonts w:ascii="Times New Roman" w:hAnsi="Times New Roman" w:cs="Times New Roman"/>
                <w:color w:val="000000" w:themeColor="text1"/>
                <w:sz w:val="18"/>
                <w:szCs w:val="18"/>
              </w:rPr>
              <w:t>37.4</w:t>
            </w:r>
          </w:p>
        </w:tc>
      </w:tr>
      <w:bookmarkEnd w:id="2"/>
    </w:tbl>
    <w:p w14:paraId="08B8355C" w14:textId="77777777" w:rsidR="003B52F7" w:rsidRPr="00CB63E4" w:rsidRDefault="003B52F7" w:rsidP="0050672C">
      <w:pPr>
        <w:rPr>
          <w:rFonts w:ascii="Times New Roman" w:hAnsi="Times New Roman" w:cs="Times New Roman"/>
          <w:color w:val="000000" w:themeColor="text1"/>
        </w:rPr>
      </w:pPr>
    </w:p>
    <w:p w14:paraId="4AE18D98" w14:textId="77777777" w:rsidR="0095750D" w:rsidRPr="00CB63E4" w:rsidRDefault="0095750D" w:rsidP="0095750D">
      <w:pPr>
        <w:pStyle w:val="a3"/>
        <w:spacing w:beforeAutospacing="0" w:afterAutospacing="0"/>
        <w:jc w:val="center"/>
        <w:rPr>
          <w:rFonts w:ascii="Times New Roman" w:eastAsia="宋体" w:hAnsi="Times New Roman"/>
          <w:b/>
          <w:bCs/>
          <w:color w:val="000000" w:themeColor="text1"/>
        </w:rPr>
      </w:pPr>
    </w:p>
    <w:p w14:paraId="4DCA0885" w14:textId="058F8B0E" w:rsidR="003348DE" w:rsidRPr="00CB63E4" w:rsidRDefault="003348DE" w:rsidP="0050672C">
      <w:pPr>
        <w:pStyle w:val="a3"/>
        <w:widowControl/>
        <w:spacing w:beforeAutospacing="0" w:afterAutospacing="0"/>
        <w:jc w:val="center"/>
        <w:rPr>
          <w:rStyle w:val="a9"/>
          <w:rFonts w:ascii="Times New Roman" w:hAnsi="Times New Roman"/>
          <w:b w:val="0"/>
          <w:bCs/>
          <w:color w:val="000000" w:themeColor="text1"/>
        </w:rPr>
      </w:pPr>
      <w:r w:rsidRPr="00CB63E4">
        <w:rPr>
          <w:rFonts w:ascii="Times New Roman" w:hAnsi="Times New Roman"/>
          <w:bCs/>
          <w:noProof/>
          <w:color w:val="000000" w:themeColor="text1"/>
        </w:rPr>
        <w:drawing>
          <wp:inline distT="0" distB="0" distL="0" distR="0" wp14:anchorId="77FD99C3" wp14:editId="5700BDB5">
            <wp:extent cx="4365863" cy="1848107"/>
            <wp:effectExtent l="0" t="0" r="0" b="0"/>
            <wp:docPr id="12952593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59384" name="图片 1295259384"/>
                    <pic:cNvPicPr/>
                  </pic:nvPicPr>
                  <pic:blipFill>
                    <a:blip r:embed="rId7"/>
                    <a:stretch>
                      <a:fillRect/>
                    </a:stretch>
                  </pic:blipFill>
                  <pic:spPr>
                    <a:xfrm>
                      <a:off x="0" y="0"/>
                      <a:ext cx="4372289" cy="1850827"/>
                    </a:xfrm>
                    <a:prstGeom prst="rect">
                      <a:avLst/>
                    </a:prstGeom>
                  </pic:spPr>
                </pic:pic>
              </a:graphicData>
            </a:graphic>
          </wp:inline>
        </w:drawing>
      </w:r>
    </w:p>
    <w:p w14:paraId="5AB5B519" w14:textId="420DB437" w:rsidR="003348DE" w:rsidRPr="00CB63E4" w:rsidRDefault="000D7FC2" w:rsidP="000D7FC2">
      <w:pPr>
        <w:pStyle w:val="a3"/>
        <w:widowControl/>
        <w:adjustRightInd w:val="0"/>
        <w:snapToGrid w:val="0"/>
        <w:spacing w:beforeAutospacing="0" w:afterAutospacing="0" w:line="360" w:lineRule="auto"/>
        <w:jc w:val="both"/>
        <w:rPr>
          <w:rStyle w:val="a9"/>
          <w:rFonts w:ascii="Times New Roman" w:hAnsi="Times New Roman"/>
          <w:color w:val="000000" w:themeColor="text1"/>
        </w:rPr>
      </w:pPr>
      <w:r w:rsidRPr="00CB63E4">
        <w:rPr>
          <w:rFonts w:ascii="Times New Roman" w:hAnsi="Times New Roman"/>
          <w:b/>
          <w:bCs/>
          <w:color w:val="000000" w:themeColor="text1"/>
        </w:rPr>
        <w:t>Supplement</w:t>
      </w:r>
      <w:r w:rsidRPr="00E14408">
        <w:rPr>
          <w:rFonts w:ascii="Times New Roman" w:hAnsi="Times New Roman"/>
          <w:b/>
          <w:bCs/>
          <w:color w:val="000000" w:themeColor="text1"/>
        </w:rPr>
        <w:t xml:space="preserve">ary Figure 1. Near-baseline </w:t>
      </w:r>
      <w:proofErr w:type="spellStart"/>
      <w:r w:rsidRPr="00E14408">
        <w:rPr>
          <w:rFonts w:ascii="Times New Roman" w:hAnsi="Times New Roman"/>
          <w:b/>
          <w:bCs/>
          <w:color w:val="000000" w:themeColor="text1"/>
        </w:rPr>
        <w:t>normPR</w:t>
      </w:r>
      <w:proofErr w:type="spellEnd"/>
      <w:r w:rsidRPr="00E14408">
        <w:rPr>
          <w:rFonts w:ascii="Times New Roman" w:hAnsi="Times New Roman"/>
          <w:b/>
          <w:bCs/>
          <w:color w:val="000000" w:themeColor="text1"/>
        </w:rPr>
        <w:t xml:space="preserve"> rates under the no-scaffold test distribution. </w:t>
      </w:r>
      <w:r w:rsidRPr="00E935E3">
        <w:rPr>
          <w:rFonts w:ascii="Times New Roman" w:hAnsi="Times New Roman"/>
          <w:color w:val="000000" w:themeColor="text1"/>
        </w:rPr>
        <w:t xml:space="preserve">The figure reports the proportions of model–task evaluation points with </w:t>
      </w:r>
      <w:proofErr w:type="spellStart"/>
      <w:r w:rsidRPr="00E935E3">
        <w:rPr>
          <w:rFonts w:ascii="Times New Roman" w:hAnsi="Times New Roman"/>
          <w:color w:val="000000" w:themeColor="text1"/>
        </w:rPr>
        <w:lastRenderedPageBreak/>
        <w:t>normPR</w:t>
      </w:r>
      <w:proofErr w:type="spellEnd"/>
      <w:r w:rsidRPr="00E935E3">
        <w:rPr>
          <w:rFonts w:ascii="Times New Roman" w:hAnsi="Times New Roman"/>
          <w:color w:val="000000" w:themeColor="text1"/>
        </w:rPr>
        <w:t xml:space="preserve"> ≤ 0.05 and </w:t>
      </w:r>
      <w:proofErr w:type="spellStart"/>
      <w:r w:rsidRPr="00E935E3">
        <w:rPr>
          <w:rFonts w:ascii="Times New Roman" w:hAnsi="Times New Roman"/>
          <w:color w:val="000000" w:themeColor="text1"/>
        </w:rPr>
        <w:t>normPR</w:t>
      </w:r>
      <w:proofErr w:type="spellEnd"/>
      <w:r w:rsidRPr="00E935E3">
        <w:rPr>
          <w:rFonts w:ascii="Times New Roman" w:hAnsi="Times New Roman"/>
          <w:color w:val="000000" w:themeColor="text1"/>
        </w:rPr>
        <w:t xml:space="preserve"> ≤ 0.02 in ordinary folds and in the no-scaffold test subset of the no-scaffold fold.</w:t>
      </w:r>
    </w:p>
    <w:p w14:paraId="07F177AC" w14:textId="77777777" w:rsidR="003348DE" w:rsidRPr="00CB63E4" w:rsidRDefault="003348DE" w:rsidP="0050672C">
      <w:pPr>
        <w:pStyle w:val="a3"/>
        <w:widowControl/>
        <w:spacing w:beforeAutospacing="0" w:afterAutospacing="0"/>
        <w:jc w:val="center"/>
        <w:rPr>
          <w:rStyle w:val="a9"/>
          <w:rFonts w:ascii="Times New Roman" w:hAnsi="Times New Roman"/>
          <w:b w:val="0"/>
          <w:bCs/>
          <w:color w:val="000000" w:themeColor="text1"/>
        </w:rPr>
      </w:pPr>
      <w:r w:rsidRPr="00CB63E4">
        <w:rPr>
          <w:rFonts w:ascii="Times New Roman" w:hAnsi="Times New Roman"/>
          <w:bCs/>
          <w:noProof/>
          <w:color w:val="000000" w:themeColor="text1"/>
        </w:rPr>
        <w:drawing>
          <wp:inline distT="0" distB="0" distL="0" distR="0" wp14:anchorId="527AA9EF" wp14:editId="46D62637">
            <wp:extent cx="3805242" cy="2586138"/>
            <wp:effectExtent l="0" t="0" r="5080" b="5080"/>
            <wp:docPr id="19028976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97605" name="图片 1902897605"/>
                    <pic:cNvPicPr/>
                  </pic:nvPicPr>
                  <pic:blipFill>
                    <a:blip r:embed="rId8"/>
                    <a:stretch>
                      <a:fillRect/>
                    </a:stretch>
                  </pic:blipFill>
                  <pic:spPr>
                    <a:xfrm>
                      <a:off x="0" y="0"/>
                      <a:ext cx="3808874" cy="2588606"/>
                    </a:xfrm>
                    <a:prstGeom prst="rect">
                      <a:avLst/>
                    </a:prstGeom>
                  </pic:spPr>
                </pic:pic>
              </a:graphicData>
            </a:graphic>
          </wp:inline>
        </w:drawing>
      </w:r>
    </w:p>
    <w:p w14:paraId="5588B110" w14:textId="07F9AF28" w:rsidR="003348DE" w:rsidRPr="00D10242" w:rsidRDefault="000D7FC2" w:rsidP="00D10242">
      <w:pPr>
        <w:pStyle w:val="a3"/>
        <w:widowControl/>
        <w:adjustRightInd w:val="0"/>
        <w:snapToGrid w:val="0"/>
        <w:spacing w:beforeAutospacing="0" w:afterAutospacing="0" w:line="360" w:lineRule="auto"/>
        <w:jc w:val="both"/>
        <w:rPr>
          <w:rFonts w:ascii="Times New Roman" w:hAnsi="Times New Roman"/>
          <w:color w:val="000000" w:themeColor="text1"/>
        </w:rPr>
      </w:pPr>
      <w:r w:rsidRPr="00CB63E4">
        <w:rPr>
          <w:rFonts w:ascii="Times New Roman" w:hAnsi="Times New Roman"/>
          <w:b/>
          <w:bCs/>
          <w:color w:val="000000" w:themeColor="text1"/>
        </w:rPr>
        <w:t xml:space="preserve">Supplementary Figure 2. </w:t>
      </w:r>
      <w:proofErr w:type="spellStart"/>
      <w:r w:rsidRPr="00CB63E4">
        <w:rPr>
          <w:rFonts w:ascii="Times New Roman" w:hAnsi="Times New Roman"/>
          <w:b/>
          <w:bCs/>
          <w:color w:val="000000" w:themeColor="text1"/>
        </w:rPr>
        <w:t>normPR</w:t>
      </w:r>
      <w:proofErr w:type="spellEnd"/>
      <w:r w:rsidRPr="00CB63E4">
        <w:rPr>
          <w:rFonts w:ascii="Times New Roman" w:hAnsi="Times New Roman"/>
          <w:b/>
          <w:bCs/>
          <w:color w:val="000000" w:themeColor="text1"/>
        </w:rPr>
        <w:t xml:space="preserve"> empirical cumulative distributions in the Tox21 sub-benchmark. </w:t>
      </w:r>
      <w:r w:rsidRPr="00D10242">
        <w:rPr>
          <w:rFonts w:ascii="Times New Roman" w:hAnsi="Times New Roman"/>
          <w:color w:val="000000" w:themeColor="text1"/>
        </w:rPr>
        <w:t xml:space="preserve">The figure shows empirical cumulative distribution functions of </w:t>
      </w:r>
      <w:proofErr w:type="spellStart"/>
      <w:r w:rsidRPr="00D10242">
        <w:rPr>
          <w:rFonts w:ascii="Times New Roman" w:hAnsi="Times New Roman"/>
          <w:color w:val="000000" w:themeColor="text1"/>
        </w:rPr>
        <w:t>normPR</w:t>
      </w:r>
      <w:proofErr w:type="spellEnd"/>
      <w:r w:rsidRPr="00D10242">
        <w:rPr>
          <w:rFonts w:ascii="Times New Roman" w:hAnsi="Times New Roman"/>
          <w:color w:val="000000" w:themeColor="text1"/>
        </w:rPr>
        <w:t xml:space="preserve"> for pooled model–task evaluation points in Tox21, comparing ordinary folds with the no-scaffold test subset of the no-scaffold fold. Dashed lines indicate the reference thresholds </w:t>
      </w:r>
      <m:oMath>
        <m:r>
          <m:rPr>
            <m:sty m:val="p"/>
          </m:rPr>
          <w:rPr>
            <w:rFonts w:ascii="Cambria Math" w:hAnsi="Cambria Math"/>
            <w:color w:val="000000" w:themeColor="text1"/>
          </w:rPr>
          <m:t>τ</m:t>
        </m:r>
      </m:oMath>
      <w:r w:rsidRPr="00D10242">
        <w:rPr>
          <w:rFonts w:ascii="Times New Roman" w:hAnsi="Times New Roman"/>
          <w:color w:val="000000" w:themeColor="text1"/>
        </w:rPr>
        <w:t xml:space="preserve"> = 0.10 and </w:t>
      </w:r>
      <m:oMath>
        <m:r>
          <m:rPr>
            <m:sty m:val="p"/>
          </m:rPr>
          <w:rPr>
            <w:rFonts w:ascii="Cambria Math" w:hAnsi="Cambria Math"/>
            <w:color w:val="000000" w:themeColor="text1"/>
          </w:rPr>
          <m:t>τ</m:t>
        </m:r>
      </m:oMath>
      <w:r w:rsidR="00D10242" w:rsidRPr="00D10242">
        <w:rPr>
          <w:rFonts w:ascii="Times New Roman" w:hAnsi="Times New Roman"/>
          <w:color w:val="000000" w:themeColor="text1"/>
        </w:rPr>
        <w:t xml:space="preserve"> </w:t>
      </w:r>
      <w:r w:rsidRPr="00D10242">
        <w:rPr>
          <w:rFonts w:ascii="Times New Roman" w:hAnsi="Times New Roman"/>
          <w:color w:val="000000" w:themeColor="text1"/>
        </w:rPr>
        <w:t>=</w:t>
      </w:r>
      <w:r w:rsidR="00D10242">
        <w:rPr>
          <w:rFonts w:ascii="Times New Roman" w:hAnsi="Times New Roman" w:hint="eastAsia"/>
          <w:color w:val="000000" w:themeColor="text1"/>
        </w:rPr>
        <w:t xml:space="preserve"> </w:t>
      </w:r>
      <w:r w:rsidRPr="00D10242">
        <w:rPr>
          <w:rFonts w:ascii="Times New Roman" w:hAnsi="Times New Roman"/>
          <w:color w:val="000000" w:themeColor="text1"/>
        </w:rPr>
        <w:t>0.05.</w:t>
      </w:r>
    </w:p>
    <w:p w14:paraId="464AAC7E" w14:textId="77777777" w:rsidR="009E313B" w:rsidRPr="00CB63E4" w:rsidRDefault="009E313B" w:rsidP="0050672C">
      <w:pPr>
        <w:pStyle w:val="a3"/>
        <w:widowControl/>
        <w:adjustRightInd w:val="0"/>
        <w:snapToGrid w:val="0"/>
        <w:spacing w:beforeAutospacing="0" w:afterAutospacing="0" w:line="360" w:lineRule="auto"/>
        <w:jc w:val="both"/>
        <w:rPr>
          <w:rFonts w:ascii="Times New Roman" w:hAnsi="Times New Roman"/>
          <w:color w:val="000000" w:themeColor="text1"/>
        </w:rPr>
      </w:pPr>
    </w:p>
    <w:p w14:paraId="21D28408" w14:textId="77777777" w:rsidR="009E6BC3" w:rsidRPr="00CB63E4" w:rsidRDefault="009E6BC3" w:rsidP="0050672C">
      <w:pPr>
        <w:pStyle w:val="a3"/>
        <w:widowControl/>
        <w:spacing w:beforeAutospacing="0" w:afterAutospacing="0"/>
        <w:rPr>
          <w:rStyle w:val="a9"/>
          <w:rFonts w:ascii="Times New Roman" w:hAnsi="Times New Roman"/>
          <w:bCs/>
          <w:color w:val="000000" w:themeColor="text1"/>
        </w:rPr>
      </w:pPr>
      <w:r w:rsidRPr="00CB63E4">
        <w:rPr>
          <w:rFonts w:ascii="Times New Roman" w:hAnsi="Times New Roman"/>
          <w:b/>
          <w:bCs/>
          <w:noProof/>
          <w:color w:val="000000" w:themeColor="text1"/>
        </w:rPr>
        <w:drawing>
          <wp:inline distT="0" distB="0" distL="0" distR="0" wp14:anchorId="7714DBBC" wp14:editId="763EA5EB">
            <wp:extent cx="5274310" cy="2851150"/>
            <wp:effectExtent l="0" t="0" r="2540" b="6350"/>
            <wp:docPr id="13412335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33565" name="图片 1341233565"/>
                    <pic:cNvPicPr/>
                  </pic:nvPicPr>
                  <pic:blipFill>
                    <a:blip r:embed="rId9"/>
                    <a:stretch>
                      <a:fillRect/>
                    </a:stretch>
                  </pic:blipFill>
                  <pic:spPr>
                    <a:xfrm>
                      <a:off x="0" y="0"/>
                      <a:ext cx="5274310" cy="2851150"/>
                    </a:xfrm>
                    <a:prstGeom prst="rect">
                      <a:avLst/>
                    </a:prstGeom>
                  </pic:spPr>
                </pic:pic>
              </a:graphicData>
            </a:graphic>
          </wp:inline>
        </w:drawing>
      </w:r>
    </w:p>
    <w:p w14:paraId="241FE805" w14:textId="7CA590AA" w:rsidR="009E6BC3" w:rsidRPr="00CB63E4" w:rsidRDefault="00402109" w:rsidP="00402109">
      <w:pPr>
        <w:pStyle w:val="a3"/>
        <w:adjustRightInd w:val="0"/>
        <w:snapToGrid w:val="0"/>
        <w:spacing w:beforeAutospacing="0" w:afterAutospacing="0" w:line="360" w:lineRule="auto"/>
        <w:jc w:val="both"/>
        <w:rPr>
          <w:rFonts w:ascii="Times New Roman" w:hAnsi="Times New Roman"/>
          <w:bCs/>
          <w:color w:val="000000" w:themeColor="text1"/>
        </w:rPr>
      </w:pPr>
      <w:r w:rsidRPr="00CB63E4">
        <w:rPr>
          <w:rFonts w:ascii="Times New Roman" w:hAnsi="Times New Roman"/>
          <w:b/>
          <w:bCs/>
          <w:color w:val="000000" w:themeColor="text1"/>
        </w:rPr>
        <w:t xml:space="preserve">Supplementary Figure 3. Model-level </w:t>
      </w:r>
      <w:proofErr w:type="spellStart"/>
      <w:r w:rsidRPr="00CB63E4">
        <w:rPr>
          <w:rFonts w:ascii="Times New Roman" w:hAnsi="Times New Roman"/>
          <w:b/>
          <w:bCs/>
          <w:color w:val="000000" w:themeColor="text1"/>
        </w:rPr>
        <w:t>relMAE</w:t>
      </w:r>
      <w:proofErr w:type="spellEnd"/>
      <w:r w:rsidRPr="00CB63E4">
        <w:rPr>
          <w:rFonts w:ascii="Times New Roman" w:hAnsi="Times New Roman"/>
          <w:b/>
          <w:bCs/>
          <w:color w:val="000000" w:themeColor="text1"/>
        </w:rPr>
        <w:t xml:space="preserve"> inflation under no-scaffold exposure. </w:t>
      </w:r>
      <w:r w:rsidRPr="00CB63E4">
        <w:rPr>
          <w:rFonts w:ascii="Times New Roman" w:hAnsi="Times New Roman"/>
          <w:color w:val="000000" w:themeColor="text1"/>
        </w:rPr>
        <w:t xml:space="preserve">The figure shows the median </w:t>
      </w:r>
      <w:proofErr w:type="spellStart"/>
      <w:r w:rsidRPr="00CB63E4">
        <w:rPr>
          <w:rFonts w:ascii="Times New Roman" w:hAnsi="Times New Roman"/>
          <w:color w:val="000000" w:themeColor="text1"/>
        </w:rPr>
        <w:t>relMAE</w:t>
      </w:r>
      <w:proofErr w:type="spellEnd"/>
      <w:r w:rsidRPr="00CB63E4">
        <w:rPr>
          <w:rFonts w:ascii="Times New Roman" w:hAnsi="Times New Roman"/>
          <w:color w:val="000000" w:themeColor="text1"/>
        </w:rPr>
        <w:t xml:space="preserve"> inflation ratio for each model in </w:t>
      </w:r>
      <w:proofErr w:type="spellStart"/>
      <w:r w:rsidRPr="00CB63E4">
        <w:rPr>
          <w:rFonts w:ascii="Times New Roman" w:hAnsi="Times New Roman"/>
          <w:color w:val="000000" w:themeColor="text1"/>
        </w:rPr>
        <w:t>MoleculeNet</w:t>
      </w:r>
      <w:proofErr w:type="spellEnd"/>
      <w:r w:rsidRPr="00CB63E4">
        <w:rPr>
          <w:rFonts w:ascii="Times New Roman" w:hAnsi="Times New Roman"/>
          <w:color w:val="000000" w:themeColor="text1"/>
        </w:rPr>
        <w:t xml:space="preserve"> and Deep-PK/ADMET. Dashed vertical lines indicate the 1× and 2× thresholds.</w:t>
      </w:r>
    </w:p>
    <w:p w14:paraId="30C312D4" w14:textId="77777777" w:rsidR="0050672C" w:rsidRDefault="0050672C" w:rsidP="0050672C">
      <w:pPr>
        <w:pStyle w:val="a3"/>
        <w:adjustRightInd w:val="0"/>
        <w:snapToGrid w:val="0"/>
        <w:spacing w:beforeAutospacing="0" w:afterAutospacing="0" w:line="360" w:lineRule="auto"/>
        <w:jc w:val="both"/>
        <w:rPr>
          <w:rFonts w:ascii="Times New Roman" w:hAnsi="Times New Roman"/>
          <w:bCs/>
          <w:color w:val="000000" w:themeColor="text1"/>
        </w:rPr>
      </w:pPr>
    </w:p>
    <w:p w14:paraId="39F71BDA" w14:textId="13E4269A" w:rsidR="00D10242" w:rsidRPr="00D10242" w:rsidRDefault="00D10242" w:rsidP="00D10242">
      <w:pPr>
        <w:pStyle w:val="a3"/>
        <w:adjustRightInd w:val="0"/>
        <w:snapToGrid w:val="0"/>
        <w:spacing w:beforeAutospacing="0" w:afterAutospacing="0" w:line="360" w:lineRule="auto"/>
        <w:jc w:val="both"/>
        <w:rPr>
          <w:rFonts w:ascii="Times New Roman" w:hAnsi="Times New Roman"/>
          <w:b/>
          <w:color w:val="000000" w:themeColor="text1"/>
        </w:rPr>
      </w:pPr>
      <w:r w:rsidRPr="00D10242">
        <w:rPr>
          <w:rFonts w:ascii="Times New Roman" w:hAnsi="Times New Roman"/>
          <w:b/>
          <w:color w:val="000000" w:themeColor="text1"/>
        </w:rPr>
        <w:t>Supplementary Note 1. Metric selection and sensitivity analyses for primary performance metrics</w:t>
      </w:r>
    </w:p>
    <w:p w14:paraId="7F86CAAA" w14:textId="77777777" w:rsidR="00221421" w:rsidRPr="00560E43"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r w:rsidRPr="00560E43">
        <w:rPr>
          <w:rFonts w:ascii="Times New Roman" w:hAnsi="Times New Roman"/>
          <w:color w:val="000000" w:themeColor="text1"/>
        </w:rPr>
        <w:t xml:space="preserve">This note describes the metric-selection and sensitivity analyses used to support the primary performance metrics in the no-scaffold evaluation. </w:t>
      </w:r>
      <w:r w:rsidRPr="00CB63E4">
        <w:rPr>
          <w:rFonts w:ascii="Times New Roman" w:hAnsi="Times New Roman"/>
          <w:color w:val="000000" w:themeColor="text1"/>
        </w:rPr>
        <w:t>T</w:t>
      </w:r>
      <w:r w:rsidRPr="00560E43">
        <w:rPr>
          <w:rFonts w:ascii="Times New Roman" w:hAnsi="Times New Roman"/>
          <w:color w:val="000000" w:themeColor="text1"/>
        </w:rPr>
        <w:t>he goal was to select metrics that satisfy the requirements of this study: comparability across models, tasks, benchmarks, and evaluation subsets with different class priors or target scales.</w:t>
      </w:r>
    </w:p>
    <w:p w14:paraId="7119DA75" w14:textId="100185D6" w:rsidR="00221421" w:rsidRPr="00994039" w:rsidRDefault="00221421" w:rsidP="00911029">
      <w:pPr>
        <w:pStyle w:val="a3"/>
        <w:adjustRightInd w:val="0"/>
        <w:snapToGrid w:val="0"/>
        <w:spacing w:beforeAutospacing="0" w:afterAutospacing="0" w:line="360" w:lineRule="auto"/>
        <w:ind w:firstLineChars="200" w:firstLine="480"/>
        <w:jc w:val="both"/>
        <w:rPr>
          <w:rFonts w:ascii="Times New Roman" w:hAnsi="Times New Roman"/>
          <w:color w:val="000000" w:themeColor="text1"/>
        </w:rPr>
      </w:pPr>
      <w:r w:rsidRPr="00560E43">
        <w:rPr>
          <w:rFonts w:ascii="Times New Roman" w:hAnsi="Times New Roman"/>
          <w:color w:val="000000" w:themeColor="text1"/>
        </w:rPr>
        <w:t>For this purpose, a primary classification metric should quantify ranking performance in a way that accounts for the positive-rate baseline of each evaluated subset. A primary regression metric should quantify numerical error magnitude in a way that remains comparable across endpoints with different target scale</w:t>
      </w:r>
      <w:r w:rsidRPr="00994039">
        <w:rPr>
          <w:rFonts w:ascii="Times New Roman" w:hAnsi="Times New Roman"/>
          <w:color w:val="000000" w:themeColor="text1"/>
        </w:rPr>
        <w:t xml:space="preserve">s. Supplementary Table </w:t>
      </w:r>
      <w:r w:rsidR="000D18FB">
        <w:rPr>
          <w:rFonts w:ascii="Times New Roman" w:hAnsi="Times New Roman" w:hint="eastAsia"/>
          <w:color w:val="000000" w:themeColor="text1"/>
        </w:rPr>
        <w:t>6</w:t>
      </w:r>
      <w:r w:rsidRPr="00994039">
        <w:rPr>
          <w:rFonts w:ascii="Times New Roman" w:hAnsi="Times New Roman"/>
          <w:color w:val="000000" w:themeColor="text1"/>
        </w:rPr>
        <w:t xml:space="preserve"> summarizes these study-specific metric requirements.</w:t>
      </w:r>
    </w:p>
    <w:p w14:paraId="07DEC0B4" w14:textId="297FC7E7" w:rsidR="00221421" w:rsidRPr="00560E43" w:rsidRDefault="00221421" w:rsidP="00911029">
      <w:pPr>
        <w:pStyle w:val="a3"/>
        <w:adjustRightInd w:val="0"/>
        <w:snapToGrid w:val="0"/>
        <w:spacing w:beforeAutospacing="0" w:afterAutospacing="0" w:line="360" w:lineRule="auto"/>
        <w:ind w:firstLineChars="200" w:firstLine="480"/>
        <w:jc w:val="both"/>
        <w:rPr>
          <w:rFonts w:ascii="Times New Roman" w:hAnsi="Times New Roman"/>
          <w:color w:val="000000" w:themeColor="text1"/>
        </w:rPr>
      </w:pPr>
      <w:r w:rsidRPr="00560E43">
        <w:rPr>
          <w:rFonts w:ascii="Times New Roman" w:hAnsi="Times New Roman"/>
          <w:color w:val="000000" w:themeColor="text1"/>
        </w:rPr>
        <w:t>For classification ta</w:t>
      </w:r>
      <w:r w:rsidRPr="00994039">
        <w:rPr>
          <w:rFonts w:ascii="Times New Roman" w:hAnsi="Times New Roman"/>
          <w:color w:val="000000" w:themeColor="text1"/>
        </w:rPr>
        <w:t xml:space="preserve">sks, </w:t>
      </w:r>
      <w:r w:rsidR="00994039" w:rsidRPr="00994039">
        <w:rPr>
          <w:rFonts w:ascii="Times New Roman" w:hAnsi="Times New Roman"/>
          <w:color w:val="000000" w:themeColor="text1"/>
        </w:rPr>
        <w:t xml:space="preserve">average precision </w:t>
      </w:r>
      <w:r w:rsidR="00994039">
        <w:rPr>
          <w:rFonts w:ascii="Times New Roman" w:hAnsi="Times New Roman" w:hint="eastAsia"/>
          <w:color w:val="000000" w:themeColor="text1"/>
        </w:rPr>
        <w:t>(</w:t>
      </w:r>
      <w:r w:rsidRPr="00994039">
        <w:rPr>
          <w:rFonts w:ascii="Times New Roman" w:hAnsi="Times New Roman"/>
          <w:color w:val="000000" w:themeColor="text1"/>
        </w:rPr>
        <w:t>AP</w:t>
      </w:r>
      <w:r w:rsidR="00994039">
        <w:rPr>
          <w:rFonts w:ascii="Times New Roman" w:hAnsi="Times New Roman" w:hint="eastAsia"/>
          <w:color w:val="000000" w:themeColor="text1"/>
        </w:rPr>
        <w:t>)</w:t>
      </w:r>
      <w:r w:rsidRPr="00994039">
        <w:rPr>
          <w:rFonts w:ascii="Times New Roman" w:hAnsi="Times New Roman"/>
          <w:color w:val="000000" w:themeColor="text1"/>
        </w:rPr>
        <w:t>, RO</w:t>
      </w:r>
      <w:r w:rsidRPr="00560E43">
        <w:rPr>
          <w:rFonts w:ascii="Times New Roman" w:hAnsi="Times New Roman"/>
          <w:color w:val="000000" w:themeColor="text1"/>
        </w:rPr>
        <w:t xml:space="preserve">C-AUC, and </w:t>
      </w:r>
      <w:proofErr w:type="spellStart"/>
      <w:r w:rsidRPr="00560E43">
        <w:rPr>
          <w:rFonts w:ascii="Times New Roman" w:hAnsi="Times New Roman"/>
          <w:color w:val="000000" w:themeColor="text1"/>
        </w:rPr>
        <w:t>normPR</w:t>
      </w:r>
      <w:proofErr w:type="spellEnd"/>
      <w:r w:rsidRPr="00560E43">
        <w:rPr>
          <w:rFonts w:ascii="Times New Roman" w:hAnsi="Times New Roman"/>
          <w:color w:val="000000" w:themeColor="text1"/>
        </w:rPr>
        <w:t xml:space="preserve"> were compared. AP is directly related to precision–recall ranking, but its random-ranking baseline equals the positive rate of the evaluated subset. Therefore, raw AP values are difficult to compare across tasks or subsets with different positive rates. For example, an AP value close to 0.80 may be near baseline in a subset with an 80% positive rate, whereas an AP value of 0.20 may represent a substantial enrichment in a subset with a 5% positive rate. ROC-AUC has a fixed random-ranking baseline of 0.5, but it measures pairwise ROC-scale ranking rather than improvement above the precision–recall baseline. Under class imbalance, a model can retain non-random ROC-AUC while still providing little useful precision–recall improvement over the positive-rate baseline.</w:t>
      </w:r>
    </w:p>
    <w:p w14:paraId="07937929" w14:textId="77777777" w:rsidR="00221421" w:rsidRPr="00560E43" w:rsidRDefault="00221421" w:rsidP="00911029">
      <w:pPr>
        <w:pStyle w:val="a3"/>
        <w:adjustRightInd w:val="0"/>
        <w:snapToGrid w:val="0"/>
        <w:spacing w:beforeAutospacing="0" w:afterAutospacing="0" w:line="360" w:lineRule="auto"/>
        <w:ind w:firstLineChars="200" w:firstLine="480"/>
        <w:jc w:val="both"/>
        <w:rPr>
          <w:rFonts w:ascii="Times New Roman" w:hAnsi="Times New Roman"/>
          <w:color w:val="000000" w:themeColor="text1"/>
        </w:rPr>
      </w:pPr>
      <w:proofErr w:type="spellStart"/>
      <w:r w:rsidRPr="00560E43">
        <w:rPr>
          <w:rFonts w:ascii="Times New Roman" w:hAnsi="Times New Roman"/>
          <w:color w:val="000000" w:themeColor="text1"/>
        </w:rPr>
        <w:t>normPR</w:t>
      </w:r>
      <w:proofErr w:type="spellEnd"/>
      <w:r w:rsidRPr="00560E43">
        <w:rPr>
          <w:rFonts w:ascii="Times New Roman" w:hAnsi="Times New Roman"/>
          <w:color w:val="000000" w:themeColor="text1"/>
        </w:rPr>
        <w:t xml:space="preserve"> was therefore retained as the primary classification metric because it normalizes AP against the positive-rate baseline of the evaluated subset:</w:t>
      </w:r>
    </w:p>
    <w:p w14:paraId="3F9BBD1C" w14:textId="77777777" w:rsidR="00221421" w:rsidRPr="00560E43" w:rsidRDefault="00221421" w:rsidP="00221421">
      <w:pPr>
        <w:pStyle w:val="a3"/>
        <w:adjustRightInd w:val="0"/>
        <w:snapToGrid w:val="0"/>
        <w:spacing w:line="360" w:lineRule="auto"/>
        <w:jc w:val="both"/>
        <w:rPr>
          <w:rFonts w:ascii="Times New Roman" w:hAnsi="Times New Roman"/>
          <w:color w:val="000000" w:themeColor="text1"/>
        </w:rPr>
      </w:pPr>
      <w:proofErr w:type="spellStart"/>
      <m:oMathPara>
        <m:oMath>
          <m:r>
            <m:rPr>
              <m:nor/>
            </m:rPr>
            <w:rPr>
              <w:rFonts w:ascii="Times New Roman" w:hAnsi="Times New Roman"/>
              <w:color w:val="000000" w:themeColor="text1"/>
            </w:rPr>
            <m:t>normPR</m:t>
          </m:r>
          <w:proofErr w:type="spellEnd"/>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AP-π</m:t>
              </m:r>
              <m:ctrlPr>
                <w:rPr>
                  <w:rFonts w:ascii="Cambria Math" w:hAnsi="Cambria Math"/>
                  <w:i/>
                  <w:color w:val="000000" w:themeColor="text1"/>
                </w:rPr>
              </m:ctrlPr>
            </m:num>
            <m:den>
              <m:r>
                <w:rPr>
                  <w:rFonts w:ascii="Cambria Math" w:hAnsi="Cambria Math"/>
                  <w:color w:val="000000" w:themeColor="text1"/>
                </w:rPr>
                <m:t>1-π</m:t>
              </m:r>
              <m:ctrlPr>
                <w:rPr>
                  <w:rFonts w:ascii="Cambria Math" w:hAnsi="Cambria Math"/>
                  <w:i/>
                  <w:color w:val="000000" w:themeColor="text1"/>
                </w:rPr>
              </m:ctrlPr>
            </m:den>
          </m:f>
        </m:oMath>
      </m:oMathPara>
    </w:p>
    <w:p w14:paraId="54B2C33F" w14:textId="77777777" w:rsidR="00221421" w:rsidRPr="00560E43"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r w:rsidRPr="00560E43">
        <w:rPr>
          <w:rFonts w:ascii="Times New Roman" w:hAnsi="Times New Roman"/>
          <w:color w:val="000000" w:themeColor="text1"/>
        </w:rPr>
        <w:t xml:space="preserve">where </w:t>
      </w:r>
      <m:oMath>
        <m:r>
          <w:rPr>
            <w:rFonts w:ascii="Cambria Math" w:hAnsi="Cambria Math"/>
            <w:color w:val="000000" w:themeColor="text1"/>
          </w:rPr>
          <m:t>π</m:t>
        </m:r>
      </m:oMath>
      <w:r w:rsidRPr="00560E43">
        <w:rPr>
          <w:rFonts w:ascii="Times New Roman" w:hAnsi="Times New Roman"/>
          <w:color w:val="000000" w:themeColor="text1"/>
        </w:rPr>
        <w:t xml:space="preserve"> is the positive rate. Under this definition, normPR = 0 corresponds to prior-only ranking, and normPR = 1 corresponds to perfect ranking. Among the compared classification metrics, normPR is the only metric that is both precision–recall-scale and positive-rate-baseline normalized, making it the most appropriate primary metric for cross-task and cross-distribution classification comparison in this study.</w:t>
      </w:r>
    </w:p>
    <w:p w14:paraId="68F92D30" w14:textId="3586209E" w:rsidR="00221421" w:rsidRPr="00560E43" w:rsidRDefault="00221421" w:rsidP="00911029">
      <w:pPr>
        <w:pStyle w:val="a3"/>
        <w:adjustRightInd w:val="0"/>
        <w:snapToGrid w:val="0"/>
        <w:spacing w:beforeAutospacing="0" w:afterAutospacing="0" w:line="360" w:lineRule="auto"/>
        <w:ind w:firstLineChars="200" w:firstLine="480"/>
        <w:jc w:val="both"/>
        <w:rPr>
          <w:rFonts w:ascii="Times New Roman" w:hAnsi="Times New Roman"/>
          <w:color w:val="000000" w:themeColor="text1"/>
        </w:rPr>
      </w:pPr>
      <w:r w:rsidRPr="00911029">
        <w:rPr>
          <w:rFonts w:ascii="Times New Roman" w:hAnsi="Times New Roman"/>
          <w:color w:val="000000" w:themeColor="text1"/>
        </w:rPr>
        <w:lastRenderedPageBreak/>
        <w:t xml:space="preserve">Supplementary Table </w:t>
      </w:r>
      <w:r w:rsidR="000D18FB">
        <w:rPr>
          <w:rFonts w:ascii="Times New Roman" w:hAnsi="Times New Roman" w:hint="eastAsia"/>
          <w:color w:val="000000" w:themeColor="text1"/>
        </w:rPr>
        <w:t>7</w:t>
      </w:r>
      <w:r w:rsidRPr="00911029">
        <w:rPr>
          <w:rFonts w:ascii="Times New Roman" w:hAnsi="Times New Roman"/>
          <w:color w:val="000000" w:themeColor="text1"/>
        </w:rPr>
        <w:t xml:space="preserve"> eval</w:t>
      </w:r>
      <w:r w:rsidRPr="00560E43">
        <w:rPr>
          <w:rFonts w:ascii="Times New Roman" w:hAnsi="Times New Roman"/>
          <w:color w:val="000000" w:themeColor="text1"/>
        </w:rPr>
        <w:t xml:space="preserve">uates whether the classification degradation pattern depends on this metric choice. AP and ROC-AUC recovered the same overall direction of degradation as </w:t>
      </w:r>
      <w:proofErr w:type="spellStart"/>
      <w:r w:rsidRPr="00560E43">
        <w:rPr>
          <w:rFonts w:ascii="Times New Roman" w:hAnsi="Times New Roman"/>
          <w:color w:val="000000" w:themeColor="text1"/>
        </w:rPr>
        <w:t>normPR</w:t>
      </w:r>
      <w:proofErr w:type="spellEnd"/>
      <w:r w:rsidRPr="00560E43">
        <w:rPr>
          <w:rFonts w:ascii="Times New Roman" w:hAnsi="Times New Roman"/>
          <w:color w:val="000000" w:themeColor="text1"/>
        </w:rPr>
        <w:t xml:space="preserve">, supporting that the observed classification decline was not an artifact of the primary metric. However, AP and ROC-AUC do not provide the same prior-baseline interpretation. </w:t>
      </w:r>
      <w:r w:rsidRPr="00F85CD4">
        <w:rPr>
          <w:rFonts w:ascii="Times New Roman" w:hAnsi="Times New Roman"/>
          <w:color w:val="000000" w:themeColor="text1"/>
        </w:rPr>
        <w:t xml:space="preserve">Supplementary Table </w:t>
      </w:r>
      <w:r w:rsidR="000D18FB">
        <w:rPr>
          <w:rFonts w:ascii="Times New Roman" w:hAnsi="Times New Roman" w:hint="eastAsia"/>
          <w:color w:val="000000" w:themeColor="text1"/>
        </w:rPr>
        <w:t>8</w:t>
      </w:r>
      <w:r w:rsidRPr="00F85CD4">
        <w:rPr>
          <w:rFonts w:ascii="Times New Roman" w:hAnsi="Times New Roman"/>
          <w:color w:val="000000" w:themeColor="text1"/>
        </w:rPr>
        <w:t xml:space="preserve"> </w:t>
      </w:r>
      <w:r w:rsidRPr="00560E43">
        <w:rPr>
          <w:rFonts w:ascii="Times New Roman" w:hAnsi="Times New Roman"/>
          <w:color w:val="000000" w:themeColor="text1"/>
        </w:rPr>
        <w:t xml:space="preserve">further shows that </w:t>
      </w:r>
      <w:proofErr w:type="spellStart"/>
      <w:r w:rsidRPr="00560E43">
        <w:rPr>
          <w:rFonts w:ascii="Times New Roman" w:hAnsi="Times New Roman"/>
          <w:color w:val="000000" w:themeColor="text1"/>
        </w:rPr>
        <w:t>normPR</w:t>
      </w:r>
      <w:proofErr w:type="spellEnd"/>
      <w:r w:rsidRPr="00560E43">
        <w:rPr>
          <w:rFonts w:ascii="Times New Roman" w:hAnsi="Times New Roman"/>
          <w:color w:val="000000" w:themeColor="text1"/>
        </w:rPr>
        <w:t xml:space="preserve"> identifies a near-baseline regime that is not interchangeable with ROC-AUC: some evaluation points with </w:t>
      </w:r>
      <w:proofErr w:type="spellStart"/>
      <w:r w:rsidRPr="00560E43">
        <w:rPr>
          <w:rFonts w:ascii="Times New Roman" w:hAnsi="Times New Roman"/>
          <w:color w:val="000000" w:themeColor="text1"/>
        </w:rPr>
        <w:t>normPR</w:t>
      </w:r>
      <w:proofErr w:type="spellEnd"/>
      <w:r w:rsidRPr="00560E43">
        <w:rPr>
          <w:rFonts w:ascii="Times New Roman" w:hAnsi="Times New Roman"/>
          <w:color w:val="000000" w:themeColor="text1"/>
        </w:rPr>
        <w:t xml:space="preserve"> close to zero still had ROC-AUC above a near-random thresh</w:t>
      </w:r>
      <w:r w:rsidRPr="00F85CD4">
        <w:rPr>
          <w:rFonts w:ascii="Times New Roman" w:hAnsi="Times New Roman"/>
          <w:color w:val="000000" w:themeColor="text1"/>
        </w:rPr>
        <w:t>old. Supplementary Table 1</w:t>
      </w:r>
      <w:r w:rsidR="000D18FB">
        <w:rPr>
          <w:rFonts w:ascii="Times New Roman" w:hAnsi="Times New Roman" w:hint="eastAsia"/>
          <w:color w:val="000000" w:themeColor="text1"/>
        </w:rPr>
        <w:t>1</w:t>
      </w:r>
      <w:r w:rsidRPr="00F85CD4">
        <w:rPr>
          <w:rFonts w:ascii="Times New Roman" w:hAnsi="Times New Roman"/>
          <w:color w:val="000000" w:themeColor="text1"/>
        </w:rPr>
        <w:t xml:space="preserve">, Panel A </w:t>
      </w:r>
      <w:r w:rsidRPr="00CB63E4">
        <w:rPr>
          <w:rFonts w:ascii="Times New Roman" w:hAnsi="Times New Roman"/>
          <w:color w:val="000000" w:themeColor="text1"/>
        </w:rPr>
        <w:t xml:space="preserve">provides representative classification cases illustrating why AP or ROC-AUC alone is insufficient as the primary metric for this cross-distribution comparison. In C1, the no-scaffold subset has a much higher positive rate than the ordinary reference, so AP remains high despite a large loss of ranking quality relative to the positive-rate baseline; </w:t>
      </w:r>
      <w:proofErr w:type="spellStart"/>
      <w:r w:rsidRPr="00CB63E4">
        <w:rPr>
          <w:rFonts w:ascii="Times New Roman" w:hAnsi="Times New Roman"/>
          <w:color w:val="000000" w:themeColor="text1"/>
        </w:rPr>
        <w:t>normPR</w:t>
      </w:r>
      <w:proofErr w:type="spellEnd"/>
      <w:r w:rsidRPr="00CB63E4">
        <w:rPr>
          <w:rFonts w:ascii="Times New Roman" w:hAnsi="Times New Roman"/>
          <w:color w:val="000000" w:themeColor="text1"/>
        </w:rPr>
        <w:t xml:space="preserve"> makes this loss explicit. In C2, AP remains non-zero but </w:t>
      </w:r>
      <w:proofErr w:type="spellStart"/>
      <w:r w:rsidRPr="00CB63E4">
        <w:rPr>
          <w:rFonts w:ascii="Times New Roman" w:hAnsi="Times New Roman"/>
          <w:color w:val="000000" w:themeColor="text1"/>
        </w:rPr>
        <w:t>normPR</w:t>
      </w:r>
      <w:proofErr w:type="spellEnd"/>
      <w:r w:rsidRPr="00CB63E4">
        <w:rPr>
          <w:rFonts w:ascii="Times New Roman" w:hAnsi="Times New Roman"/>
          <w:color w:val="000000" w:themeColor="text1"/>
        </w:rPr>
        <w:t xml:space="preserve"> falls to approximately zero, indicating near-prior ranking. In C3 and C4, ROC-AUC remains above a near-random threshold even though </w:t>
      </w:r>
      <w:proofErr w:type="spellStart"/>
      <w:r w:rsidRPr="00CB63E4">
        <w:rPr>
          <w:rFonts w:ascii="Times New Roman" w:hAnsi="Times New Roman"/>
          <w:color w:val="000000" w:themeColor="text1"/>
        </w:rPr>
        <w:t>normPR</w:t>
      </w:r>
      <w:proofErr w:type="spellEnd"/>
      <w:r w:rsidRPr="00CB63E4">
        <w:rPr>
          <w:rFonts w:ascii="Times New Roman" w:hAnsi="Times New Roman"/>
          <w:color w:val="000000" w:themeColor="text1"/>
        </w:rPr>
        <w:t xml:space="preserve"> is close to zero, showing that non-random ROC-scale pairwise ranking does not necessarily imply meaningful precision–recall improvement over the positive-rate baseline.</w:t>
      </w:r>
    </w:p>
    <w:p w14:paraId="3A477A75" w14:textId="77777777" w:rsidR="00221421" w:rsidRPr="00560E43" w:rsidRDefault="00221421" w:rsidP="00911029">
      <w:pPr>
        <w:pStyle w:val="a3"/>
        <w:adjustRightInd w:val="0"/>
        <w:snapToGrid w:val="0"/>
        <w:spacing w:beforeAutospacing="0" w:afterAutospacing="0" w:line="360" w:lineRule="auto"/>
        <w:ind w:firstLineChars="200" w:firstLine="480"/>
        <w:jc w:val="both"/>
        <w:rPr>
          <w:rFonts w:ascii="Times New Roman" w:hAnsi="Times New Roman"/>
          <w:color w:val="000000" w:themeColor="text1"/>
        </w:rPr>
      </w:pPr>
      <w:r w:rsidRPr="00560E43">
        <w:rPr>
          <w:rFonts w:ascii="Times New Roman" w:hAnsi="Times New Roman"/>
          <w:color w:val="000000" w:themeColor="text1"/>
        </w:rPr>
        <w:t xml:space="preserve">For regression tasks, </w:t>
      </w:r>
      <w:proofErr w:type="spellStart"/>
      <w:r w:rsidRPr="00560E43">
        <w:rPr>
          <w:rFonts w:ascii="Times New Roman" w:hAnsi="Times New Roman"/>
          <w:color w:val="000000" w:themeColor="text1"/>
        </w:rPr>
        <w:t>relMAE</w:t>
      </w:r>
      <w:proofErr w:type="spellEnd"/>
      <w:r w:rsidRPr="00560E43">
        <w:rPr>
          <w:rFonts w:ascii="Times New Roman" w:hAnsi="Times New Roman"/>
          <w:color w:val="000000" w:themeColor="text1"/>
        </w:rPr>
        <w:t xml:space="preserve"> was compared with MAE, RMSE, </w:t>
      </w: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Pr="00560E43">
        <w:rPr>
          <w:rFonts w:ascii="Times New Roman" w:hAnsi="Times New Roman"/>
          <w:color w:val="000000" w:themeColor="text1"/>
        </w:rPr>
        <w:t xml:space="preserve">, Pearson </w:t>
      </w:r>
      <m:oMath>
        <m:r>
          <w:rPr>
            <w:rFonts w:ascii="Cambria Math" w:hAnsi="Cambria Math"/>
            <w:color w:val="000000" w:themeColor="text1"/>
          </w:rPr>
          <m:t>r</m:t>
        </m:r>
      </m:oMath>
      <w:r w:rsidRPr="00560E43">
        <w:rPr>
          <w:rFonts w:ascii="Times New Roman" w:hAnsi="Times New Roman"/>
          <w:color w:val="000000" w:themeColor="text1"/>
        </w:rPr>
        <w:t xml:space="preserve">, and Spearman </w:t>
      </w:r>
      <m:oMath>
        <m:r>
          <w:rPr>
            <w:rFonts w:ascii="Cambria Math" w:hAnsi="Cambria Math"/>
            <w:color w:val="000000" w:themeColor="text1"/>
          </w:rPr>
          <m:t>ρ</m:t>
        </m:r>
      </m:oMath>
      <w:r w:rsidRPr="00560E43">
        <w:rPr>
          <w:rFonts w:ascii="Times New Roman" w:hAnsi="Times New Roman"/>
          <w:color w:val="000000" w:themeColor="text1"/>
        </w:rPr>
        <w:t xml:space="preserve">. MAE and RMSE directly measure numerical error magnitude, but they are raw-scale metrics and therefore depend on the units and scale of the target. RMSE is additionally more sensitive to large residuals. In contrast, </w:t>
      </w: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Pr="00560E43">
        <w:rPr>
          <w:rFonts w:ascii="Times New Roman" w:hAnsi="Times New Roman"/>
          <w:color w:val="000000" w:themeColor="text1"/>
        </w:rPr>
        <w:t xml:space="preserve">, Pearson </w:t>
      </w:r>
      <m:oMath>
        <m:r>
          <w:rPr>
            <w:rFonts w:ascii="Cambria Math" w:hAnsi="Cambria Math"/>
            <w:color w:val="000000" w:themeColor="text1"/>
          </w:rPr>
          <m:t>r</m:t>
        </m:r>
      </m:oMath>
      <w:r w:rsidRPr="00560E43">
        <w:rPr>
          <w:rFonts w:ascii="Times New Roman" w:hAnsi="Times New Roman"/>
          <w:color w:val="000000" w:themeColor="text1"/>
        </w:rPr>
        <w:t xml:space="preserve">, and Spearman </w:t>
      </w:r>
      <m:oMath>
        <m:r>
          <w:rPr>
            <w:rFonts w:ascii="Cambria Math" w:hAnsi="Cambria Math"/>
            <w:color w:val="000000" w:themeColor="text1"/>
          </w:rPr>
          <m:t>ρ</m:t>
        </m:r>
      </m:oMath>
      <w:r w:rsidRPr="00560E43">
        <w:rPr>
          <w:rFonts w:ascii="Times New Roman" w:hAnsi="Times New Roman"/>
          <w:color w:val="000000" w:themeColor="text1"/>
        </w:rPr>
        <w:t xml:space="preserve"> are unit-free, but they measure variance explanation, linear association, or rank association rather than numerical error magnitude. Thus, they cannot by themselves quantify the size of prediction errors.</w:t>
      </w:r>
    </w:p>
    <w:p w14:paraId="6331A32F" w14:textId="77777777" w:rsidR="00221421" w:rsidRPr="00560E43" w:rsidRDefault="00221421" w:rsidP="00911029">
      <w:pPr>
        <w:pStyle w:val="a3"/>
        <w:adjustRightInd w:val="0"/>
        <w:snapToGrid w:val="0"/>
        <w:spacing w:beforeAutospacing="0" w:afterAutospacing="0" w:line="360" w:lineRule="auto"/>
        <w:ind w:firstLineChars="200" w:firstLine="480"/>
        <w:jc w:val="both"/>
        <w:rPr>
          <w:rFonts w:ascii="Times New Roman" w:hAnsi="Times New Roman"/>
          <w:color w:val="000000" w:themeColor="text1"/>
        </w:rPr>
      </w:pPr>
      <w:r w:rsidRPr="00560E43">
        <w:rPr>
          <w:rFonts w:ascii="Times New Roman" w:hAnsi="Times New Roman"/>
          <w:color w:val="000000" w:themeColor="text1"/>
        </w:rPr>
        <w:t xml:space="preserve">The scale-dependence problem is direct. Consider two regression problems that differ only by a multiplicative rescaling of the target. For the true(predicted) pairs 1800(1900), 1900(1800), 2000(2100), 2100(2200), and 2200(2100), the MAE is 100 and the target scale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y</m:t>
            </m:r>
          </m:sub>
        </m:sSub>
        <m:r>
          <w:rPr>
            <w:rFonts w:ascii="Cambria Math" w:hAnsi="Cambria Math"/>
            <w:color w:val="000000" w:themeColor="text1"/>
          </w:rPr>
          <m:t>=</m:t>
        </m:r>
        <m:r>
          <m:rPr>
            <m:nor/>
          </m:rPr>
          <w:rPr>
            <w:rFonts w:ascii="Times New Roman" w:hAnsi="Times New Roman"/>
            <w:color w:val="000000" w:themeColor="text1"/>
          </w:rPr>
          <m:t>mean</m:t>
        </m:r>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r>
                  <w:rPr>
                    <w:rFonts w:ascii="Cambria Math" w:hAnsi="Cambria Math"/>
                    <w:color w:val="000000" w:themeColor="text1"/>
                  </w:rPr>
                  <m:t>y</m:t>
                </m:r>
              </m:e>
            </m:d>
          </m:e>
        </m:d>
      </m:oMath>
      <w:r w:rsidRPr="00560E43">
        <w:rPr>
          <w:rFonts w:ascii="Times New Roman" w:hAnsi="Times New Roman"/>
          <w:color w:val="000000" w:themeColor="text1"/>
        </w:rPr>
        <w:t xml:space="preserve"> is 2000, giving relMAE = 0.05. For the rescaled pairs 0.18(0.19), 0.19(0.18), 0.20(0.21), 0.21(0.22), and 0.22(0.21), the MAE is 0.01 and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y</m:t>
            </m:r>
          </m:sub>
        </m:sSub>
        <m:r>
          <w:rPr>
            <w:rFonts w:ascii="Cambria Math" w:hAnsi="Cambria Math"/>
            <w:color w:val="000000" w:themeColor="text1"/>
          </w:rPr>
          <m:t>=0.20</m:t>
        </m:r>
      </m:oMath>
      <w:r w:rsidRPr="00560E43">
        <w:rPr>
          <w:rFonts w:ascii="Times New Roman" w:hAnsi="Times New Roman"/>
          <w:color w:val="000000" w:themeColor="text1"/>
        </w:rPr>
        <w:t>, again giving relMAE = 0.05. The two cases have the same relative prediction error, but raw MAE differs by four orders of magnitude. A primary cross-task regression metric should preserve this scale equivalence; raw MAE and RMSE do not, whereas relMAE does.</w:t>
      </w:r>
    </w:p>
    <w:p w14:paraId="024E2343" w14:textId="77777777" w:rsidR="00221421" w:rsidRPr="00560E43" w:rsidRDefault="00221421" w:rsidP="00911029">
      <w:pPr>
        <w:pStyle w:val="a3"/>
        <w:adjustRightInd w:val="0"/>
        <w:snapToGrid w:val="0"/>
        <w:spacing w:beforeAutospacing="0" w:afterAutospacing="0" w:line="360" w:lineRule="auto"/>
        <w:ind w:firstLineChars="200" w:firstLine="480"/>
        <w:jc w:val="both"/>
        <w:rPr>
          <w:rFonts w:ascii="Times New Roman" w:hAnsi="Times New Roman"/>
          <w:color w:val="000000" w:themeColor="text1"/>
        </w:rPr>
      </w:pPr>
      <w:proofErr w:type="spellStart"/>
      <w:r w:rsidRPr="00560E43">
        <w:rPr>
          <w:rFonts w:ascii="Times New Roman" w:hAnsi="Times New Roman"/>
          <w:color w:val="000000" w:themeColor="text1"/>
        </w:rPr>
        <w:lastRenderedPageBreak/>
        <w:t>relMAE</w:t>
      </w:r>
      <w:proofErr w:type="spellEnd"/>
      <w:r w:rsidRPr="00560E43">
        <w:rPr>
          <w:rFonts w:ascii="Times New Roman" w:hAnsi="Times New Roman"/>
          <w:color w:val="000000" w:themeColor="text1"/>
        </w:rPr>
        <w:t xml:space="preserve"> was therefore retained as the primary regression metric because it preserves the numerical error interpretation of MAE while normalizing by the target scale of the evaluated subset. Among the compared regression metrics, </w:t>
      </w:r>
      <w:proofErr w:type="spellStart"/>
      <w:r w:rsidRPr="00560E43">
        <w:rPr>
          <w:rFonts w:ascii="Times New Roman" w:hAnsi="Times New Roman"/>
          <w:color w:val="000000" w:themeColor="text1"/>
        </w:rPr>
        <w:t>relMAE</w:t>
      </w:r>
      <w:proofErr w:type="spellEnd"/>
      <w:r w:rsidRPr="00560E43">
        <w:rPr>
          <w:rFonts w:ascii="Times New Roman" w:hAnsi="Times New Roman"/>
          <w:color w:val="000000" w:themeColor="text1"/>
        </w:rPr>
        <w:t xml:space="preserve"> is the only metric that both measures numerical error magnitude and normalizes that error for target scale, making it the most appropriate primary metric for cross-task and cross-distribution regression comparison in this study.</w:t>
      </w:r>
    </w:p>
    <w:p w14:paraId="0AAB6502" w14:textId="6F57221E" w:rsidR="00221421" w:rsidRPr="001C703E" w:rsidRDefault="00221421" w:rsidP="00911029">
      <w:pPr>
        <w:pStyle w:val="a3"/>
        <w:adjustRightInd w:val="0"/>
        <w:snapToGrid w:val="0"/>
        <w:spacing w:beforeAutospacing="0" w:afterAutospacing="0" w:line="360" w:lineRule="auto"/>
        <w:ind w:firstLineChars="200" w:firstLine="480"/>
        <w:jc w:val="both"/>
        <w:rPr>
          <w:rFonts w:ascii="Times New Roman" w:hAnsi="Times New Roman"/>
          <w:color w:val="000000" w:themeColor="text1"/>
        </w:rPr>
      </w:pPr>
      <w:r w:rsidRPr="002A0B6C">
        <w:rPr>
          <w:rFonts w:ascii="Times New Roman" w:hAnsi="Times New Roman"/>
          <w:color w:val="000000" w:themeColor="text1"/>
        </w:rPr>
        <w:t xml:space="preserve">Supplementary Table </w:t>
      </w:r>
      <w:r w:rsidR="000D18FB">
        <w:rPr>
          <w:rFonts w:ascii="Times New Roman" w:hAnsi="Times New Roman" w:hint="eastAsia"/>
          <w:color w:val="000000" w:themeColor="text1"/>
        </w:rPr>
        <w:t>9</w:t>
      </w:r>
      <w:r w:rsidRPr="002A0B6C">
        <w:rPr>
          <w:rFonts w:ascii="Times New Roman" w:hAnsi="Times New Roman"/>
          <w:color w:val="000000" w:themeColor="text1"/>
        </w:rPr>
        <w:t xml:space="preserve"> e</w:t>
      </w:r>
      <w:r w:rsidRPr="00560E43">
        <w:rPr>
          <w:rFonts w:ascii="Times New Roman" w:hAnsi="Times New Roman"/>
          <w:color w:val="000000" w:themeColor="text1"/>
        </w:rPr>
        <w:t xml:space="preserve">valuates whether the regression degradation pattern depends on this metric choice. MAE and RMSE were strongly aligned with </w:t>
      </w:r>
      <w:proofErr w:type="spellStart"/>
      <w:r w:rsidRPr="00560E43">
        <w:rPr>
          <w:rFonts w:ascii="Times New Roman" w:hAnsi="Times New Roman"/>
          <w:color w:val="000000" w:themeColor="text1"/>
        </w:rPr>
        <w:t>relMAE</w:t>
      </w:r>
      <w:proofErr w:type="spellEnd"/>
      <w:r w:rsidRPr="00560E43">
        <w:rPr>
          <w:rFonts w:ascii="Times New Roman" w:hAnsi="Times New Roman"/>
          <w:color w:val="000000" w:themeColor="text1"/>
        </w:rPr>
        <w:t xml:space="preserve"> inflation, supporting that the observed regression degradation was not an artifact of </w:t>
      </w:r>
      <w:proofErr w:type="spellStart"/>
      <w:r w:rsidRPr="00560E43">
        <w:rPr>
          <w:rFonts w:ascii="Times New Roman" w:hAnsi="Times New Roman"/>
          <w:color w:val="000000" w:themeColor="text1"/>
        </w:rPr>
        <w:t>relMAE</w:t>
      </w:r>
      <w:proofErr w:type="spellEnd"/>
      <w:r w:rsidRPr="00560E43">
        <w:rPr>
          <w:rFonts w:ascii="Times New Roman" w:hAnsi="Times New Roman"/>
          <w:color w:val="000000" w:themeColor="text1"/>
        </w:rPr>
        <w:t xml:space="preserve">. However, raw MAE and RMSE remain scale-dependent. </w:t>
      </w: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Pr="00560E43">
        <w:rPr>
          <w:rFonts w:ascii="Times New Roman" w:hAnsi="Times New Roman"/>
          <w:color w:val="000000" w:themeColor="text1"/>
        </w:rPr>
        <w:t xml:space="preserve">, Pearson </w:t>
      </w:r>
      <m:oMath>
        <m:r>
          <w:rPr>
            <w:rFonts w:ascii="Cambria Math" w:hAnsi="Cambria Math"/>
            <w:color w:val="000000" w:themeColor="text1"/>
          </w:rPr>
          <m:t>r</m:t>
        </m:r>
      </m:oMath>
      <w:r w:rsidRPr="00560E43">
        <w:rPr>
          <w:rFonts w:ascii="Times New Roman" w:hAnsi="Times New Roman"/>
          <w:color w:val="000000" w:themeColor="text1"/>
        </w:rPr>
        <w:t xml:space="preserve">, and Spearman </w:t>
      </w:r>
      <m:oMath>
        <m:r>
          <w:rPr>
            <w:rFonts w:ascii="Cambria Math" w:hAnsi="Cambria Math"/>
            <w:color w:val="000000" w:themeColor="text1"/>
          </w:rPr>
          <m:t>ρ</m:t>
        </m:r>
      </m:oMath>
      <w:r w:rsidRPr="00560E43">
        <w:rPr>
          <w:rFonts w:ascii="Times New Roman" w:hAnsi="Times New Roman"/>
          <w:color w:val="000000" w:themeColor="text1"/>
        </w:rPr>
        <w:t xml:space="preserve"> were less aligned with scale-adjusted error inflation, consistent with their interpretation as goodness-of-fit or association metrics rather than direct error-magnitude metrics. </w:t>
      </w:r>
      <w:r w:rsidRPr="002A0B6C">
        <w:rPr>
          <w:rFonts w:ascii="Times New Roman" w:hAnsi="Times New Roman"/>
          <w:color w:val="000000" w:themeColor="text1"/>
        </w:rPr>
        <w:t>Supplementary Table 1</w:t>
      </w:r>
      <w:r w:rsidR="000D18FB">
        <w:rPr>
          <w:rFonts w:ascii="Times New Roman" w:hAnsi="Times New Roman" w:hint="eastAsia"/>
          <w:color w:val="000000" w:themeColor="text1"/>
        </w:rPr>
        <w:t>0</w:t>
      </w:r>
      <w:r w:rsidRPr="002A0B6C">
        <w:rPr>
          <w:rFonts w:ascii="Times New Roman" w:hAnsi="Times New Roman"/>
          <w:color w:val="000000" w:themeColor="text1"/>
        </w:rPr>
        <w:t xml:space="preserve"> f</w:t>
      </w:r>
      <w:r w:rsidRPr="00560E43">
        <w:rPr>
          <w:rFonts w:ascii="Times New Roman" w:hAnsi="Times New Roman"/>
          <w:color w:val="000000" w:themeColor="text1"/>
        </w:rPr>
        <w:t xml:space="preserve">urther shows that high-multiple </w:t>
      </w:r>
      <w:proofErr w:type="spellStart"/>
      <w:r w:rsidRPr="00560E43">
        <w:rPr>
          <w:rFonts w:ascii="Times New Roman" w:hAnsi="Times New Roman"/>
          <w:color w:val="000000" w:themeColor="text1"/>
        </w:rPr>
        <w:t>relMAE</w:t>
      </w:r>
      <w:proofErr w:type="spellEnd"/>
      <w:r w:rsidRPr="00560E43">
        <w:rPr>
          <w:rFonts w:ascii="Times New Roman" w:hAnsi="Times New Roman"/>
          <w:color w:val="000000" w:themeColor="text1"/>
        </w:rPr>
        <w:t xml:space="preserve"> inflation was strongly enriched relative to ordinary fold-to-fold variability, while pooled MAE and RMSE robustness checks recovered the same qualitative high-error pattern.</w:t>
      </w:r>
      <w:r w:rsidRPr="00CB63E4">
        <w:rPr>
          <w:rFonts w:ascii="Times New Roman" w:hAnsi="Times New Roman"/>
          <w:color w:val="000000" w:themeColor="text1"/>
        </w:rPr>
        <w:t xml:space="preserve"> Supplementary Table 1</w:t>
      </w:r>
      <w:r w:rsidR="000D18FB">
        <w:rPr>
          <w:rFonts w:ascii="Times New Roman" w:hAnsi="Times New Roman" w:hint="eastAsia"/>
          <w:color w:val="000000" w:themeColor="text1"/>
        </w:rPr>
        <w:t>1</w:t>
      </w:r>
      <w:r w:rsidRPr="00CB63E4">
        <w:rPr>
          <w:rFonts w:ascii="Times New Roman" w:hAnsi="Times New Roman"/>
          <w:color w:val="000000" w:themeColor="text1"/>
        </w:rPr>
        <w:t xml:space="preserve">, Panel B provides representative regression cases illustrating why raw error or association metrics alone are insufficient as primary metrics for the present comparison. In R1, raw MAE changes only modestly, but </w:t>
      </w:r>
      <w:proofErr w:type="spellStart"/>
      <w:r w:rsidRPr="00CB63E4">
        <w:rPr>
          <w:rFonts w:ascii="Times New Roman" w:hAnsi="Times New Roman"/>
          <w:color w:val="000000" w:themeColor="text1"/>
        </w:rPr>
        <w:t>relMAE</w:t>
      </w:r>
      <w:proofErr w:type="spellEnd"/>
      <w:r w:rsidRPr="00CB63E4">
        <w:rPr>
          <w:rFonts w:ascii="Times New Roman" w:hAnsi="Times New Roman"/>
          <w:color w:val="000000" w:themeColor="text1"/>
        </w:rPr>
        <w:t xml:space="preserve"> inflation is high because the no-scaffold target scale contracts, demonstrating why target-scale normalization is required. In R2 and R3, </w:t>
      </w: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Pr="00CB63E4">
        <w:rPr>
          <w:rFonts w:ascii="Times New Roman" w:hAnsi="Times New Roman"/>
          <w:color w:val="000000" w:themeColor="text1"/>
        </w:rPr>
        <w:t xml:space="preserve"> or Pearson </w:t>
      </w:r>
      <m:oMath>
        <m:r>
          <w:rPr>
            <w:rFonts w:ascii="Cambria Math" w:hAnsi="Cambria Math"/>
            <w:color w:val="000000" w:themeColor="text1"/>
          </w:rPr>
          <m:t>r</m:t>
        </m:r>
      </m:oMath>
      <w:r w:rsidRPr="00CB63E4">
        <w:rPr>
          <w:rFonts w:ascii="Times New Roman" w:hAnsi="Times New Roman"/>
          <w:color w:val="000000" w:themeColor="text1"/>
        </w:rPr>
        <w:t xml:space="preserve"> remains high despite large relMAE inflation, showing that association metrics can miss large scale-adjusted numerical errors. In R4, RMSE inflation is much larger than MAE inflation, illustrating the tail sensitivity of RMSE and why it is better treated as a robustness or diagnostic metric rather than the primary cross-task error metric.</w:t>
      </w:r>
    </w:p>
    <w:p w14:paraId="6C4EC2E3" w14:textId="2F6B8E1B" w:rsidR="00221421" w:rsidRPr="00560E43" w:rsidRDefault="00221421" w:rsidP="00911029">
      <w:pPr>
        <w:pStyle w:val="a3"/>
        <w:adjustRightInd w:val="0"/>
        <w:snapToGrid w:val="0"/>
        <w:spacing w:beforeAutospacing="0" w:afterAutospacing="0" w:line="360" w:lineRule="auto"/>
        <w:ind w:firstLineChars="200" w:firstLine="480"/>
        <w:jc w:val="both"/>
        <w:rPr>
          <w:rFonts w:ascii="Times New Roman" w:hAnsi="Times New Roman"/>
          <w:color w:val="000000" w:themeColor="text1"/>
        </w:rPr>
      </w:pPr>
      <w:r w:rsidRPr="00560E43">
        <w:rPr>
          <w:rFonts w:ascii="Times New Roman" w:hAnsi="Times New Roman"/>
          <w:color w:val="000000" w:themeColor="text1"/>
        </w:rPr>
        <w:t xml:space="preserve">Together, </w:t>
      </w:r>
      <w:r w:rsidRPr="001C703E">
        <w:rPr>
          <w:rFonts w:ascii="Times New Roman" w:hAnsi="Times New Roman"/>
          <w:color w:val="000000" w:themeColor="text1"/>
        </w:rPr>
        <w:t xml:space="preserve">Supplementary Tables </w:t>
      </w:r>
      <w:r w:rsidR="000D18FB">
        <w:rPr>
          <w:rFonts w:ascii="Times New Roman" w:hAnsi="Times New Roman" w:hint="eastAsia"/>
          <w:color w:val="000000" w:themeColor="text1"/>
        </w:rPr>
        <w:t>6</w:t>
      </w:r>
      <w:r w:rsidRPr="001C703E">
        <w:rPr>
          <w:rFonts w:ascii="Times New Roman" w:hAnsi="Times New Roman"/>
          <w:color w:val="000000" w:themeColor="text1"/>
        </w:rPr>
        <w:t>–1</w:t>
      </w:r>
      <w:r w:rsidR="000D18FB">
        <w:rPr>
          <w:rFonts w:ascii="Times New Roman" w:hAnsi="Times New Roman" w:hint="eastAsia"/>
          <w:color w:val="000000" w:themeColor="text1"/>
        </w:rPr>
        <w:t>1</w:t>
      </w:r>
      <w:r w:rsidRPr="001C703E">
        <w:rPr>
          <w:rFonts w:ascii="Times New Roman" w:hAnsi="Times New Roman"/>
          <w:color w:val="000000" w:themeColor="text1"/>
        </w:rPr>
        <w:t xml:space="preserve"> s</w:t>
      </w:r>
      <w:r w:rsidRPr="00560E43">
        <w:rPr>
          <w:rFonts w:ascii="Times New Roman" w:hAnsi="Times New Roman"/>
          <w:color w:val="000000" w:themeColor="text1"/>
        </w:rPr>
        <w:t xml:space="preserve">upport the selection of </w:t>
      </w:r>
      <w:proofErr w:type="spellStart"/>
      <w:r w:rsidRPr="00560E43">
        <w:rPr>
          <w:rFonts w:ascii="Times New Roman" w:hAnsi="Times New Roman"/>
          <w:color w:val="000000" w:themeColor="text1"/>
        </w:rPr>
        <w:t>normPR</w:t>
      </w:r>
      <w:proofErr w:type="spellEnd"/>
      <w:r w:rsidRPr="00560E43">
        <w:rPr>
          <w:rFonts w:ascii="Times New Roman" w:hAnsi="Times New Roman"/>
          <w:color w:val="000000" w:themeColor="text1"/>
        </w:rPr>
        <w:t xml:space="preserve"> and </w:t>
      </w:r>
      <w:proofErr w:type="spellStart"/>
      <w:r w:rsidRPr="00560E43">
        <w:rPr>
          <w:rFonts w:ascii="Times New Roman" w:hAnsi="Times New Roman"/>
          <w:color w:val="000000" w:themeColor="text1"/>
        </w:rPr>
        <w:t>relMAE</w:t>
      </w:r>
      <w:proofErr w:type="spellEnd"/>
      <w:r w:rsidRPr="00560E43">
        <w:rPr>
          <w:rFonts w:ascii="Times New Roman" w:hAnsi="Times New Roman"/>
          <w:color w:val="000000" w:themeColor="text1"/>
        </w:rPr>
        <w:t xml:space="preserve"> as the primary performance metrics. Alternative metrics are useful as sensitivity or diagnostic measures and recover the same overall degradation direction, but they do not satisfy the full study-specific requirements for primary cross-task and cross-distribution comparison. </w:t>
      </w:r>
      <w:proofErr w:type="spellStart"/>
      <w:r w:rsidRPr="00560E43">
        <w:rPr>
          <w:rFonts w:ascii="Times New Roman" w:hAnsi="Times New Roman"/>
          <w:color w:val="000000" w:themeColor="text1"/>
        </w:rPr>
        <w:t>normPR</w:t>
      </w:r>
      <w:proofErr w:type="spellEnd"/>
      <w:r w:rsidRPr="00560E43">
        <w:rPr>
          <w:rFonts w:ascii="Times New Roman" w:hAnsi="Times New Roman"/>
          <w:color w:val="000000" w:themeColor="text1"/>
        </w:rPr>
        <w:t xml:space="preserve"> provides precision–recall-scale ranking normalized to the positive-rate baseline, and </w:t>
      </w:r>
      <w:proofErr w:type="spellStart"/>
      <w:r w:rsidRPr="00560E43">
        <w:rPr>
          <w:rFonts w:ascii="Times New Roman" w:hAnsi="Times New Roman"/>
          <w:color w:val="000000" w:themeColor="text1"/>
        </w:rPr>
        <w:t>relMAE</w:t>
      </w:r>
      <w:proofErr w:type="spellEnd"/>
      <w:r w:rsidRPr="00560E43">
        <w:rPr>
          <w:rFonts w:ascii="Times New Roman" w:hAnsi="Times New Roman"/>
          <w:color w:val="000000" w:themeColor="text1"/>
        </w:rPr>
        <w:t xml:space="preserve"> provides numerical error magnitude normalized to the target scale of the evaluated subset.</w:t>
      </w:r>
    </w:p>
    <w:p w14:paraId="2497620A" w14:textId="77777777" w:rsidR="00221421" w:rsidRPr="00CB63E4"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p>
    <w:p w14:paraId="5E98CD42" w14:textId="61B3DB48" w:rsidR="00221421" w:rsidRPr="00EF5D5F"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r w:rsidRPr="00EF5D5F">
        <w:rPr>
          <w:rFonts w:ascii="Times New Roman" w:hAnsi="Times New Roman"/>
          <w:b/>
          <w:bCs/>
          <w:color w:val="000000" w:themeColor="text1"/>
        </w:rPr>
        <w:lastRenderedPageBreak/>
        <w:t xml:space="preserve">Supplementary Table </w:t>
      </w:r>
      <w:r w:rsidR="00B77EBF" w:rsidRPr="00EF5D5F">
        <w:rPr>
          <w:rFonts w:ascii="Times New Roman" w:hAnsi="Times New Roman" w:hint="eastAsia"/>
          <w:b/>
          <w:bCs/>
          <w:color w:val="000000" w:themeColor="text1"/>
        </w:rPr>
        <w:t>6</w:t>
      </w:r>
      <w:r w:rsidRPr="00EF5D5F">
        <w:rPr>
          <w:rFonts w:ascii="Times New Roman" w:hAnsi="Times New Roman"/>
          <w:b/>
          <w:bCs/>
          <w:color w:val="000000" w:themeColor="text1"/>
        </w:rPr>
        <w:t xml:space="preserve">. Metric requirements for primary no-scaffold performance comparisons. </w:t>
      </w:r>
      <w:r w:rsidRPr="00EF5D5F">
        <w:rPr>
          <w:rFonts w:ascii="Times New Roman" w:hAnsi="Times New Roman"/>
          <w:color w:val="000000" w:themeColor="text1"/>
        </w:rPr>
        <w:t xml:space="preserve">The table summarizes the study-specific requirements used to select primary performance metrics for cross-task and cross-distribution comparison. AP, ROC-AUC, MAE, RMSE, </w:t>
      </w: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Pr="00EF5D5F">
        <w:rPr>
          <w:rFonts w:ascii="Times New Roman" w:hAnsi="Times New Roman"/>
          <w:color w:val="000000" w:themeColor="text1"/>
        </w:rPr>
        <w:t xml:space="preserve">, Pearson </w:t>
      </w:r>
      <m:oMath>
        <m:r>
          <w:rPr>
            <w:rFonts w:ascii="Cambria Math" w:hAnsi="Cambria Math"/>
            <w:color w:val="000000" w:themeColor="text1"/>
          </w:rPr>
          <m:t>r</m:t>
        </m:r>
      </m:oMath>
      <w:r w:rsidRPr="00EF5D5F">
        <w:rPr>
          <w:rFonts w:ascii="Times New Roman" w:hAnsi="Times New Roman"/>
          <w:color w:val="000000" w:themeColor="text1"/>
        </w:rPr>
        <w:t xml:space="preserve">, and Spearman </w:t>
      </w:r>
      <m:oMath>
        <m:r>
          <w:rPr>
            <w:rFonts w:ascii="Cambria Math" w:hAnsi="Cambria Math"/>
            <w:color w:val="000000" w:themeColor="text1"/>
          </w:rPr>
          <m:t>ρ</m:t>
        </m:r>
      </m:oMath>
      <w:r w:rsidRPr="00EF5D5F">
        <w:rPr>
          <w:rFonts w:ascii="Times New Roman" w:hAnsi="Times New Roman"/>
          <w:color w:val="000000" w:themeColor="text1"/>
        </w:rPr>
        <w:t xml:space="preserve"> are included as alternative or sensitivity metrics. normPR was selected as the primary classification metric because it normalizes precision–recall performance against the positive-rate baseline. relMAE was selected as the primary regression metric because it normalizes numerical error magnitude for target scale.</w:t>
      </w:r>
    </w:p>
    <w:tbl>
      <w:tblPr>
        <w:tblW w:w="0" w:type="auto"/>
        <w:tblLayout w:type="fixed"/>
        <w:tblLook w:val="04A0" w:firstRow="1" w:lastRow="0" w:firstColumn="1" w:lastColumn="0" w:noHBand="0" w:noVBand="1"/>
      </w:tblPr>
      <w:tblGrid>
        <w:gridCol w:w="817"/>
        <w:gridCol w:w="1559"/>
        <w:gridCol w:w="1276"/>
        <w:gridCol w:w="1559"/>
        <w:gridCol w:w="2127"/>
        <w:gridCol w:w="1184"/>
      </w:tblGrid>
      <w:tr w:rsidR="00221421" w:rsidRPr="00472A9A" w14:paraId="5BAC17A3" w14:textId="77777777" w:rsidTr="00A54F0D">
        <w:trPr>
          <w:trHeight w:val="439"/>
        </w:trPr>
        <w:tc>
          <w:tcPr>
            <w:tcW w:w="8522" w:type="dxa"/>
            <w:gridSpan w:val="6"/>
            <w:tcBorders>
              <w:top w:val="nil"/>
              <w:left w:val="nil"/>
              <w:bottom w:val="single" w:sz="4" w:space="0" w:color="auto"/>
              <w:right w:val="nil"/>
            </w:tcBorders>
            <w:shd w:val="clear" w:color="000000" w:fill="D9EAF7"/>
            <w:tcMar>
              <w:left w:w="28" w:type="dxa"/>
              <w:right w:w="28" w:type="dxa"/>
            </w:tcMar>
            <w:vAlign w:val="center"/>
            <w:hideMark/>
          </w:tcPr>
          <w:p w14:paraId="27073C96" w14:textId="77777777" w:rsidR="00221421" w:rsidRPr="00472A9A" w:rsidRDefault="00221421" w:rsidP="00A54F0D">
            <w:pPr>
              <w:widowControl/>
              <w:jc w:val="left"/>
              <w:rPr>
                <w:rFonts w:ascii="Times New Roman" w:eastAsia="宋体" w:hAnsi="Times New Roman" w:cs="Times New Roman"/>
                <w:b/>
                <w:bCs/>
                <w:color w:val="000000"/>
                <w:kern w:val="0"/>
                <w:szCs w:val="21"/>
              </w:rPr>
            </w:pPr>
            <w:r w:rsidRPr="00472A9A">
              <w:rPr>
                <w:rFonts w:ascii="Times New Roman" w:eastAsia="宋体" w:hAnsi="Times New Roman" w:cs="Times New Roman"/>
                <w:b/>
                <w:bCs/>
                <w:color w:val="000000"/>
                <w:kern w:val="0"/>
                <w:szCs w:val="21"/>
              </w:rPr>
              <w:t>Panel A. Classification metrics</w:t>
            </w:r>
          </w:p>
        </w:tc>
      </w:tr>
      <w:tr w:rsidR="00221421" w:rsidRPr="00CB63E4" w14:paraId="480F8BAB" w14:textId="77777777" w:rsidTr="00A54F0D">
        <w:trPr>
          <w:trHeight w:val="762"/>
        </w:trPr>
        <w:tc>
          <w:tcPr>
            <w:tcW w:w="817"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7413BD8D"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Metric</w:t>
            </w:r>
          </w:p>
        </w:tc>
        <w:tc>
          <w:tcPr>
            <w:tcW w:w="1559"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345BB54C"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PR-scale ranking metric</w:t>
            </w:r>
          </w:p>
        </w:tc>
        <w:tc>
          <w:tcPr>
            <w:tcW w:w="1276"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3D46EDD1"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Positive-rate baseline normalized</w:t>
            </w:r>
          </w:p>
        </w:tc>
        <w:tc>
          <w:tcPr>
            <w:tcW w:w="1559"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651E3028"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Direct prior-only baseline</w:t>
            </w:r>
          </w:p>
        </w:tc>
        <w:tc>
          <w:tcPr>
            <w:tcW w:w="2127"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522A6870"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Cross-task/subset comparability</w:t>
            </w:r>
          </w:p>
        </w:tc>
        <w:tc>
          <w:tcPr>
            <w:tcW w:w="1184"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3FF57ED5"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Role in this study</w:t>
            </w:r>
          </w:p>
        </w:tc>
      </w:tr>
      <w:tr w:rsidR="00221421" w:rsidRPr="00CB63E4" w14:paraId="6C238EF1" w14:textId="77777777" w:rsidTr="00A54F0D">
        <w:trPr>
          <w:trHeight w:val="559"/>
        </w:trPr>
        <w:tc>
          <w:tcPr>
            <w:tcW w:w="817"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76DF43E"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AP</w:t>
            </w:r>
          </w:p>
        </w:tc>
        <w:tc>
          <w:tcPr>
            <w:tcW w:w="1559"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03FAF2F"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1276"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563094E9"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No</w:t>
            </w:r>
          </w:p>
        </w:tc>
        <w:tc>
          <w:tcPr>
            <w:tcW w:w="1559"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20CD8BC8"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No; random baseline depends on positive rate</w:t>
            </w:r>
          </w:p>
        </w:tc>
        <w:tc>
          <w:tcPr>
            <w:tcW w:w="2127"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8784908"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Limited when positive rates differ</w:t>
            </w:r>
          </w:p>
        </w:tc>
        <w:tc>
          <w:tcPr>
            <w:tcW w:w="1184"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996756D"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Sensitivity metric</w:t>
            </w:r>
          </w:p>
        </w:tc>
      </w:tr>
      <w:tr w:rsidR="00221421" w:rsidRPr="00CB63E4" w14:paraId="1C5788E0" w14:textId="77777777" w:rsidTr="00A54F0D">
        <w:trPr>
          <w:trHeight w:val="559"/>
        </w:trPr>
        <w:tc>
          <w:tcPr>
            <w:tcW w:w="81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B2FA42B"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ROC-AUC</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DB9DFC2"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No; ROC-scale ranking metric</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CA0306"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Not applicable</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6E2C615"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 random baseline = 0.5</w:t>
            </w:r>
          </w:p>
        </w:tc>
        <w:tc>
          <w:tcPr>
            <w:tcW w:w="21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D609B8"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Partial, but not PR-baseline interpretable</w:t>
            </w:r>
          </w:p>
        </w:tc>
        <w:tc>
          <w:tcPr>
            <w:tcW w:w="118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23F9583"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Sensitivity metric</w:t>
            </w:r>
          </w:p>
        </w:tc>
      </w:tr>
      <w:tr w:rsidR="00221421" w:rsidRPr="00CB63E4" w14:paraId="046AA781" w14:textId="77777777" w:rsidTr="00A54F0D">
        <w:trPr>
          <w:trHeight w:val="559"/>
        </w:trPr>
        <w:tc>
          <w:tcPr>
            <w:tcW w:w="817"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652ABB63" w14:textId="77777777" w:rsidR="00221421" w:rsidRPr="00472A9A" w:rsidRDefault="00221421" w:rsidP="00A54F0D">
            <w:pPr>
              <w:widowControl/>
              <w:jc w:val="center"/>
              <w:rPr>
                <w:rFonts w:ascii="Times New Roman" w:eastAsia="宋体" w:hAnsi="Times New Roman" w:cs="Times New Roman"/>
                <w:color w:val="000000"/>
                <w:kern w:val="0"/>
                <w:sz w:val="18"/>
                <w:szCs w:val="18"/>
              </w:rPr>
            </w:pPr>
            <w:proofErr w:type="spellStart"/>
            <w:r w:rsidRPr="00472A9A">
              <w:rPr>
                <w:rFonts w:ascii="Times New Roman" w:eastAsia="宋体" w:hAnsi="Times New Roman" w:cs="Times New Roman"/>
                <w:color w:val="000000"/>
                <w:kern w:val="0"/>
                <w:sz w:val="18"/>
                <w:szCs w:val="18"/>
              </w:rPr>
              <w:t>normPR</w:t>
            </w:r>
            <w:proofErr w:type="spellEnd"/>
          </w:p>
        </w:tc>
        <w:tc>
          <w:tcPr>
            <w:tcW w:w="1559"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33639FC7"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1276"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FF574D4"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1559"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568FB332"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 xml:space="preserve">Yes; </w:t>
            </w:r>
            <w:proofErr w:type="spellStart"/>
            <w:r w:rsidRPr="00472A9A">
              <w:rPr>
                <w:rFonts w:ascii="Times New Roman" w:eastAsia="宋体" w:hAnsi="Times New Roman" w:cs="Times New Roman"/>
                <w:color w:val="000000"/>
                <w:kern w:val="0"/>
                <w:sz w:val="18"/>
                <w:szCs w:val="18"/>
              </w:rPr>
              <w:t>normPR</w:t>
            </w:r>
            <w:proofErr w:type="spellEnd"/>
            <w:r w:rsidRPr="00472A9A">
              <w:rPr>
                <w:rFonts w:ascii="Times New Roman" w:eastAsia="宋体" w:hAnsi="Times New Roman" w:cs="Times New Roman"/>
                <w:color w:val="000000"/>
                <w:kern w:val="0"/>
                <w:sz w:val="18"/>
                <w:szCs w:val="18"/>
              </w:rPr>
              <w:t xml:space="preserve"> = 0</w:t>
            </w:r>
          </w:p>
        </w:tc>
        <w:tc>
          <w:tcPr>
            <w:tcW w:w="2127"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61DA5842"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1184"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078C6AD"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Primary metric</w:t>
            </w:r>
          </w:p>
        </w:tc>
      </w:tr>
      <w:tr w:rsidR="00221421" w:rsidRPr="00CB63E4" w14:paraId="11AC6D61" w14:textId="77777777" w:rsidTr="00A54F0D">
        <w:trPr>
          <w:trHeight w:val="285"/>
        </w:trPr>
        <w:tc>
          <w:tcPr>
            <w:tcW w:w="817" w:type="dxa"/>
            <w:tcBorders>
              <w:top w:val="single" w:sz="4" w:space="0" w:color="auto"/>
              <w:left w:val="nil"/>
              <w:bottom w:val="nil"/>
              <w:right w:val="nil"/>
            </w:tcBorders>
            <w:noWrap/>
            <w:tcMar>
              <w:left w:w="28" w:type="dxa"/>
              <w:right w:w="28" w:type="dxa"/>
            </w:tcMar>
            <w:vAlign w:val="center"/>
            <w:hideMark/>
          </w:tcPr>
          <w:p w14:paraId="0AA8AC60" w14:textId="77777777" w:rsidR="00221421" w:rsidRPr="00472A9A" w:rsidRDefault="00221421" w:rsidP="00A54F0D">
            <w:pPr>
              <w:widowControl/>
              <w:jc w:val="center"/>
              <w:rPr>
                <w:rFonts w:ascii="Times New Roman" w:eastAsia="宋体" w:hAnsi="Times New Roman" w:cs="Times New Roman"/>
                <w:color w:val="000000"/>
                <w:kern w:val="0"/>
                <w:sz w:val="18"/>
                <w:szCs w:val="18"/>
              </w:rPr>
            </w:pPr>
          </w:p>
        </w:tc>
        <w:tc>
          <w:tcPr>
            <w:tcW w:w="1559" w:type="dxa"/>
            <w:tcBorders>
              <w:top w:val="single" w:sz="4" w:space="0" w:color="auto"/>
              <w:left w:val="nil"/>
              <w:bottom w:val="nil"/>
              <w:right w:val="nil"/>
            </w:tcBorders>
            <w:noWrap/>
            <w:tcMar>
              <w:left w:w="28" w:type="dxa"/>
              <w:right w:w="28" w:type="dxa"/>
            </w:tcMar>
            <w:vAlign w:val="center"/>
            <w:hideMark/>
          </w:tcPr>
          <w:p w14:paraId="03E98E4F" w14:textId="77777777" w:rsidR="00221421" w:rsidRPr="00472A9A" w:rsidRDefault="00221421" w:rsidP="00A54F0D">
            <w:pPr>
              <w:widowControl/>
              <w:jc w:val="center"/>
              <w:rPr>
                <w:rFonts w:ascii="Times New Roman" w:eastAsia="Times New Roman" w:hAnsi="Times New Roman" w:cs="Times New Roman"/>
                <w:kern w:val="0"/>
                <w:sz w:val="18"/>
                <w:szCs w:val="18"/>
              </w:rPr>
            </w:pPr>
          </w:p>
        </w:tc>
        <w:tc>
          <w:tcPr>
            <w:tcW w:w="1276" w:type="dxa"/>
            <w:tcBorders>
              <w:top w:val="single" w:sz="4" w:space="0" w:color="auto"/>
              <w:left w:val="nil"/>
              <w:bottom w:val="nil"/>
              <w:right w:val="nil"/>
            </w:tcBorders>
            <w:noWrap/>
            <w:tcMar>
              <w:left w:w="28" w:type="dxa"/>
              <w:right w:w="28" w:type="dxa"/>
            </w:tcMar>
            <w:vAlign w:val="center"/>
            <w:hideMark/>
          </w:tcPr>
          <w:p w14:paraId="32051F5A" w14:textId="77777777" w:rsidR="00221421" w:rsidRPr="00472A9A" w:rsidRDefault="00221421" w:rsidP="00A54F0D">
            <w:pPr>
              <w:widowControl/>
              <w:jc w:val="center"/>
              <w:rPr>
                <w:rFonts w:ascii="Times New Roman" w:eastAsia="Times New Roman" w:hAnsi="Times New Roman" w:cs="Times New Roman"/>
                <w:kern w:val="0"/>
                <w:sz w:val="18"/>
                <w:szCs w:val="18"/>
              </w:rPr>
            </w:pPr>
          </w:p>
        </w:tc>
        <w:tc>
          <w:tcPr>
            <w:tcW w:w="1559" w:type="dxa"/>
            <w:tcBorders>
              <w:top w:val="single" w:sz="4" w:space="0" w:color="auto"/>
              <w:left w:val="nil"/>
              <w:bottom w:val="nil"/>
              <w:right w:val="nil"/>
            </w:tcBorders>
            <w:noWrap/>
            <w:tcMar>
              <w:left w:w="28" w:type="dxa"/>
              <w:right w:w="28" w:type="dxa"/>
            </w:tcMar>
            <w:vAlign w:val="center"/>
            <w:hideMark/>
          </w:tcPr>
          <w:p w14:paraId="09909172" w14:textId="77777777" w:rsidR="00221421" w:rsidRPr="00472A9A" w:rsidRDefault="00221421" w:rsidP="00A54F0D">
            <w:pPr>
              <w:widowControl/>
              <w:jc w:val="center"/>
              <w:rPr>
                <w:rFonts w:ascii="Times New Roman" w:eastAsia="Times New Roman" w:hAnsi="Times New Roman" w:cs="Times New Roman"/>
                <w:kern w:val="0"/>
                <w:sz w:val="18"/>
                <w:szCs w:val="18"/>
              </w:rPr>
            </w:pPr>
          </w:p>
        </w:tc>
        <w:tc>
          <w:tcPr>
            <w:tcW w:w="2127" w:type="dxa"/>
            <w:tcBorders>
              <w:top w:val="single" w:sz="4" w:space="0" w:color="auto"/>
              <w:left w:val="nil"/>
              <w:bottom w:val="nil"/>
              <w:right w:val="nil"/>
            </w:tcBorders>
            <w:noWrap/>
            <w:tcMar>
              <w:left w:w="28" w:type="dxa"/>
              <w:right w:w="28" w:type="dxa"/>
            </w:tcMar>
            <w:vAlign w:val="center"/>
            <w:hideMark/>
          </w:tcPr>
          <w:p w14:paraId="0A287C6A" w14:textId="77777777" w:rsidR="00221421" w:rsidRPr="00472A9A" w:rsidRDefault="00221421" w:rsidP="00A54F0D">
            <w:pPr>
              <w:widowControl/>
              <w:jc w:val="center"/>
              <w:rPr>
                <w:rFonts w:ascii="Times New Roman" w:eastAsia="Times New Roman" w:hAnsi="Times New Roman" w:cs="Times New Roman"/>
                <w:kern w:val="0"/>
                <w:sz w:val="18"/>
                <w:szCs w:val="18"/>
              </w:rPr>
            </w:pPr>
          </w:p>
        </w:tc>
        <w:tc>
          <w:tcPr>
            <w:tcW w:w="1184" w:type="dxa"/>
            <w:tcBorders>
              <w:top w:val="single" w:sz="4" w:space="0" w:color="auto"/>
              <w:left w:val="nil"/>
              <w:bottom w:val="nil"/>
              <w:right w:val="nil"/>
            </w:tcBorders>
            <w:noWrap/>
            <w:tcMar>
              <w:left w:w="28" w:type="dxa"/>
              <w:right w:w="28" w:type="dxa"/>
            </w:tcMar>
            <w:vAlign w:val="center"/>
            <w:hideMark/>
          </w:tcPr>
          <w:p w14:paraId="4E399240" w14:textId="77777777" w:rsidR="00221421" w:rsidRPr="00472A9A" w:rsidRDefault="00221421" w:rsidP="00A54F0D">
            <w:pPr>
              <w:widowControl/>
              <w:jc w:val="center"/>
              <w:rPr>
                <w:rFonts w:ascii="Times New Roman" w:eastAsia="Times New Roman" w:hAnsi="Times New Roman" w:cs="Times New Roman"/>
                <w:kern w:val="0"/>
                <w:sz w:val="18"/>
                <w:szCs w:val="18"/>
              </w:rPr>
            </w:pPr>
          </w:p>
        </w:tc>
      </w:tr>
      <w:tr w:rsidR="00221421" w:rsidRPr="00472A9A" w14:paraId="01F47AF2" w14:textId="77777777" w:rsidTr="00A54F0D">
        <w:trPr>
          <w:trHeight w:val="439"/>
        </w:trPr>
        <w:tc>
          <w:tcPr>
            <w:tcW w:w="8522" w:type="dxa"/>
            <w:gridSpan w:val="6"/>
            <w:tcBorders>
              <w:top w:val="nil"/>
              <w:left w:val="nil"/>
              <w:bottom w:val="single" w:sz="4" w:space="0" w:color="auto"/>
              <w:right w:val="nil"/>
            </w:tcBorders>
            <w:shd w:val="clear" w:color="000000" w:fill="D9EAF7"/>
            <w:tcMar>
              <w:left w:w="28" w:type="dxa"/>
              <w:right w:w="28" w:type="dxa"/>
            </w:tcMar>
            <w:vAlign w:val="center"/>
            <w:hideMark/>
          </w:tcPr>
          <w:p w14:paraId="1EECEAB2" w14:textId="77777777" w:rsidR="00221421" w:rsidRPr="00472A9A" w:rsidRDefault="00221421" w:rsidP="00A54F0D">
            <w:pPr>
              <w:widowControl/>
              <w:jc w:val="left"/>
              <w:rPr>
                <w:rFonts w:ascii="Times New Roman" w:eastAsia="宋体" w:hAnsi="Times New Roman" w:cs="Times New Roman"/>
                <w:b/>
                <w:bCs/>
                <w:color w:val="000000"/>
                <w:kern w:val="0"/>
                <w:szCs w:val="21"/>
              </w:rPr>
            </w:pPr>
            <w:r w:rsidRPr="00472A9A">
              <w:rPr>
                <w:rFonts w:ascii="Times New Roman" w:eastAsia="宋体" w:hAnsi="Times New Roman" w:cs="Times New Roman"/>
                <w:b/>
                <w:bCs/>
                <w:color w:val="000000"/>
                <w:kern w:val="0"/>
                <w:szCs w:val="21"/>
              </w:rPr>
              <w:t>Panel B. Regression metrics</w:t>
            </w:r>
          </w:p>
        </w:tc>
      </w:tr>
      <w:tr w:rsidR="00221421" w:rsidRPr="00CB63E4" w14:paraId="436C3230" w14:textId="77777777" w:rsidTr="00A54F0D">
        <w:trPr>
          <w:trHeight w:val="762"/>
        </w:trPr>
        <w:tc>
          <w:tcPr>
            <w:tcW w:w="817"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1B1D45F2"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Metric</w:t>
            </w:r>
          </w:p>
        </w:tc>
        <w:tc>
          <w:tcPr>
            <w:tcW w:w="1559"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4D1118F3"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Measures numerical error magnitude</w:t>
            </w:r>
          </w:p>
        </w:tc>
        <w:tc>
          <w:tcPr>
            <w:tcW w:w="1276"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23F7106D"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Invariant to target rescaling</w:t>
            </w:r>
          </w:p>
        </w:tc>
        <w:tc>
          <w:tcPr>
            <w:tcW w:w="1559"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583DD986"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Unit-free</w:t>
            </w:r>
          </w:p>
        </w:tc>
        <w:tc>
          <w:tcPr>
            <w:tcW w:w="2127"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57CEBECC"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Cross-task/subset comparability</w:t>
            </w:r>
          </w:p>
        </w:tc>
        <w:tc>
          <w:tcPr>
            <w:tcW w:w="1184" w:type="dxa"/>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317A7F23" w14:textId="77777777" w:rsidR="00221421" w:rsidRPr="00472A9A" w:rsidRDefault="00221421" w:rsidP="00A54F0D">
            <w:pPr>
              <w:widowControl/>
              <w:jc w:val="center"/>
              <w:rPr>
                <w:rFonts w:ascii="Times New Roman" w:eastAsia="宋体" w:hAnsi="Times New Roman" w:cs="Times New Roman"/>
                <w:b/>
                <w:bCs/>
                <w:color w:val="FFFFFF"/>
                <w:kern w:val="0"/>
                <w:sz w:val="18"/>
                <w:szCs w:val="18"/>
              </w:rPr>
            </w:pPr>
            <w:r w:rsidRPr="00472A9A">
              <w:rPr>
                <w:rFonts w:ascii="Times New Roman" w:eastAsia="宋体" w:hAnsi="Times New Roman" w:cs="Times New Roman"/>
                <w:b/>
                <w:bCs/>
                <w:color w:val="FFFFFF"/>
                <w:kern w:val="0"/>
                <w:sz w:val="18"/>
                <w:szCs w:val="18"/>
              </w:rPr>
              <w:t>Role in this study</w:t>
            </w:r>
          </w:p>
        </w:tc>
      </w:tr>
      <w:tr w:rsidR="00221421" w:rsidRPr="00CB63E4" w14:paraId="268A72AB" w14:textId="77777777" w:rsidTr="00A54F0D">
        <w:trPr>
          <w:trHeight w:val="559"/>
        </w:trPr>
        <w:tc>
          <w:tcPr>
            <w:tcW w:w="817"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28CE386D"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MAE</w:t>
            </w:r>
          </w:p>
        </w:tc>
        <w:tc>
          <w:tcPr>
            <w:tcW w:w="1559"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A577109"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1276"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57982C07"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No</w:t>
            </w:r>
          </w:p>
        </w:tc>
        <w:tc>
          <w:tcPr>
            <w:tcW w:w="1559"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3DDE682"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No</w:t>
            </w:r>
          </w:p>
        </w:tc>
        <w:tc>
          <w:tcPr>
            <w:tcW w:w="2127"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2E0B428"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Limited when target scales differ</w:t>
            </w:r>
          </w:p>
        </w:tc>
        <w:tc>
          <w:tcPr>
            <w:tcW w:w="1184"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316C65CF"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Sensitivity metric</w:t>
            </w:r>
          </w:p>
        </w:tc>
      </w:tr>
      <w:tr w:rsidR="00221421" w:rsidRPr="00CB63E4" w14:paraId="6306B442" w14:textId="77777777" w:rsidTr="00A54F0D">
        <w:trPr>
          <w:trHeight w:val="559"/>
        </w:trPr>
        <w:tc>
          <w:tcPr>
            <w:tcW w:w="81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85DD401"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RMSE</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29AE196"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ACD0C4F"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No</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75E2438"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No</w:t>
            </w:r>
          </w:p>
        </w:tc>
        <w:tc>
          <w:tcPr>
            <w:tcW w:w="21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A03303"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Limited; more sensitive to large residuals</w:t>
            </w:r>
          </w:p>
        </w:tc>
        <w:tc>
          <w:tcPr>
            <w:tcW w:w="118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D1DC8B"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Sensitivity metric</w:t>
            </w:r>
          </w:p>
        </w:tc>
      </w:tr>
      <w:tr w:rsidR="00221421" w:rsidRPr="00CB63E4" w14:paraId="674B17ED" w14:textId="77777777" w:rsidTr="00A54F0D">
        <w:trPr>
          <w:trHeight w:val="559"/>
        </w:trPr>
        <w:tc>
          <w:tcPr>
            <w:tcW w:w="817"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33E3A2C"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R²</w:t>
            </w:r>
          </w:p>
        </w:tc>
        <w:tc>
          <w:tcPr>
            <w:tcW w:w="1559"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554A5691"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No</w:t>
            </w:r>
          </w:p>
        </w:tc>
        <w:tc>
          <w:tcPr>
            <w:tcW w:w="1276"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FE7D570"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Partly</w:t>
            </w:r>
          </w:p>
        </w:tc>
        <w:tc>
          <w:tcPr>
            <w:tcW w:w="1559"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BF3FE95"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2127"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A7A6C3F"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Limited by test-set variance</w:t>
            </w:r>
          </w:p>
        </w:tc>
        <w:tc>
          <w:tcPr>
            <w:tcW w:w="1184"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597B016"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Sensitivity metric</w:t>
            </w:r>
          </w:p>
        </w:tc>
      </w:tr>
      <w:tr w:rsidR="00221421" w:rsidRPr="00CB63E4" w14:paraId="3C0CA857" w14:textId="77777777" w:rsidTr="00A54F0D">
        <w:trPr>
          <w:trHeight w:val="559"/>
        </w:trPr>
        <w:tc>
          <w:tcPr>
            <w:tcW w:w="81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6E1DA6E"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Pearson r</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85870D"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No</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A9AD670"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2162EE"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21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DCE893"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Does not measure numerical error magnitude</w:t>
            </w:r>
          </w:p>
        </w:tc>
        <w:tc>
          <w:tcPr>
            <w:tcW w:w="118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D33E5F"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Sensitivity metric</w:t>
            </w:r>
          </w:p>
        </w:tc>
      </w:tr>
      <w:tr w:rsidR="00221421" w:rsidRPr="00CB63E4" w14:paraId="2F76F6CF" w14:textId="77777777" w:rsidTr="00A54F0D">
        <w:trPr>
          <w:trHeight w:val="559"/>
        </w:trPr>
        <w:tc>
          <w:tcPr>
            <w:tcW w:w="817"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CA2E5AD"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Spearman ρ</w:t>
            </w:r>
          </w:p>
        </w:tc>
        <w:tc>
          <w:tcPr>
            <w:tcW w:w="1559"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2051F00C"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No</w:t>
            </w:r>
          </w:p>
        </w:tc>
        <w:tc>
          <w:tcPr>
            <w:tcW w:w="1276"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272B9CE"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1559"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64EC538"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2127"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6F09D5C"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Rank-only; does not measure numerical error magnitude</w:t>
            </w:r>
          </w:p>
        </w:tc>
        <w:tc>
          <w:tcPr>
            <w:tcW w:w="1184" w:type="dxa"/>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27D19CBE"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Sensitivity metric</w:t>
            </w:r>
          </w:p>
        </w:tc>
      </w:tr>
      <w:tr w:rsidR="00221421" w:rsidRPr="00CB63E4" w14:paraId="7A49C97C" w14:textId="77777777" w:rsidTr="00A54F0D">
        <w:trPr>
          <w:trHeight w:val="559"/>
        </w:trPr>
        <w:tc>
          <w:tcPr>
            <w:tcW w:w="81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E733DD" w14:textId="77777777" w:rsidR="00221421" w:rsidRPr="00472A9A" w:rsidRDefault="00221421" w:rsidP="00A54F0D">
            <w:pPr>
              <w:widowControl/>
              <w:jc w:val="center"/>
              <w:rPr>
                <w:rFonts w:ascii="Times New Roman" w:eastAsia="宋体" w:hAnsi="Times New Roman" w:cs="Times New Roman"/>
                <w:color w:val="000000"/>
                <w:kern w:val="0"/>
                <w:sz w:val="18"/>
                <w:szCs w:val="18"/>
              </w:rPr>
            </w:pPr>
            <w:proofErr w:type="spellStart"/>
            <w:r w:rsidRPr="00472A9A">
              <w:rPr>
                <w:rFonts w:ascii="Times New Roman" w:eastAsia="宋体" w:hAnsi="Times New Roman" w:cs="Times New Roman"/>
                <w:color w:val="000000"/>
                <w:kern w:val="0"/>
                <w:sz w:val="18"/>
                <w:szCs w:val="18"/>
              </w:rPr>
              <w:t>relMAE</w:t>
            </w:r>
            <w:proofErr w:type="spellEnd"/>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DBD5A26"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4383020"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A9AF2F5"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212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679375"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Yes</w:t>
            </w:r>
          </w:p>
        </w:tc>
        <w:tc>
          <w:tcPr>
            <w:tcW w:w="118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190C7B3" w14:textId="77777777" w:rsidR="00221421" w:rsidRPr="00472A9A" w:rsidRDefault="00221421" w:rsidP="00A54F0D">
            <w:pPr>
              <w:widowControl/>
              <w:jc w:val="center"/>
              <w:rPr>
                <w:rFonts w:ascii="Times New Roman" w:eastAsia="宋体" w:hAnsi="Times New Roman" w:cs="Times New Roman"/>
                <w:color w:val="000000"/>
                <w:kern w:val="0"/>
                <w:sz w:val="18"/>
                <w:szCs w:val="18"/>
              </w:rPr>
            </w:pPr>
            <w:r w:rsidRPr="00472A9A">
              <w:rPr>
                <w:rFonts w:ascii="Times New Roman" w:eastAsia="宋体" w:hAnsi="Times New Roman" w:cs="Times New Roman"/>
                <w:color w:val="000000"/>
                <w:kern w:val="0"/>
                <w:sz w:val="18"/>
                <w:szCs w:val="18"/>
              </w:rPr>
              <w:t>Primary metric</w:t>
            </w:r>
          </w:p>
        </w:tc>
      </w:tr>
    </w:tbl>
    <w:p w14:paraId="7BC3815F" w14:textId="77777777" w:rsidR="00221421" w:rsidRPr="00CB63E4"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p>
    <w:p w14:paraId="164705F0" w14:textId="6333A473" w:rsidR="00221421" w:rsidRPr="00EA6CC1"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r w:rsidRPr="00EA6CC1">
        <w:rPr>
          <w:rFonts w:ascii="Times New Roman" w:hAnsi="Times New Roman"/>
          <w:b/>
          <w:bCs/>
          <w:color w:val="000000" w:themeColor="text1"/>
        </w:rPr>
        <w:t xml:space="preserve">Supplementary Table </w:t>
      </w:r>
      <w:r w:rsidR="00B77EBF">
        <w:rPr>
          <w:rFonts w:ascii="Times New Roman" w:hAnsi="Times New Roman" w:hint="eastAsia"/>
          <w:b/>
          <w:bCs/>
          <w:color w:val="000000" w:themeColor="text1"/>
        </w:rPr>
        <w:t>7</w:t>
      </w:r>
      <w:r w:rsidRPr="00EA6CC1">
        <w:rPr>
          <w:rFonts w:ascii="Times New Roman" w:hAnsi="Times New Roman"/>
          <w:b/>
          <w:bCs/>
          <w:color w:val="000000" w:themeColor="text1"/>
        </w:rPr>
        <w:t>. Classification metric sensitivity under no-scaffold exposure.</w:t>
      </w:r>
      <w:r w:rsidRPr="00CB63E4">
        <w:rPr>
          <w:rFonts w:ascii="Times New Roman" w:hAnsi="Times New Roman"/>
          <w:b/>
          <w:bCs/>
          <w:color w:val="000000" w:themeColor="text1"/>
        </w:rPr>
        <w:t xml:space="preserve"> </w:t>
      </w:r>
      <w:r w:rsidRPr="00EA6CC1">
        <w:rPr>
          <w:rFonts w:ascii="Times New Roman" w:hAnsi="Times New Roman"/>
          <w:color w:val="000000" w:themeColor="text1"/>
        </w:rPr>
        <w:t xml:space="preserve">Degradation was defined as a decrease from the ordinary-fold reference to </w:t>
      </w:r>
      <w:r w:rsidRPr="00EA6CC1">
        <w:rPr>
          <w:rFonts w:ascii="Times New Roman" w:hAnsi="Times New Roman"/>
          <w:color w:val="000000" w:themeColor="text1"/>
        </w:rPr>
        <w:lastRenderedPageBreak/>
        <w:t xml:space="preserve">the no-scaffold test subset. For AP, ROC-AUC, and </w:t>
      </w:r>
      <w:proofErr w:type="spellStart"/>
      <w:r w:rsidRPr="00EA6CC1">
        <w:rPr>
          <w:rFonts w:ascii="Times New Roman" w:hAnsi="Times New Roman"/>
          <w:color w:val="000000" w:themeColor="text1"/>
        </w:rPr>
        <w:t>normPR</w:t>
      </w:r>
      <w:proofErr w:type="spellEnd"/>
      <w:r w:rsidRPr="00EA6CC1">
        <w:rPr>
          <w:rFonts w:ascii="Times New Roman" w:hAnsi="Times New Roman"/>
          <w:color w:val="000000" w:themeColor="text1"/>
        </w:rPr>
        <w:t xml:space="preserve">, the corresponding degradation scores were </w:t>
      </w:r>
      <m:oMath>
        <m:sSub>
          <m:sSubPr>
            <m:ctrlPr>
              <w:rPr>
                <w:rFonts w:ascii="Cambria Math" w:hAnsi="Cambria Math"/>
                <w:i/>
                <w:color w:val="000000" w:themeColor="text1"/>
              </w:rPr>
            </m:ctrlPr>
          </m:sSubPr>
          <m:e>
            <m:r>
              <w:rPr>
                <w:rFonts w:ascii="Cambria Math" w:hAnsi="Cambria Math"/>
                <w:color w:val="000000" w:themeColor="text1"/>
              </w:rPr>
              <m:t>D</m:t>
            </m:r>
          </m:e>
          <m:sub>
            <m:r>
              <m:rPr>
                <m:nor/>
              </m:rPr>
              <w:rPr>
                <w:rFonts w:ascii="Times New Roman" w:hAnsi="Times New Roman"/>
                <w:color w:val="000000" w:themeColor="text1"/>
              </w:rPr>
              <m:t>AP</m:t>
            </m:r>
          </m:sub>
        </m:sSub>
        <m:r>
          <w:rPr>
            <w:rFonts w:ascii="Cambria Math" w:hAnsi="Cambria Math"/>
            <w:color w:val="000000" w:themeColor="text1"/>
          </w:rPr>
          <m:t>=-</m:t>
        </m:r>
        <m:r>
          <m:rPr>
            <m:sty m:val="p"/>
          </m:rPr>
          <w:rPr>
            <w:rFonts w:ascii="Cambria Math" w:hAnsi="Cambria Math"/>
            <w:color w:val="000000" w:themeColor="text1"/>
          </w:rPr>
          <m:t>Δ</m:t>
        </m:r>
        <m:r>
          <w:rPr>
            <w:rFonts w:ascii="Cambria Math" w:hAnsi="Cambria Math"/>
            <w:color w:val="000000" w:themeColor="text1"/>
          </w:rPr>
          <m:t>AP</m:t>
        </m:r>
      </m:oMath>
      <w:r w:rsidRPr="00EA6CC1">
        <w:rPr>
          <w:rFonts w:ascii="Times New Roman" w:hAnsi="Times New Roman"/>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D</m:t>
            </m:r>
          </m:e>
          <m:sub>
            <m:r>
              <m:rPr>
                <m:nor/>
              </m:rPr>
              <w:rPr>
                <w:rFonts w:ascii="Times New Roman" w:hAnsi="Times New Roman"/>
                <w:color w:val="000000" w:themeColor="text1"/>
              </w:rPr>
              <m:t>ROC</m:t>
            </m:r>
          </m:sub>
        </m:sSub>
        <m:r>
          <w:rPr>
            <w:rFonts w:ascii="Cambria Math" w:hAnsi="Cambria Math"/>
            <w:color w:val="000000" w:themeColor="text1"/>
          </w:rPr>
          <m:t>=-</m:t>
        </m:r>
        <m:r>
          <m:rPr>
            <m:sty m:val="p"/>
          </m:rPr>
          <w:rPr>
            <w:rFonts w:ascii="Cambria Math" w:hAnsi="Cambria Math"/>
            <w:color w:val="000000" w:themeColor="text1"/>
          </w:rPr>
          <m:t>Δ</m:t>
        </m:r>
        <m:r>
          <w:rPr>
            <w:rFonts w:ascii="Cambria Math" w:hAnsi="Cambria Math"/>
            <w:color w:val="000000" w:themeColor="text1"/>
          </w:rPr>
          <m:t>ROC</m:t>
        </m:r>
        <m:r>
          <m:rPr>
            <m:nor/>
          </m:rPr>
          <w:rPr>
            <w:rFonts w:ascii="Times New Roman" w:hAnsi="Times New Roman"/>
            <w:color w:val="000000" w:themeColor="text1"/>
          </w:rPr>
          <m:t>-</m:t>
        </m:r>
        <m:r>
          <w:rPr>
            <w:rFonts w:ascii="Cambria Math" w:hAnsi="Cambria Math"/>
            <w:color w:val="000000" w:themeColor="text1"/>
          </w:rPr>
          <m:t>AUC</m:t>
        </m:r>
      </m:oMath>
      <w:r w:rsidRPr="00EA6CC1">
        <w:rPr>
          <w:rFonts w:ascii="Times New Roman" w:hAnsi="Times New Roman"/>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D</m:t>
            </m:r>
          </m:e>
          <m:sub>
            <m:r>
              <m:rPr>
                <m:nor/>
              </m:rPr>
              <w:rPr>
                <w:rFonts w:ascii="Times New Roman" w:hAnsi="Times New Roman"/>
                <w:color w:val="000000" w:themeColor="text1"/>
              </w:rPr>
              <m:t>normPR</m:t>
            </m:r>
          </m:sub>
        </m:sSub>
        <m:r>
          <w:rPr>
            <w:rFonts w:ascii="Cambria Math" w:hAnsi="Cambria Math"/>
            <w:color w:val="000000" w:themeColor="text1"/>
          </w:rPr>
          <m:t>=-</m:t>
        </m:r>
        <m:r>
          <m:rPr>
            <m:sty m:val="p"/>
          </m:rPr>
          <w:rPr>
            <w:rFonts w:ascii="Cambria Math" w:hAnsi="Cambria Math"/>
            <w:color w:val="000000" w:themeColor="text1"/>
          </w:rPr>
          <m:t>Δ</m:t>
        </m:r>
        <m:r>
          <w:rPr>
            <w:rFonts w:ascii="Cambria Math" w:hAnsi="Cambria Math"/>
            <w:color w:val="000000" w:themeColor="text1"/>
          </w:rPr>
          <m:t>normPR</m:t>
        </m:r>
      </m:oMath>
      <w:r w:rsidRPr="00EA6CC1">
        <w:rPr>
          <w:rFonts w:ascii="Times New Roman" w:hAnsi="Times New Roman"/>
          <w:color w:val="000000" w:themeColor="text1"/>
        </w:rPr>
        <w:t xml:space="preserve">. Agreement with </w:t>
      </w:r>
      <m:oMath>
        <m:sSub>
          <m:sSubPr>
            <m:ctrlPr>
              <w:rPr>
                <w:rFonts w:ascii="Cambria Math" w:hAnsi="Cambria Math"/>
                <w:i/>
                <w:color w:val="000000" w:themeColor="text1"/>
              </w:rPr>
            </m:ctrlPr>
          </m:sSubPr>
          <m:e>
            <m:r>
              <w:rPr>
                <w:rFonts w:ascii="Cambria Math" w:hAnsi="Cambria Math"/>
                <w:color w:val="000000" w:themeColor="text1"/>
              </w:rPr>
              <m:t>D</m:t>
            </m:r>
          </m:e>
          <m:sub>
            <m:r>
              <m:rPr>
                <m:nor/>
              </m:rPr>
              <w:rPr>
                <w:rFonts w:ascii="Times New Roman" w:hAnsi="Times New Roman"/>
                <w:color w:val="000000" w:themeColor="text1"/>
              </w:rPr>
              <m:t>normPR</m:t>
            </m:r>
          </m:sub>
        </m:sSub>
      </m:oMath>
      <w:r w:rsidRPr="00EA6CC1">
        <w:rPr>
          <w:rFonts w:ascii="Times New Roman" w:hAnsi="Times New Roman"/>
          <w:color w:val="000000" w:themeColor="text1"/>
        </w:rPr>
        <w:t xml:space="preserve"> reports the Spearman correlation followed by the direction-agreement rate. Medians are pooled across all retained classification model–task evaluation points.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2144"/>
        <w:gridCol w:w="1286"/>
        <w:gridCol w:w="2002"/>
        <w:gridCol w:w="2000"/>
      </w:tblGrid>
      <w:tr w:rsidR="00221421" w:rsidRPr="00CB63E4" w14:paraId="28BC5540" w14:textId="77777777" w:rsidTr="00A54F0D">
        <w:trPr>
          <w:trHeight w:val="762"/>
        </w:trPr>
        <w:tc>
          <w:tcPr>
            <w:tcW w:w="556" w:type="pct"/>
            <w:shd w:val="clear" w:color="000000" w:fill="1F4E78"/>
            <w:tcMar>
              <w:left w:w="28" w:type="dxa"/>
              <w:right w:w="28" w:type="dxa"/>
            </w:tcMar>
            <w:vAlign w:val="center"/>
            <w:hideMark/>
          </w:tcPr>
          <w:p w14:paraId="3DBB755F"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Metric</w:t>
            </w:r>
          </w:p>
        </w:tc>
        <w:tc>
          <w:tcPr>
            <w:tcW w:w="1282" w:type="pct"/>
            <w:shd w:val="clear" w:color="000000" w:fill="1F4E78"/>
            <w:tcMar>
              <w:left w:w="28" w:type="dxa"/>
              <w:right w:w="28" w:type="dxa"/>
            </w:tcMar>
            <w:vAlign w:val="center"/>
            <w:hideMark/>
          </w:tcPr>
          <w:p w14:paraId="5B92854B"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Median ordinary to no-scaffold</w:t>
            </w:r>
          </w:p>
        </w:tc>
        <w:tc>
          <w:tcPr>
            <w:tcW w:w="769" w:type="pct"/>
            <w:shd w:val="clear" w:color="000000" w:fill="1F4E78"/>
            <w:tcMar>
              <w:left w:w="28" w:type="dxa"/>
              <w:right w:w="28" w:type="dxa"/>
            </w:tcMar>
            <w:vAlign w:val="center"/>
            <w:hideMark/>
          </w:tcPr>
          <w:p w14:paraId="1F106889"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Degradation rate</w:t>
            </w:r>
          </w:p>
        </w:tc>
        <w:tc>
          <w:tcPr>
            <w:tcW w:w="1197" w:type="pct"/>
            <w:shd w:val="clear" w:color="000000" w:fill="1F4E78"/>
            <w:tcMar>
              <w:left w:w="28" w:type="dxa"/>
              <w:right w:w="28" w:type="dxa"/>
            </w:tcMar>
            <w:vAlign w:val="center"/>
            <w:hideMark/>
          </w:tcPr>
          <w:p w14:paraId="538724E3"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 xml:space="preserve">Agreement with </w:t>
            </w:r>
            <w:proofErr w:type="spellStart"/>
            <w:r w:rsidRPr="00C5254A">
              <w:rPr>
                <w:rFonts w:ascii="Times New Roman" w:eastAsia="宋体" w:hAnsi="Times New Roman" w:cs="Times New Roman"/>
                <w:b/>
                <w:bCs/>
                <w:color w:val="FFFFFF"/>
                <w:kern w:val="0"/>
                <w:sz w:val="18"/>
                <w:szCs w:val="18"/>
              </w:rPr>
              <w:t>D_normPR</w:t>
            </w:r>
            <w:proofErr w:type="spellEnd"/>
          </w:p>
        </w:tc>
        <w:tc>
          <w:tcPr>
            <w:tcW w:w="1197" w:type="pct"/>
            <w:shd w:val="clear" w:color="000000" w:fill="1F4E78"/>
            <w:tcMar>
              <w:left w:w="28" w:type="dxa"/>
              <w:right w:w="28" w:type="dxa"/>
            </w:tcMar>
            <w:vAlign w:val="center"/>
            <w:hideMark/>
          </w:tcPr>
          <w:p w14:paraId="029EFF7F"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Association with |Δ positive rate|</w:t>
            </w:r>
          </w:p>
        </w:tc>
      </w:tr>
      <w:tr w:rsidR="00221421" w:rsidRPr="00CB63E4" w14:paraId="5069488D" w14:textId="77777777" w:rsidTr="00A54F0D">
        <w:trPr>
          <w:trHeight w:val="480"/>
        </w:trPr>
        <w:tc>
          <w:tcPr>
            <w:tcW w:w="556" w:type="pct"/>
            <w:shd w:val="clear" w:color="C0E6F5" w:fill="C0E6F5"/>
            <w:tcMar>
              <w:left w:w="28" w:type="dxa"/>
              <w:right w:w="28" w:type="dxa"/>
            </w:tcMar>
            <w:vAlign w:val="center"/>
            <w:hideMark/>
          </w:tcPr>
          <w:p w14:paraId="5C1F2EE0"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AP</w:t>
            </w:r>
          </w:p>
        </w:tc>
        <w:tc>
          <w:tcPr>
            <w:tcW w:w="1282" w:type="pct"/>
            <w:shd w:val="clear" w:color="C0E6F5" w:fill="C0E6F5"/>
            <w:tcMar>
              <w:left w:w="28" w:type="dxa"/>
              <w:right w:w="28" w:type="dxa"/>
            </w:tcMar>
            <w:vAlign w:val="center"/>
            <w:hideMark/>
          </w:tcPr>
          <w:p w14:paraId="335621D1"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0.563 → 0.230 (Δ</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-0.228)</w:t>
            </w:r>
          </w:p>
        </w:tc>
        <w:tc>
          <w:tcPr>
            <w:tcW w:w="769" w:type="pct"/>
            <w:shd w:val="clear" w:color="C0E6F5" w:fill="C0E6F5"/>
            <w:tcMar>
              <w:left w:w="28" w:type="dxa"/>
              <w:right w:w="28" w:type="dxa"/>
            </w:tcMar>
            <w:vAlign w:val="center"/>
            <w:hideMark/>
          </w:tcPr>
          <w:p w14:paraId="0A5C0B9F"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89.1%</w:t>
            </w:r>
          </w:p>
        </w:tc>
        <w:tc>
          <w:tcPr>
            <w:tcW w:w="1197" w:type="pct"/>
            <w:shd w:val="clear" w:color="C0E6F5" w:fill="C0E6F5"/>
            <w:tcMar>
              <w:left w:w="28" w:type="dxa"/>
              <w:right w:w="28" w:type="dxa"/>
            </w:tcMar>
            <w:vAlign w:val="center"/>
            <w:hideMark/>
          </w:tcPr>
          <w:p w14:paraId="08368B30"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0.774; 88.0% agreement</w:t>
            </w:r>
          </w:p>
        </w:tc>
        <w:tc>
          <w:tcPr>
            <w:tcW w:w="1197" w:type="pct"/>
            <w:shd w:val="clear" w:color="C0E6F5" w:fill="C0E6F5"/>
            <w:tcMar>
              <w:left w:w="28" w:type="dxa"/>
              <w:right w:w="28" w:type="dxa"/>
            </w:tcMar>
            <w:vAlign w:val="center"/>
            <w:hideMark/>
          </w:tcPr>
          <w:p w14:paraId="2F865B4C"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-0.031</w:t>
            </w:r>
          </w:p>
        </w:tc>
      </w:tr>
      <w:tr w:rsidR="00221421" w:rsidRPr="00CB63E4" w14:paraId="730D37A5" w14:textId="77777777" w:rsidTr="00A54F0D">
        <w:trPr>
          <w:trHeight w:val="480"/>
        </w:trPr>
        <w:tc>
          <w:tcPr>
            <w:tcW w:w="556" w:type="pct"/>
            <w:tcMar>
              <w:left w:w="28" w:type="dxa"/>
              <w:right w:w="28" w:type="dxa"/>
            </w:tcMar>
            <w:vAlign w:val="center"/>
            <w:hideMark/>
          </w:tcPr>
          <w:p w14:paraId="7211302C"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ROC-AUC</w:t>
            </w:r>
          </w:p>
        </w:tc>
        <w:tc>
          <w:tcPr>
            <w:tcW w:w="1282" w:type="pct"/>
            <w:tcMar>
              <w:left w:w="28" w:type="dxa"/>
              <w:right w:w="28" w:type="dxa"/>
            </w:tcMar>
            <w:vAlign w:val="center"/>
            <w:hideMark/>
          </w:tcPr>
          <w:p w14:paraId="1871F7DB"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0.722 → 0.599 (Δ</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-0.109)</w:t>
            </w:r>
          </w:p>
        </w:tc>
        <w:tc>
          <w:tcPr>
            <w:tcW w:w="769" w:type="pct"/>
            <w:tcMar>
              <w:left w:w="28" w:type="dxa"/>
              <w:right w:w="28" w:type="dxa"/>
            </w:tcMar>
            <w:vAlign w:val="center"/>
            <w:hideMark/>
          </w:tcPr>
          <w:p w14:paraId="673E4760"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85.7%</w:t>
            </w:r>
          </w:p>
        </w:tc>
        <w:tc>
          <w:tcPr>
            <w:tcW w:w="1197" w:type="pct"/>
            <w:tcMar>
              <w:left w:w="28" w:type="dxa"/>
              <w:right w:w="28" w:type="dxa"/>
            </w:tcMar>
            <w:vAlign w:val="center"/>
            <w:hideMark/>
          </w:tcPr>
          <w:p w14:paraId="5B451E44"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0.769; 90.0% agreement</w:t>
            </w:r>
          </w:p>
        </w:tc>
        <w:tc>
          <w:tcPr>
            <w:tcW w:w="1197" w:type="pct"/>
            <w:tcMar>
              <w:left w:w="28" w:type="dxa"/>
              <w:right w:w="28" w:type="dxa"/>
            </w:tcMar>
            <w:vAlign w:val="center"/>
            <w:hideMark/>
          </w:tcPr>
          <w:p w14:paraId="05A7023B"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-0.014</w:t>
            </w:r>
          </w:p>
        </w:tc>
      </w:tr>
      <w:tr w:rsidR="00221421" w:rsidRPr="00CB63E4" w14:paraId="16710F08" w14:textId="77777777" w:rsidTr="00A54F0D">
        <w:trPr>
          <w:trHeight w:val="480"/>
        </w:trPr>
        <w:tc>
          <w:tcPr>
            <w:tcW w:w="556" w:type="pct"/>
            <w:shd w:val="clear" w:color="C0E6F5" w:fill="C0E6F5"/>
            <w:tcMar>
              <w:left w:w="28" w:type="dxa"/>
              <w:right w:w="28" w:type="dxa"/>
            </w:tcMar>
            <w:vAlign w:val="center"/>
            <w:hideMark/>
          </w:tcPr>
          <w:p w14:paraId="5D1CA735" w14:textId="77777777" w:rsidR="00221421" w:rsidRPr="00C5254A" w:rsidRDefault="00221421" w:rsidP="00A54F0D">
            <w:pPr>
              <w:widowControl/>
              <w:jc w:val="center"/>
              <w:rPr>
                <w:rFonts w:ascii="Times New Roman" w:eastAsia="宋体" w:hAnsi="Times New Roman" w:cs="Times New Roman"/>
                <w:color w:val="000000"/>
                <w:kern w:val="0"/>
                <w:sz w:val="18"/>
                <w:szCs w:val="18"/>
              </w:rPr>
            </w:pPr>
            <w:proofErr w:type="spellStart"/>
            <w:r w:rsidRPr="00C5254A">
              <w:rPr>
                <w:rFonts w:ascii="Times New Roman" w:eastAsia="宋体" w:hAnsi="Times New Roman" w:cs="Times New Roman"/>
                <w:color w:val="000000"/>
                <w:kern w:val="0"/>
                <w:sz w:val="18"/>
                <w:szCs w:val="18"/>
              </w:rPr>
              <w:t>normPR</w:t>
            </w:r>
            <w:proofErr w:type="spellEnd"/>
          </w:p>
        </w:tc>
        <w:tc>
          <w:tcPr>
            <w:tcW w:w="1282" w:type="pct"/>
            <w:shd w:val="clear" w:color="C0E6F5" w:fill="C0E6F5"/>
            <w:tcMar>
              <w:left w:w="28" w:type="dxa"/>
              <w:right w:w="28" w:type="dxa"/>
            </w:tcMar>
            <w:vAlign w:val="center"/>
            <w:hideMark/>
          </w:tcPr>
          <w:p w14:paraId="2F47763E"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0.310 → 0.060 (Δ</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-0.208)</w:t>
            </w:r>
          </w:p>
        </w:tc>
        <w:tc>
          <w:tcPr>
            <w:tcW w:w="769" w:type="pct"/>
            <w:shd w:val="clear" w:color="C0E6F5" w:fill="C0E6F5"/>
            <w:tcMar>
              <w:left w:w="28" w:type="dxa"/>
              <w:right w:w="28" w:type="dxa"/>
            </w:tcMar>
            <w:vAlign w:val="center"/>
            <w:hideMark/>
          </w:tcPr>
          <w:p w14:paraId="63900821"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90.2%</w:t>
            </w:r>
          </w:p>
        </w:tc>
        <w:tc>
          <w:tcPr>
            <w:tcW w:w="1197" w:type="pct"/>
            <w:shd w:val="clear" w:color="C0E6F5" w:fill="C0E6F5"/>
            <w:tcMar>
              <w:left w:w="28" w:type="dxa"/>
              <w:right w:w="28" w:type="dxa"/>
            </w:tcMar>
            <w:vAlign w:val="center"/>
            <w:hideMark/>
          </w:tcPr>
          <w:p w14:paraId="2794D180"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Reference</w:t>
            </w:r>
          </w:p>
        </w:tc>
        <w:tc>
          <w:tcPr>
            <w:tcW w:w="1197" w:type="pct"/>
            <w:shd w:val="clear" w:color="C0E6F5" w:fill="C0E6F5"/>
            <w:tcMar>
              <w:left w:w="28" w:type="dxa"/>
              <w:right w:w="28" w:type="dxa"/>
            </w:tcMar>
            <w:vAlign w:val="center"/>
            <w:hideMark/>
          </w:tcPr>
          <w:p w14:paraId="1335EA7A"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C5254A">
              <w:rPr>
                <w:rFonts w:ascii="Times New Roman" w:eastAsia="宋体" w:hAnsi="Times New Roman" w:cs="Times New Roman"/>
                <w:color w:val="000000"/>
                <w:kern w:val="0"/>
                <w:sz w:val="18"/>
                <w:szCs w:val="18"/>
              </w:rPr>
              <w:t>0.071</w:t>
            </w:r>
          </w:p>
        </w:tc>
      </w:tr>
    </w:tbl>
    <w:p w14:paraId="0A5A6F0A" w14:textId="77777777" w:rsidR="00221421" w:rsidRPr="00CB63E4"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p>
    <w:p w14:paraId="4A6290E6" w14:textId="5DDB169A" w:rsidR="00221421" w:rsidRPr="00CB63E4" w:rsidRDefault="00221421" w:rsidP="00221421">
      <w:pPr>
        <w:pStyle w:val="a3"/>
        <w:adjustRightInd w:val="0"/>
        <w:snapToGrid w:val="0"/>
        <w:spacing w:beforeAutospacing="0" w:afterAutospacing="0" w:line="360" w:lineRule="auto"/>
        <w:jc w:val="both"/>
        <w:rPr>
          <w:rFonts w:ascii="Times New Roman" w:hAnsi="Times New Roman"/>
          <w:b/>
          <w:bCs/>
          <w:color w:val="000000" w:themeColor="text1"/>
        </w:rPr>
      </w:pPr>
      <w:r w:rsidRPr="00EA6CC1">
        <w:rPr>
          <w:rFonts w:ascii="Times New Roman" w:hAnsi="Times New Roman"/>
          <w:b/>
          <w:bCs/>
          <w:color w:val="000000" w:themeColor="text1"/>
        </w:rPr>
        <w:t xml:space="preserve">Supplementary Table </w:t>
      </w:r>
      <w:r w:rsidR="00B77EBF">
        <w:rPr>
          <w:rFonts w:ascii="Times New Roman" w:hAnsi="Times New Roman" w:hint="eastAsia"/>
          <w:b/>
          <w:bCs/>
          <w:color w:val="000000" w:themeColor="text1"/>
        </w:rPr>
        <w:t>8</w:t>
      </w:r>
      <w:r w:rsidRPr="00EA6CC1">
        <w:rPr>
          <w:rFonts w:ascii="Times New Roman" w:hAnsi="Times New Roman"/>
          <w:b/>
          <w:bCs/>
          <w:color w:val="000000" w:themeColor="text1"/>
        </w:rPr>
        <w:t>. Near-baseline classification behavior across ranking metrics.</w:t>
      </w:r>
      <w:r w:rsidRPr="00CB63E4">
        <w:rPr>
          <w:rFonts w:ascii="Times New Roman" w:hAnsi="Times New Roman"/>
          <w:b/>
          <w:bCs/>
          <w:color w:val="000000" w:themeColor="text1"/>
        </w:rPr>
        <w:t xml:space="preserve"> </w:t>
      </w:r>
      <w:r w:rsidRPr="00EA6CC1">
        <w:rPr>
          <w:rFonts w:ascii="Times New Roman" w:hAnsi="Times New Roman"/>
          <w:color w:val="000000" w:themeColor="text1"/>
        </w:rPr>
        <w:t xml:space="preserve">The table summarizes AP, ROC-AUC, </w:t>
      </w:r>
      <w:proofErr w:type="spellStart"/>
      <w:r w:rsidRPr="00EA6CC1">
        <w:rPr>
          <w:rFonts w:ascii="Times New Roman" w:hAnsi="Times New Roman"/>
          <w:color w:val="000000" w:themeColor="text1"/>
        </w:rPr>
        <w:t>normPR</w:t>
      </w:r>
      <w:proofErr w:type="spellEnd"/>
      <w:r w:rsidRPr="00EA6CC1">
        <w:rPr>
          <w:rFonts w:ascii="Times New Roman" w:hAnsi="Times New Roman"/>
          <w:color w:val="000000" w:themeColor="text1"/>
        </w:rPr>
        <w:t xml:space="preserve">, and positive rate across </w:t>
      </w:r>
      <w:proofErr w:type="spellStart"/>
      <w:r w:rsidRPr="00EA6CC1">
        <w:rPr>
          <w:rFonts w:ascii="Times New Roman" w:hAnsi="Times New Roman"/>
          <w:color w:val="000000" w:themeColor="text1"/>
        </w:rPr>
        <w:t>normPR</w:t>
      </w:r>
      <w:proofErr w:type="spellEnd"/>
      <w:r w:rsidRPr="00EA6CC1">
        <w:rPr>
          <w:rFonts w:ascii="Times New Roman" w:hAnsi="Times New Roman"/>
          <w:color w:val="000000" w:themeColor="text1"/>
        </w:rPr>
        <w:t xml:space="preserve">-defined near-baseline subsets. Values are pooled across all retained classification model–task evaluation points. The first two rows partition evaluation points by </w:t>
      </w:r>
      <w:proofErr w:type="spellStart"/>
      <w:r w:rsidRPr="00EA6CC1">
        <w:rPr>
          <w:rFonts w:ascii="Times New Roman" w:hAnsi="Times New Roman"/>
          <w:color w:val="000000" w:themeColor="text1"/>
        </w:rPr>
        <w:t>normPR</w:t>
      </w:r>
      <w:proofErr w:type="spellEnd"/>
      <w:r w:rsidRPr="00EA6CC1">
        <w:rPr>
          <w:rFonts w:ascii="Times New Roman" w:hAnsi="Times New Roman"/>
          <w:color w:val="000000" w:themeColor="text1"/>
        </w:rPr>
        <w:t xml:space="preserve"> &gt; 0.05 and </w:t>
      </w:r>
      <w:proofErr w:type="spellStart"/>
      <w:r w:rsidRPr="00EA6CC1">
        <w:rPr>
          <w:rFonts w:ascii="Times New Roman" w:hAnsi="Times New Roman"/>
          <w:color w:val="000000" w:themeColor="text1"/>
        </w:rPr>
        <w:t>normPR</w:t>
      </w:r>
      <w:proofErr w:type="spellEnd"/>
      <w:r w:rsidRPr="00EA6CC1">
        <w:rPr>
          <w:rFonts w:ascii="Times New Roman" w:hAnsi="Times New Roman"/>
          <w:color w:val="000000" w:themeColor="text1"/>
        </w:rPr>
        <w:t xml:space="preserve"> ≤ 0.05; the </w:t>
      </w:r>
      <w:proofErr w:type="spellStart"/>
      <w:r w:rsidRPr="00EA6CC1">
        <w:rPr>
          <w:rFonts w:ascii="Times New Roman" w:hAnsi="Times New Roman"/>
          <w:color w:val="000000" w:themeColor="text1"/>
        </w:rPr>
        <w:t>normPR</w:t>
      </w:r>
      <w:proofErr w:type="spellEnd"/>
      <w:r w:rsidRPr="00EA6CC1">
        <w:rPr>
          <w:rFonts w:ascii="Times New Roman" w:hAnsi="Times New Roman"/>
          <w:color w:val="000000" w:themeColor="text1"/>
        </w:rPr>
        <w:t xml:space="preserve"> ≤ 0.02 row is a stricter subset of the near-baseline group. The ROC-AUC ≤ 0.55 row is included as a near-random ROC reference group.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709"/>
        <w:gridCol w:w="850"/>
        <w:gridCol w:w="1276"/>
        <w:gridCol w:w="1276"/>
        <w:gridCol w:w="1276"/>
        <w:gridCol w:w="1529"/>
      </w:tblGrid>
      <w:tr w:rsidR="00221421" w:rsidRPr="00CB63E4" w14:paraId="12724F20" w14:textId="77777777" w:rsidTr="00A54F0D">
        <w:trPr>
          <w:trHeight w:val="762"/>
        </w:trPr>
        <w:tc>
          <w:tcPr>
            <w:tcW w:w="865" w:type="pct"/>
            <w:shd w:val="clear" w:color="000000" w:fill="1F4E78"/>
            <w:tcMar>
              <w:left w:w="28" w:type="dxa"/>
              <w:right w:w="28" w:type="dxa"/>
            </w:tcMar>
            <w:vAlign w:val="center"/>
            <w:hideMark/>
          </w:tcPr>
          <w:p w14:paraId="425D9F39"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Subset</w:t>
            </w:r>
          </w:p>
        </w:tc>
        <w:tc>
          <w:tcPr>
            <w:tcW w:w="424" w:type="pct"/>
            <w:shd w:val="clear" w:color="000000" w:fill="1F4E78"/>
            <w:tcMar>
              <w:left w:w="28" w:type="dxa"/>
              <w:right w:w="28" w:type="dxa"/>
            </w:tcMar>
            <w:vAlign w:val="center"/>
            <w:hideMark/>
          </w:tcPr>
          <w:p w14:paraId="1CB2151E"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n</w:t>
            </w:r>
          </w:p>
        </w:tc>
        <w:tc>
          <w:tcPr>
            <w:tcW w:w="508" w:type="pct"/>
            <w:shd w:val="clear" w:color="000000" w:fill="1F4E78"/>
            <w:tcMar>
              <w:left w:w="28" w:type="dxa"/>
              <w:right w:w="28" w:type="dxa"/>
            </w:tcMar>
            <w:vAlign w:val="center"/>
            <w:hideMark/>
          </w:tcPr>
          <w:p w14:paraId="76E0D758"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Median AP</w:t>
            </w:r>
          </w:p>
        </w:tc>
        <w:tc>
          <w:tcPr>
            <w:tcW w:w="763" w:type="pct"/>
            <w:shd w:val="clear" w:color="000000" w:fill="1F4E78"/>
            <w:tcMar>
              <w:left w:w="28" w:type="dxa"/>
              <w:right w:w="28" w:type="dxa"/>
            </w:tcMar>
            <w:vAlign w:val="center"/>
            <w:hideMark/>
          </w:tcPr>
          <w:p w14:paraId="2AB234B2"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Median ROC-AUC</w:t>
            </w:r>
          </w:p>
        </w:tc>
        <w:tc>
          <w:tcPr>
            <w:tcW w:w="763" w:type="pct"/>
            <w:shd w:val="clear" w:color="000000" w:fill="1F4E78"/>
            <w:tcMar>
              <w:left w:w="28" w:type="dxa"/>
              <w:right w:w="28" w:type="dxa"/>
            </w:tcMar>
            <w:vAlign w:val="center"/>
            <w:hideMark/>
          </w:tcPr>
          <w:p w14:paraId="119C4F88"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 xml:space="preserve">Median </w:t>
            </w:r>
            <w:proofErr w:type="spellStart"/>
            <w:r w:rsidRPr="00C5254A">
              <w:rPr>
                <w:rFonts w:ascii="Times New Roman" w:eastAsia="宋体" w:hAnsi="Times New Roman" w:cs="Times New Roman"/>
                <w:b/>
                <w:bCs/>
                <w:color w:val="FFFFFF"/>
                <w:kern w:val="0"/>
                <w:sz w:val="18"/>
                <w:szCs w:val="18"/>
              </w:rPr>
              <w:t>normPR</w:t>
            </w:r>
            <w:proofErr w:type="spellEnd"/>
          </w:p>
        </w:tc>
        <w:tc>
          <w:tcPr>
            <w:tcW w:w="763" w:type="pct"/>
            <w:shd w:val="clear" w:color="000000" w:fill="1F4E78"/>
            <w:tcMar>
              <w:left w:w="28" w:type="dxa"/>
              <w:right w:w="28" w:type="dxa"/>
            </w:tcMar>
            <w:vAlign w:val="center"/>
            <w:hideMark/>
          </w:tcPr>
          <w:p w14:paraId="34A3D718"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Median positive rate</w:t>
            </w:r>
          </w:p>
        </w:tc>
        <w:tc>
          <w:tcPr>
            <w:tcW w:w="914" w:type="pct"/>
            <w:shd w:val="clear" w:color="000000" w:fill="1F4E78"/>
            <w:tcMar>
              <w:left w:w="28" w:type="dxa"/>
              <w:right w:w="28" w:type="dxa"/>
            </w:tcMar>
            <w:vAlign w:val="center"/>
            <w:hideMark/>
          </w:tcPr>
          <w:p w14:paraId="0C7F8086" w14:textId="77777777" w:rsidR="00221421" w:rsidRPr="00C5254A" w:rsidRDefault="00221421" w:rsidP="00A54F0D">
            <w:pPr>
              <w:widowControl/>
              <w:jc w:val="center"/>
              <w:rPr>
                <w:rFonts w:ascii="Times New Roman" w:eastAsia="宋体" w:hAnsi="Times New Roman" w:cs="Times New Roman"/>
                <w:b/>
                <w:bCs/>
                <w:color w:val="FFFFFF"/>
                <w:kern w:val="0"/>
                <w:sz w:val="18"/>
                <w:szCs w:val="18"/>
              </w:rPr>
            </w:pPr>
            <w:r w:rsidRPr="00C5254A">
              <w:rPr>
                <w:rFonts w:ascii="Times New Roman" w:eastAsia="宋体" w:hAnsi="Times New Roman" w:cs="Times New Roman"/>
                <w:b/>
                <w:bCs/>
                <w:color w:val="FFFFFF"/>
                <w:kern w:val="0"/>
                <w:sz w:val="18"/>
                <w:szCs w:val="18"/>
              </w:rPr>
              <w:t>ROC-AUC &gt; 0.55, n (%)</w:t>
            </w:r>
          </w:p>
        </w:tc>
      </w:tr>
      <w:tr w:rsidR="00221421" w:rsidRPr="00CB63E4" w14:paraId="2AB9CAAC" w14:textId="77777777" w:rsidTr="00A54F0D">
        <w:trPr>
          <w:trHeight w:val="480"/>
        </w:trPr>
        <w:tc>
          <w:tcPr>
            <w:tcW w:w="865" w:type="pct"/>
            <w:shd w:val="clear" w:color="C0E6F5" w:fill="C0E6F5"/>
            <w:tcMar>
              <w:left w:w="28" w:type="dxa"/>
              <w:right w:w="28" w:type="dxa"/>
            </w:tcMar>
            <w:vAlign w:val="center"/>
            <w:hideMark/>
          </w:tcPr>
          <w:p w14:paraId="46524C2D" w14:textId="77777777" w:rsidR="00221421" w:rsidRPr="00C5254A" w:rsidRDefault="00221421" w:rsidP="00A54F0D">
            <w:pPr>
              <w:widowControl/>
              <w:jc w:val="center"/>
              <w:rPr>
                <w:rFonts w:ascii="Times New Roman" w:eastAsia="宋体" w:hAnsi="Times New Roman" w:cs="Times New Roman"/>
                <w:color w:val="000000"/>
                <w:kern w:val="0"/>
                <w:sz w:val="18"/>
                <w:szCs w:val="18"/>
              </w:rPr>
            </w:pPr>
            <w:proofErr w:type="spellStart"/>
            <w:r w:rsidRPr="00C5254A">
              <w:rPr>
                <w:rFonts w:ascii="Times New Roman" w:eastAsia="宋体" w:hAnsi="Times New Roman" w:cs="Times New Roman"/>
                <w:color w:val="000000"/>
                <w:kern w:val="0"/>
                <w:sz w:val="18"/>
                <w:szCs w:val="18"/>
              </w:rPr>
              <w:t>normPR</w:t>
            </w:r>
            <w:proofErr w:type="spellEnd"/>
            <w:r w:rsidRPr="00C5254A">
              <w:rPr>
                <w:rFonts w:ascii="Times New Roman" w:eastAsia="宋体" w:hAnsi="Times New Roman" w:cs="Times New Roman"/>
                <w:color w:val="000000"/>
                <w:kern w:val="0"/>
                <w:sz w:val="18"/>
                <w:szCs w:val="18"/>
              </w:rPr>
              <w:t xml:space="preserve"> &gt; 0.05</w:t>
            </w:r>
          </w:p>
        </w:tc>
        <w:tc>
          <w:tcPr>
            <w:tcW w:w="424" w:type="pct"/>
            <w:shd w:val="clear" w:color="C0E6F5" w:fill="C0E6F5"/>
            <w:tcMar>
              <w:left w:w="28" w:type="dxa"/>
              <w:right w:w="28" w:type="dxa"/>
            </w:tcMar>
            <w:vAlign w:val="center"/>
            <w:hideMark/>
          </w:tcPr>
          <w:p w14:paraId="5E41341C"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242</w:t>
            </w:r>
          </w:p>
        </w:tc>
        <w:tc>
          <w:tcPr>
            <w:tcW w:w="508" w:type="pct"/>
            <w:shd w:val="clear" w:color="C0E6F5" w:fill="C0E6F5"/>
            <w:tcMar>
              <w:left w:w="28" w:type="dxa"/>
              <w:right w:w="28" w:type="dxa"/>
            </w:tcMar>
            <w:vAlign w:val="center"/>
            <w:hideMark/>
          </w:tcPr>
          <w:p w14:paraId="0679073E"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0.512</w:t>
            </w:r>
          </w:p>
        </w:tc>
        <w:tc>
          <w:tcPr>
            <w:tcW w:w="763" w:type="pct"/>
            <w:shd w:val="clear" w:color="C0E6F5" w:fill="C0E6F5"/>
            <w:tcMar>
              <w:left w:w="28" w:type="dxa"/>
              <w:right w:w="28" w:type="dxa"/>
            </w:tcMar>
            <w:vAlign w:val="center"/>
            <w:hideMark/>
          </w:tcPr>
          <w:p w14:paraId="6C178CAB"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0.660</w:t>
            </w:r>
          </w:p>
        </w:tc>
        <w:tc>
          <w:tcPr>
            <w:tcW w:w="763" w:type="pct"/>
            <w:shd w:val="clear" w:color="C0E6F5" w:fill="C0E6F5"/>
            <w:tcMar>
              <w:left w:w="28" w:type="dxa"/>
              <w:right w:w="28" w:type="dxa"/>
            </w:tcMar>
            <w:vAlign w:val="center"/>
            <w:hideMark/>
          </w:tcPr>
          <w:p w14:paraId="5E7C7055"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0.148</w:t>
            </w:r>
          </w:p>
        </w:tc>
        <w:tc>
          <w:tcPr>
            <w:tcW w:w="763" w:type="pct"/>
            <w:shd w:val="clear" w:color="C0E6F5" w:fill="C0E6F5"/>
            <w:tcMar>
              <w:left w:w="28" w:type="dxa"/>
              <w:right w:w="28" w:type="dxa"/>
            </w:tcMar>
            <w:vAlign w:val="center"/>
            <w:hideMark/>
          </w:tcPr>
          <w:p w14:paraId="66EE6297"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0.281</w:t>
            </w:r>
          </w:p>
        </w:tc>
        <w:tc>
          <w:tcPr>
            <w:tcW w:w="914" w:type="pct"/>
            <w:shd w:val="clear" w:color="C0E6F5" w:fill="C0E6F5"/>
            <w:tcMar>
              <w:left w:w="28" w:type="dxa"/>
              <w:right w:w="28" w:type="dxa"/>
            </w:tcMar>
            <w:vAlign w:val="center"/>
            <w:hideMark/>
          </w:tcPr>
          <w:p w14:paraId="62492268"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213 (88.0%)</w:t>
            </w:r>
          </w:p>
        </w:tc>
      </w:tr>
      <w:tr w:rsidR="00221421" w:rsidRPr="00CB63E4" w14:paraId="3D5C4ABE" w14:textId="77777777" w:rsidTr="00A54F0D">
        <w:trPr>
          <w:trHeight w:val="480"/>
        </w:trPr>
        <w:tc>
          <w:tcPr>
            <w:tcW w:w="865" w:type="pct"/>
            <w:tcMar>
              <w:left w:w="28" w:type="dxa"/>
              <w:right w:w="28" w:type="dxa"/>
            </w:tcMar>
            <w:vAlign w:val="center"/>
            <w:hideMark/>
          </w:tcPr>
          <w:p w14:paraId="34A0E8A0" w14:textId="77777777" w:rsidR="00221421" w:rsidRPr="00C5254A" w:rsidRDefault="00221421" w:rsidP="00A54F0D">
            <w:pPr>
              <w:widowControl/>
              <w:jc w:val="center"/>
              <w:rPr>
                <w:rFonts w:ascii="Times New Roman" w:eastAsia="宋体" w:hAnsi="Times New Roman" w:cs="Times New Roman"/>
                <w:color w:val="000000"/>
                <w:kern w:val="0"/>
                <w:sz w:val="18"/>
                <w:szCs w:val="18"/>
              </w:rPr>
            </w:pPr>
            <w:proofErr w:type="spellStart"/>
            <w:r w:rsidRPr="00C5254A">
              <w:rPr>
                <w:rFonts w:ascii="Times New Roman" w:eastAsia="宋体" w:hAnsi="Times New Roman" w:cs="Times New Roman"/>
                <w:color w:val="000000"/>
                <w:kern w:val="0"/>
                <w:sz w:val="18"/>
                <w:szCs w:val="18"/>
              </w:rPr>
              <w:t>normPR</w:t>
            </w:r>
            <w:proofErr w:type="spellEnd"/>
            <w:r w:rsidRPr="00C5254A">
              <w:rPr>
                <w:rFonts w:ascii="Times New Roman" w:eastAsia="宋体" w:hAnsi="Times New Roman" w:cs="Times New Roman"/>
                <w:color w:val="000000"/>
                <w:kern w:val="0"/>
                <w:sz w:val="18"/>
                <w:szCs w:val="18"/>
              </w:rPr>
              <w:t xml:space="preserve"> ≤ 0.05</w:t>
            </w:r>
          </w:p>
        </w:tc>
        <w:tc>
          <w:tcPr>
            <w:tcW w:w="424" w:type="pct"/>
            <w:tcMar>
              <w:left w:w="28" w:type="dxa"/>
              <w:right w:w="28" w:type="dxa"/>
            </w:tcMar>
            <w:vAlign w:val="center"/>
            <w:hideMark/>
          </w:tcPr>
          <w:p w14:paraId="1C09082F"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199</w:t>
            </w:r>
          </w:p>
        </w:tc>
        <w:tc>
          <w:tcPr>
            <w:tcW w:w="508" w:type="pct"/>
            <w:tcMar>
              <w:left w:w="28" w:type="dxa"/>
              <w:right w:w="28" w:type="dxa"/>
            </w:tcMar>
            <w:vAlign w:val="center"/>
            <w:hideMark/>
          </w:tcPr>
          <w:p w14:paraId="218BC68C"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0.076</w:t>
            </w:r>
          </w:p>
        </w:tc>
        <w:tc>
          <w:tcPr>
            <w:tcW w:w="763" w:type="pct"/>
            <w:tcMar>
              <w:left w:w="28" w:type="dxa"/>
              <w:right w:w="28" w:type="dxa"/>
            </w:tcMar>
            <w:vAlign w:val="center"/>
            <w:hideMark/>
          </w:tcPr>
          <w:p w14:paraId="0A4CA9AD"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0.531</w:t>
            </w:r>
          </w:p>
        </w:tc>
        <w:tc>
          <w:tcPr>
            <w:tcW w:w="763" w:type="pct"/>
            <w:tcMar>
              <w:left w:w="28" w:type="dxa"/>
              <w:right w:w="28" w:type="dxa"/>
            </w:tcMar>
            <w:vAlign w:val="center"/>
            <w:hideMark/>
          </w:tcPr>
          <w:p w14:paraId="3A1609E5"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0.012</w:t>
            </w:r>
          </w:p>
        </w:tc>
        <w:tc>
          <w:tcPr>
            <w:tcW w:w="763" w:type="pct"/>
            <w:tcMar>
              <w:left w:w="28" w:type="dxa"/>
              <w:right w:w="28" w:type="dxa"/>
            </w:tcMar>
            <w:vAlign w:val="center"/>
            <w:hideMark/>
          </w:tcPr>
          <w:p w14:paraId="7A866AEF"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0.052</w:t>
            </w:r>
          </w:p>
        </w:tc>
        <w:tc>
          <w:tcPr>
            <w:tcW w:w="914" w:type="pct"/>
            <w:tcMar>
              <w:left w:w="28" w:type="dxa"/>
              <w:right w:w="28" w:type="dxa"/>
            </w:tcMar>
            <w:vAlign w:val="center"/>
            <w:hideMark/>
          </w:tcPr>
          <w:p w14:paraId="11C13D60"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76 (38.2%)</w:t>
            </w:r>
          </w:p>
        </w:tc>
      </w:tr>
      <w:tr w:rsidR="00221421" w:rsidRPr="00CB63E4" w14:paraId="41414D80" w14:textId="77777777" w:rsidTr="00A54F0D">
        <w:trPr>
          <w:trHeight w:val="480"/>
        </w:trPr>
        <w:tc>
          <w:tcPr>
            <w:tcW w:w="865" w:type="pct"/>
            <w:shd w:val="clear" w:color="C0E6F5" w:fill="C0E6F5"/>
            <w:tcMar>
              <w:left w:w="28" w:type="dxa"/>
              <w:right w:w="28" w:type="dxa"/>
            </w:tcMar>
            <w:vAlign w:val="center"/>
            <w:hideMark/>
          </w:tcPr>
          <w:p w14:paraId="18AC1DB6" w14:textId="77777777" w:rsidR="00221421" w:rsidRPr="00C5254A" w:rsidRDefault="00221421" w:rsidP="00A54F0D">
            <w:pPr>
              <w:widowControl/>
              <w:jc w:val="center"/>
              <w:rPr>
                <w:rFonts w:ascii="Times New Roman" w:eastAsia="宋体" w:hAnsi="Times New Roman" w:cs="Times New Roman"/>
                <w:color w:val="000000"/>
                <w:kern w:val="0"/>
                <w:sz w:val="18"/>
                <w:szCs w:val="18"/>
              </w:rPr>
            </w:pPr>
            <w:proofErr w:type="spellStart"/>
            <w:r w:rsidRPr="00C5254A">
              <w:rPr>
                <w:rFonts w:ascii="Times New Roman" w:eastAsia="宋体" w:hAnsi="Times New Roman" w:cs="Times New Roman"/>
                <w:color w:val="000000"/>
                <w:kern w:val="0"/>
                <w:sz w:val="18"/>
                <w:szCs w:val="18"/>
              </w:rPr>
              <w:t>normPR</w:t>
            </w:r>
            <w:proofErr w:type="spellEnd"/>
            <w:r w:rsidRPr="00C5254A">
              <w:rPr>
                <w:rFonts w:ascii="Times New Roman" w:eastAsia="宋体" w:hAnsi="Times New Roman" w:cs="Times New Roman"/>
                <w:color w:val="000000"/>
                <w:kern w:val="0"/>
                <w:sz w:val="18"/>
                <w:szCs w:val="18"/>
              </w:rPr>
              <w:t xml:space="preserve"> ≤ 0.02</w:t>
            </w:r>
          </w:p>
        </w:tc>
        <w:tc>
          <w:tcPr>
            <w:tcW w:w="424" w:type="pct"/>
            <w:shd w:val="clear" w:color="C0E6F5" w:fill="C0E6F5"/>
            <w:tcMar>
              <w:left w:w="28" w:type="dxa"/>
              <w:right w:w="28" w:type="dxa"/>
            </w:tcMar>
            <w:vAlign w:val="center"/>
            <w:hideMark/>
          </w:tcPr>
          <w:p w14:paraId="1DFC9BEC"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126</w:t>
            </w:r>
          </w:p>
        </w:tc>
        <w:tc>
          <w:tcPr>
            <w:tcW w:w="508" w:type="pct"/>
            <w:shd w:val="clear" w:color="C0E6F5" w:fill="C0E6F5"/>
            <w:tcMar>
              <w:left w:w="28" w:type="dxa"/>
              <w:right w:w="28" w:type="dxa"/>
            </w:tcMar>
            <w:vAlign w:val="center"/>
            <w:hideMark/>
          </w:tcPr>
          <w:p w14:paraId="7EF6672D"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0.069</w:t>
            </w:r>
          </w:p>
        </w:tc>
        <w:tc>
          <w:tcPr>
            <w:tcW w:w="763" w:type="pct"/>
            <w:shd w:val="clear" w:color="C0E6F5" w:fill="C0E6F5"/>
            <w:tcMar>
              <w:left w:w="28" w:type="dxa"/>
              <w:right w:w="28" w:type="dxa"/>
            </w:tcMar>
            <w:vAlign w:val="center"/>
            <w:hideMark/>
          </w:tcPr>
          <w:p w14:paraId="4DE11D43"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0.500</w:t>
            </w:r>
          </w:p>
        </w:tc>
        <w:tc>
          <w:tcPr>
            <w:tcW w:w="763" w:type="pct"/>
            <w:shd w:val="clear" w:color="C0E6F5" w:fill="C0E6F5"/>
            <w:tcMar>
              <w:left w:w="28" w:type="dxa"/>
              <w:right w:w="28" w:type="dxa"/>
            </w:tcMar>
            <w:vAlign w:val="center"/>
            <w:hideMark/>
          </w:tcPr>
          <w:p w14:paraId="502C6D2E"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0.003</w:t>
            </w:r>
          </w:p>
        </w:tc>
        <w:tc>
          <w:tcPr>
            <w:tcW w:w="763" w:type="pct"/>
            <w:shd w:val="clear" w:color="C0E6F5" w:fill="C0E6F5"/>
            <w:tcMar>
              <w:left w:w="28" w:type="dxa"/>
              <w:right w:w="28" w:type="dxa"/>
            </w:tcMar>
            <w:vAlign w:val="center"/>
            <w:hideMark/>
          </w:tcPr>
          <w:p w14:paraId="53654F62"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0.060</w:t>
            </w:r>
          </w:p>
        </w:tc>
        <w:tc>
          <w:tcPr>
            <w:tcW w:w="914" w:type="pct"/>
            <w:shd w:val="clear" w:color="C0E6F5" w:fill="C0E6F5"/>
            <w:tcMar>
              <w:left w:w="28" w:type="dxa"/>
              <w:right w:w="28" w:type="dxa"/>
            </w:tcMar>
            <w:vAlign w:val="center"/>
            <w:hideMark/>
          </w:tcPr>
          <w:p w14:paraId="70A33BFD"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28 (22.2%)</w:t>
            </w:r>
          </w:p>
        </w:tc>
      </w:tr>
      <w:tr w:rsidR="00221421" w:rsidRPr="00CB63E4" w14:paraId="1441703F" w14:textId="77777777" w:rsidTr="00A54F0D">
        <w:trPr>
          <w:trHeight w:val="480"/>
        </w:trPr>
        <w:tc>
          <w:tcPr>
            <w:tcW w:w="865" w:type="pct"/>
            <w:tcMar>
              <w:left w:w="28" w:type="dxa"/>
              <w:right w:w="28" w:type="dxa"/>
            </w:tcMar>
            <w:vAlign w:val="center"/>
            <w:hideMark/>
          </w:tcPr>
          <w:p w14:paraId="0146F342"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ROC-AUC ≤ 0.55</w:t>
            </w:r>
          </w:p>
        </w:tc>
        <w:tc>
          <w:tcPr>
            <w:tcW w:w="424" w:type="pct"/>
            <w:tcMar>
              <w:left w:w="28" w:type="dxa"/>
              <w:right w:w="28" w:type="dxa"/>
            </w:tcMar>
            <w:vAlign w:val="center"/>
            <w:hideMark/>
          </w:tcPr>
          <w:p w14:paraId="19EED098"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152</w:t>
            </w:r>
          </w:p>
        </w:tc>
        <w:tc>
          <w:tcPr>
            <w:tcW w:w="508" w:type="pct"/>
            <w:tcMar>
              <w:left w:w="28" w:type="dxa"/>
              <w:right w:w="28" w:type="dxa"/>
            </w:tcMar>
            <w:vAlign w:val="center"/>
            <w:hideMark/>
          </w:tcPr>
          <w:p w14:paraId="79C511BC"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0.237</w:t>
            </w:r>
          </w:p>
        </w:tc>
        <w:tc>
          <w:tcPr>
            <w:tcW w:w="763" w:type="pct"/>
            <w:tcMar>
              <w:left w:w="28" w:type="dxa"/>
              <w:right w:w="28" w:type="dxa"/>
            </w:tcMar>
            <w:vAlign w:val="center"/>
            <w:hideMark/>
          </w:tcPr>
          <w:p w14:paraId="18465FAF"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0.500</w:t>
            </w:r>
          </w:p>
        </w:tc>
        <w:tc>
          <w:tcPr>
            <w:tcW w:w="763" w:type="pct"/>
            <w:tcMar>
              <w:left w:w="28" w:type="dxa"/>
              <w:right w:w="28" w:type="dxa"/>
            </w:tcMar>
            <w:vAlign w:val="center"/>
            <w:hideMark/>
          </w:tcPr>
          <w:p w14:paraId="5ED17A8A"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0.009</w:t>
            </w:r>
          </w:p>
        </w:tc>
        <w:tc>
          <w:tcPr>
            <w:tcW w:w="763" w:type="pct"/>
            <w:tcMar>
              <w:left w:w="28" w:type="dxa"/>
              <w:right w:w="28" w:type="dxa"/>
            </w:tcMar>
            <w:vAlign w:val="center"/>
            <w:hideMark/>
          </w:tcPr>
          <w:p w14:paraId="2556E24A"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0.247</w:t>
            </w:r>
          </w:p>
        </w:tc>
        <w:tc>
          <w:tcPr>
            <w:tcW w:w="914" w:type="pct"/>
            <w:tcMar>
              <w:left w:w="28" w:type="dxa"/>
              <w:right w:w="28" w:type="dxa"/>
            </w:tcMar>
            <w:vAlign w:val="center"/>
            <w:hideMark/>
          </w:tcPr>
          <w:p w14:paraId="113408C7" w14:textId="77777777" w:rsidR="00221421" w:rsidRPr="00C5254A" w:rsidRDefault="00221421" w:rsidP="00A54F0D">
            <w:pPr>
              <w:widowControl/>
              <w:jc w:val="center"/>
              <w:rPr>
                <w:rFonts w:ascii="Times New Roman" w:eastAsia="宋体" w:hAnsi="Times New Roman" w:cs="Times New Roman"/>
                <w:color w:val="000000"/>
                <w:kern w:val="0"/>
                <w:sz w:val="18"/>
                <w:szCs w:val="18"/>
              </w:rPr>
            </w:pPr>
            <w:r w:rsidRPr="00C5254A">
              <w:rPr>
                <w:rFonts w:ascii="Times New Roman" w:eastAsia="宋体" w:hAnsi="Times New Roman" w:cs="Times New Roman"/>
                <w:color w:val="000000"/>
                <w:kern w:val="0"/>
                <w:sz w:val="18"/>
                <w:szCs w:val="18"/>
              </w:rPr>
              <w:t>0 (0.0%)</w:t>
            </w:r>
          </w:p>
        </w:tc>
      </w:tr>
    </w:tbl>
    <w:p w14:paraId="2D7BCBF9" w14:textId="77777777" w:rsidR="00221421" w:rsidRPr="00CB63E4" w:rsidRDefault="00221421" w:rsidP="00221421">
      <w:pPr>
        <w:pStyle w:val="a3"/>
        <w:adjustRightInd w:val="0"/>
        <w:snapToGrid w:val="0"/>
        <w:spacing w:beforeAutospacing="0" w:afterAutospacing="0" w:line="360" w:lineRule="auto"/>
        <w:jc w:val="both"/>
        <w:rPr>
          <w:rFonts w:ascii="Times New Roman" w:hAnsi="Times New Roman"/>
          <w:b/>
          <w:bCs/>
          <w:color w:val="000000" w:themeColor="text1"/>
        </w:rPr>
      </w:pPr>
    </w:p>
    <w:p w14:paraId="014CD3F2" w14:textId="2B888703" w:rsidR="00221421" w:rsidRPr="00CB63E4"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r w:rsidRPr="00EA6CC1">
        <w:rPr>
          <w:rFonts w:ascii="Times New Roman" w:hAnsi="Times New Roman"/>
          <w:b/>
          <w:bCs/>
          <w:color w:val="000000" w:themeColor="text1"/>
        </w:rPr>
        <w:t xml:space="preserve">Supplementary Table </w:t>
      </w:r>
      <w:r w:rsidR="00B77EBF">
        <w:rPr>
          <w:rFonts w:ascii="Times New Roman" w:hAnsi="Times New Roman" w:hint="eastAsia"/>
          <w:b/>
          <w:bCs/>
          <w:color w:val="000000" w:themeColor="text1"/>
        </w:rPr>
        <w:t>9</w:t>
      </w:r>
      <w:r w:rsidRPr="00EA6CC1">
        <w:rPr>
          <w:rFonts w:ascii="Times New Roman" w:hAnsi="Times New Roman"/>
          <w:b/>
          <w:bCs/>
          <w:color w:val="000000" w:themeColor="text1"/>
        </w:rPr>
        <w:t>. Regression metric sensitivity under no-scaffold exposure.</w:t>
      </w:r>
      <w:r w:rsidRPr="00CB63E4">
        <w:rPr>
          <w:rFonts w:ascii="Times New Roman" w:hAnsi="Times New Roman"/>
          <w:b/>
          <w:bCs/>
          <w:color w:val="000000" w:themeColor="text1"/>
        </w:rPr>
        <w:t xml:space="preserve"> </w:t>
      </w:r>
      <w:r w:rsidRPr="00EA6CC1">
        <w:rPr>
          <w:rFonts w:ascii="Times New Roman" w:hAnsi="Times New Roman"/>
          <w:color w:val="000000" w:themeColor="text1"/>
        </w:rPr>
        <w:t xml:space="preserve">The table compares common regression metrics under no-scaffold exposure. For MAE, RMSE, and </w:t>
      </w:r>
      <w:proofErr w:type="spellStart"/>
      <w:r w:rsidRPr="00EA6CC1">
        <w:rPr>
          <w:rFonts w:ascii="Times New Roman" w:hAnsi="Times New Roman"/>
          <w:color w:val="000000" w:themeColor="text1"/>
        </w:rPr>
        <w:t>relMAE</w:t>
      </w:r>
      <w:proofErr w:type="spellEnd"/>
      <w:r w:rsidRPr="00EA6CC1">
        <w:rPr>
          <w:rFonts w:ascii="Times New Roman" w:hAnsi="Times New Roman"/>
          <w:color w:val="000000" w:themeColor="text1"/>
        </w:rPr>
        <w:t xml:space="preserve">, degradation was evaluated using no-scaffold/ordinary ratios; for </w:t>
      </w:r>
      <m:oMath>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oMath>
      <w:r w:rsidRPr="00EA6CC1">
        <w:rPr>
          <w:rFonts w:ascii="Times New Roman" w:hAnsi="Times New Roman"/>
          <w:color w:val="000000" w:themeColor="text1"/>
        </w:rPr>
        <w:t xml:space="preserve">, Pearson </w:t>
      </w:r>
      <m:oMath>
        <m:r>
          <w:rPr>
            <w:rFonts w:ascii="Cambria Math" w:hAnsi="Cambria Math"/>
            <w:color w:val="000000" w:themeColor="text1"/>
          </w:rPr>
          <m:t>r</m:t>
        </m:r>
      </m:oMath>
      <w:r w:rsidRPr="00EA6CC1">
        <w:rPr>
          <w:rFonts w:ascii="Times New Roman" w:hAnsi="Times New Roman"/>
          <w:color w:val="000000" w:themeColor="text1"/>
        </w:rPr>
        <w:t xml:space="preserve">, and Spearman </w:t>
      </w:r>
      <m:oMath>
        <m:r>
          <w:rPr>
            <w:rFonts w:ascii="Cambria Math" w:hAnsi="Cambria Math"/>
            <w:color w:val="000000" w:themeColor="text1"/>
          </w:rPr>
          <m:t>ρ</m:t>
        </m:r>
      </m:oMath>
      <w:r w:rsidRPr="00EA6CC1">
        <w:rPr>
          <w:rFonts w:ascii="Times New Roman" w:hAnsi="Times New Roman"/>
          <w:color w:val="000000" w:themeColor="text1"/>
        </w:rPr>
        <w:t xml:space="preserve">, degradation was evaluated as the decrease from the ordinary-fold reference to the no-scaffold test subset. “Pooled median ratio/drop” is computed from the ordinary and no-scaffold medians shown in the table. “Median model–task ratio/drop” reports the median of model–task-specific </w:t>
      </w:r>
      <w:r w:rsidRPr="00EA6CC1">
        <w:rPr>
          <w:rFonts w:ascii="Times New Roman" w:hAnsi="Times New Roman"/>
          <w:color w:val="000000" w:themeColor="text1"/>
        </w:rPr>
        <w:lastRenderedPageBreak/>
        <w:t xml:space="preserve">ratios or drops and is therefore not necessarily equal to the ratio or difference of the pooled medians. Agreement with </w:t>
      </w:r>
      <m:oMath>
        <m:sSub>
          <m:sSubPr>
            <m:ctrlPr>
              <w:rPr>
                <w:rFonts w:ascii="Cambria Math" w:hAnsi="Cambria Math"/>
                <w:i/>
                <w:color w:val="000000" w:themeColor="text1"/>
              </w:rPr>
            </m:ctrlPr>
          </m:sSubPr>
          <m:e>
            <m:r>
              <w:rPr>
                <w:rFonts w:ascii="Cambria Math" w:hAnsi="Cambria Math"/>
                <w:color w:val="000000" w:themeColor="text1"/>
              </w:rPr>
              <m:t>D</m:t>
            </m:r>
          </m:e>
          <m:sub>
            <m:r>
              <m:rPr>
                <m:nor/>
              </m:rPr>
              <w:rPr>
                <w:rFonts w:ascii="Times New Roman" w:hAnsi="Times New Roman"/>
                <w:color w:val="000000" w:themeColor="text1"/>
              </w:rPr>
              <m:t>relMAE</m:t>
            </m:r>
          </m:sub>
        </m:sSub>
      </m:oMath>
      <w:r w:rsidRPr="00EA6CC1">
        <w:rPr>
          <w:rFonts w:ascii="Times New Roman" w:hAnsi="Times New Roman"/>
          <w:color w:val="000000" w:themeColor="text1"/>
        </w:rPr>
        <w:t xml:space="preserve"> reports the Spearman correlation followed by the direction-agreement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211"/>
        <w:gridCol w:w="1004"/>
        <w:gridCol w:w="1211"/>
        <w:gridCol w:w="1016"/>
        <w:gridCol w:w="1417"/>
        <w:gridCol w:w="1727"/>
      </w:tblGrid>
      <w:tr w:rsidR="00221421" w:rsidRPr="00CB63E4" w14:paraId="6866DFF3" w14:textId="77777777" w:rsidTr="00A54F0D">
        <w:trPr>
          <w:trHeight w:val="762"/>
        </w:trPr>
        <w:tc>
          <w:tcPr>
            <w:tcW w:w="432" w:type="pct"/>
            <w:shd w:val="clear" w:color="000000" w:fill="1F4E78"/>
            <w:tcMar>
              <w:left w:w="28" w:type="dxa"/>
              <w:right w:w="28" w:type="dxa"/>
            </w:tcMar>
            <w:vAlign w:val="center"/>
            <w:hideMark/>
          </w:tcPr>
          <w:p w14:paraId="7B6B9F23" w14:textId="77777777" w:rsidR="00221421" w:rsidRPr="003D2061" w:rsidRDefault="00221421" w:rsidP="00A54F0D">
            <w:pPr>
              <w:widowControl/>
              <w:jc w:val="center"/>
              <w:rPr>
                <w:rFonts w:ascii="Times New Roman" w:eastAsia="宋体" w:hAnsi="Times New Roman" w:cs="Times New Roman"/>
                <w:b/>
                <w:bCs/>
                <w:color w:val="FFFFFF"/>
                <w:kern w:val="0"/>
                <w:sz w:val="18"/>
                <w:szCs w:val="18"/>
              </w:rPr>
            </w:pPr>
            <w:r w:rsidRPr="003D2061">
              <w:rPr>
                <w:rFonts w:ascii="Times New Roman" w:eastAsia="宋体" w:hAnsi="Times New Roman" w:cs="Times New Roman"/>
                <w:b/>
                <w:bCs/>
                <w:color w:val="FFFFFF"/>
                <w:kern w:val="0"/>
                <w:sz w:val="18"/>
                <w:szCs w:val="18"/>
              </w:rPr>
              <w:t>Metric</w:t>
            </w:r>
          </w:p>
        </w:tc>
        <w:tc>
          <w:tcPr>
            <w:tcW w:w="741" w:type="pct"/>
            <w:shd w:val="clear" w:color="000000" w:fill="1F4E78"/>
            <w:tcMar>
              <w:left w:w="28" w:type="dxa"/>
              <w:right w:w="28" w:type="dxa"/>
            </w:tcMar>
            <w:vAlign w:val="center"/>
            <w:hideMark/>
          </w:tcPr>
          <w:p w14:paraId="6AC4F2B5" w14:textId="77777777" w:rsidR="00221421" w:rsidRPr="003D2061" w:rsidRDefault="00221421" w:rsidP="00A54F0D">
            <w:pPr>
              <w:widowControl/>
              <w:jc w:val="center"/>
              <w:rPr>
                <w:rFonts w:ascii="Times New Roman" w:eastAsia="宋体" w:hAnsi="Times New Roman" w:cs="Times New Roman"/>
                <w:b/>
                <w:bCs/>
                <w:color w:val="FFFFFF"/>
                <w:kern w:val="0"/>
                <w:sz w:val="18"/>
                <w:szCs w:val="18"/>
              </w:rPr>
            </w:pPr>
            <w:r w:rsidRPr="003D2061">
              <w:rPr>
                <w:rFonts w:ascii="Times New Roman" w:eastAsia="宋体" w:hAnsi="Times New Roman" w:cs="Times New Roman"/>
                <w:b/>
                <w:bCs/>
                <w:color w:val="FFFFFF"/>
                <w:kern w:val="0"/>
                <w:sz w:val="18"/>
                <w:szCs w:val="18"/>
              </w:rPr>
              <w:t>Ordinary → no-scaffold median</w:t>
            </w:r>
          </w:p>
        </w:tc>
        <w:tc>
          <w:tcPr>
            <w:tcW w:w="617" w:type="pct"/>
            <w:shd w:val="clear" w:color="000000" w:fill="1F4E78"/>
            <w:tcMar>
              <w:left w:w="28" w:type="dxa"/>
              <w:right w:w="28" w:type="dxa"/>
            </w:tcMar>
            <w:vAlign w:val="center"/>
            <w:hideMark/>
          </w:tcPr>
          <w:p w14:paraId="209FEBD6" w14:textId="77777777" w:rsidR="00221421" w:rsidRPr="003D2061" w:rsidRDefault="00221421" w:rsidP="00A54F0D">
            <w:pPr>
              <w:widowControl/>
              <w:jc w:val="center"/>
              <w:rPr>
                <w:rFonts w:ascii="Times New Roman" w:eastAsia="宋体" w:hAnsi="Times New Roman" w:cs="Times New Roman"/>
                <w:b/>
                <w:bCs/>
                <w:color w:val="FFFFFF"/>
                <w:kern w:val="0"/>
                <w:sz w:val="18"/>
                <w:szCs w:val="18"/>
              </w:rPr>
            </w:pPr>
            <w:r w:rsidRPr="003D2061">
              <w:rPr>
                <w:rFonts w:ascii="Times New Roman" w:eastAsia="宋体" w:hAnsi="Times New Roman" w:cs="Times New Roman"/>
                <w:b/>
                <w:bCs/>
                <w:color w:val="FFFFFF"/>
                <w:kern w:val="0"/>
                <w:sz w:val="18"/>
                <w:szCs w:val="18"/>
              </w:rPr>
              <w:t>Pooled median ratio/drop</w:t>
            </w:r>
          </w:p>
        </w:tc>
        <w:tc>
          <w:tcPr>
            <w:tcW w:w="741" w:type="pct"/>
            <w:shd w:val="clear" w:color="000000" w:fill="1F4E78"/>
            <w:tcMar>
              <w:left w:w="28" w:type="dxa"/>
              <w:right w:w="28" w:type="dxa"/>
            </w:tcMar>
            <w:vAlign w:val="center"/>
            <w:hideMark/>
          </w:tcPr>
          <w:p w14:paraId="322741BE" w14:textId="77777777" w:rsidR="00221421" w:rsidRPr="003D2061" w:rsidRDefault="00221421" w:rsidP="00A54F0D">
            <w:pPr>
              <w:widowControl/>
              <w:jc w:val="center"/>
              <w:rPr>
                <w:rFonts w:ascii="Times New Roman" w:eastAsia="宋体" w:hAnsi="Times New Roman" w:cs="Times New Roman"/>
                <w:b/>
                <w:bCs/>
                <w:color w:val="FFFFFF"/>
                <w:kern w:val="0"/>
                <w:sz w:val="18"/>
                <w:szCs w:val="18"/>
              </w:rPr>
            </w:pPr>
            <w:r w:rsidRPr="003D2061">
              <w:rPr>
                <w:rFonts w:ascii="Times New Roman" w:eastAsia="宋体" w:hAnsi="Times New Roman" w:cs="Times New Roman"/>
                <w:b/>
                <w:bCs/>
                <w:color w:val="FFFFFF"/>
                <w:kern w:val="0"/>
                <w:sz w:val="18"/>
                <w:szCs w:val="18"/>
              </w:rPr>
              <w:t>Median model-task ratio/drop</w:t>
            </w:r>
          </w:p>
        </w:tc>
        <w:tc>
          <w:tcPr>
            <w:tcW w:w="556" w:type="pct"/>
            <w:shd w:val="clear" w:color="000000" w:fill="1F4E78"/>
            <w:tcMar>
              <w:left w:w="28" w:type="dxa"/>
              <w:right w:w="28" w:type="dxa"/>
            </w:tcMar>
            <w:vAlign w:val="center"/>
            <w:hideMark/>
          </w:tcPr>
          <w:p w14:paraId="2711D710" w14:textId="77777777" w:rsidR="00221421" w:rsidRPr="003D2061" w:rsidRDefault="00221421" w:rsidP="00A54F0D">
            <w:pPr>
              <w:widowControl/>
              <w:jc w:val="center"/>
              <w:rPr>
                <w:rFonts w:ascii="Times New Roman" w:eastAsia="宋体" w:hAnsi="Times New Roman" w:cs="Times New Roman"/>
                <w:b/>
                <w:bCs/>
                <w:color w:val="FFFFFF"/>
                <w:kern w:val="0"/>
                <w:sz w:val="18"/>
                <w:szCs w:val="18"/>
              </w:rPr>
            </w:pPr>
            <w:r w:rsidRPr="003D2061">
              <w:rPr>
                <w:rFonts w:ascii="Times New Roman" w:eastAsia="宋体" w:hAnsi="Times New Roman" w:cs="Times New Roman"/>
                <w:b/>
                <w:bCs/>
                <w:color w:val="FFFFFF"/>
                <w:kern w:val="0"/>
                <w:sz w:val="18"/>
                <w:szCs w:val="18"/>
              </w:rPr>
              <w:t>Degradation rate</w:t>
            </w:r>
          </w:p>
        </w:tc>
        <w:tc>
          <w:tcPr>
            <w:tcW w:w="864" w:type="pct"/>
            <w:shd w:val="clear" w:color="000000" w:fill="1F4E78"/>
            <w:tcMar>
              <w:left w:w="28" w:type="dxa"/>
              <w:right w:w="28" w:type="dxa"/>
            </w:tcMar>
            <w:vAlign w:val="center"/>
            <w:hideMark/>
          </w:tcPr>
          <w:p w14:paraId="72744DC3" w14:textId="77777777" w:rsidR="00221421" w:rsidRPr="003D2061" w:rsidRDefault="00221421" w:rsidP="00A54F0D">
            <w:pPr>
              <w:widowControl/>
              <w:jc w:val="center"/>
              <w:rPr>
                <w:rFonts w:ascii="Times New Roman" w:eastAsia="宋体" w:hAnsi="Times New Roman" w:cs="Times New Roman"/>
                <w:b/>
                <w:bCs/>
                <w:color w:val="FFFFFF"/>
                <w:kern w:val="0"/>
                <w:sz w:val="18"/>
                <w:szCs w:val="18"/>
              </w:rPr>
            </w:pPr>
            <w:r w:rsidRPr="003D2061">
              <w:rPr>
                <w:rFonts w:ascii="Times New Roman" w:eastAsia="宋体" w:hAnsi="Times New Roman" w:cs="Times New Roman"/>
                <w:b/>
                <w:bCs/>
                <w:color w:val="FFFFFF"/>
                <w:kern w:val="0"/>
                <w:sz w:val="18"/>
                <w:szCs w:val="18"/>
              </w:rPr>
              <w:t xml:space="preserve">Agreement with </w:t>
            </w:r>
            <w:proofErr w:type="spellStart"/>
            <w:r w:rsidRPr="003D2061">
              <w:rPr>
                <w:rFonts w:ascii="Times New Roman" w:eastAsia="宋体" w:hAnsi="Times New Roman" w:cs="Times New Roman"/>
                <w:b/>
                <w:bCs/>
                <w:color w:val="FFFFFF"/>
                <w:kern w:val="0"/>
                <w:sz w:val="18"/>
                <w:szCs w:val="18"/>
              </w:rPr>
              <w:t>D_relMAE</w:t>
            </w:r>
            <w:proofErr w:type="spellEnd"/>
          </w:p>
        </w:tc>
        <w:tc>
          <w:tcPr>
            <w:tcW w:w="1049" w:type="pct"/>
            <w:shd w:val="clear" w:color="000000" w:fill="1F4E78"/>
            <w:tcMar>
              <w:left w:w="28" w:type="dxa"/>
              <w:right w:w="28" w:type="dxa"/>
            </w:tcMar>
            <w:vAlign w:val="center"/>
            <w:hideMark/>
          </w:tcPr>
          <w:p w14:paraId="72D82095" w14:textId="77777777" w:rsidR="00221421" w:rsidRPr="003D2061" w:rsidRDefault="00221421" w:rsidP="00A54F0D">
            <w:pPr>
              <w:widowControl/>
              <w:jc w:val="center"/>
              <w:rPr>
                <w:rFonts w:ascii="Times New Roman" w:eastAsia="宋体" w:hAnsi="Times New Roman" w:cs="Times New Roman"/>
                <w:b/>
                <w:bCs/>
                <w:color w:val="FFFFFF"/>
                <w:kern w:val="0"/>
                <w:sz w:val="18"/>
                <w:szCs w:val="18"/>
              </w:rPr>
            </w:pPr>
            <w:r w:rsidRPr="003D2061">
              <w:rPr>
                <w:rFonts w:ascii="Times New Roman" w:eastAsia="宋体" w:hAnsi="Times New Roman" w:cs="Times New Roman"/>
                <w:b/>
                <w:bCs/>
                <w:color w:val="FFFFFF"/>
                <w:kern w:val="0"/>
                <w:sz w:val="18"/>
                <w:szCs w:val="18"/>
              </w:rPr>
              <w:t>Scale/variance association</w:t>
            </w:r>
          </w:p>
        </w:tc>
      </w:tr>
      <w:tr w:rsidR="00221421" w:rsidRPr="00CB63E4" w14:paraId="082113B0" w14:textId="77777777" w:rsidTr="00A54F0D">
        <w:trPr>
          <w:trHeight w:val="480"/>
        </w:trPr>
        <w:tc>
          <w:tcPr>
            <w:tcW w:w="432" w:type="pct"/>
            <w:shd w:val="clear" w:color="C0E6F5" w:fill="C0E6F5"/>
            <w:tcMar>
              <w:left w:w="28" w:type="dxa"/>
              <w:right w:w="28" w:type="dxa"/>
            </w:tcMar>
            <w:vAlign w:val="center"/>
            <w:hideMark/>
          </w:tcPr>
          <w:p w14:paraId="4DAA55CD"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MAE</w:t>
            </w:r>
          </w:p>
        </w:tc>
        <w:tc>
          <w:tcPr>
            <w:tcW w:w="741" w:type="pct"/>
            <w:shd w:val="clear" w:color="C0E6F5" w:fill="C0E6F5"/>
            <w:tcMar>
              <w:left w:w="28" w:type="dxa"/>
              <w:right w:w="28" w:type="dxa"/>
            </w:tcMar>
            <w:vAlign w:val="center"/>
            <w:hideMark/>
          </w:tcPr>
          <w:p w14:paraId="1AAA823A"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0.857 → 1.245</w:t>
            </w:r>
          </w:p>
        </w:tc>
        <w:tc>
          <w:tcPr>
            <w:tcW w:w="617" w:type="pct"/>
            <w:shd w:val="clear" w:color="C0E6F5" w:fill="C0E6F5"/>
            <w:tcMar>
              <w:left w:w="28" w:type="dxa"/>
              <w:right w:w="28" w:type="dxa"/>
            </w:tcMar>
            <w:vAlign w:val="center"/>
            <w:hideMark/>
          </w:tcPr>
          <w:p w14:paraId="1A529C00"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1.45×</w:t>
            </w:r>
          </w:p>
        </w:tc>
        <w:tc>
          <w:tcPr>
            <w:tcW w:w="741" w:type="pct"/>
            <w:shd w:val="clear" w:color="C0E6F5" w:fill="C0E6F5"/>
            <w:tcMar>
              <w:left w:w="28" w:type="dxa"/>
              <w:right w:w="28" w:type="dxa"/>
            </w:tcMar>
            <w:vAlign w:val="center"/>
            <w:hideMark/>
          </w:tcPr>
          <w:p w14:paraId="6E3776ED"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1.51×</w:t>
            </w:r>
          </w:p>
        </w:tc>
        <w:tc>
          <w:tcPr>
            <w:tcW w:w="556" w:type="pct"/>
            <w:shd w:val="clear" w:color="C0E6F5" w:fill="C0E6F5"/>
            <w:tcMar>
              <w:left w:w="28" w:type="dxa"/>
              <w:right w:w="28" w:type="dxa"/>
            </w:tcMar>
            <w:vAlign w:val="center"/>
            <w:hideMark/>
          </w:tcPr>
          <w:p w14:paraId="60DA5483"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90.0%</w:t>
            </w:r>
          </w:p>
        </w:tc>
        <w:tc>
          <w:tcPr>
            <w:tcW w:w="864" w:type="pct"/>
            <w:shd w:val="clear" w:color="C0E6F5" w:fill="C0E6F5"/>
            <w:tcMar>
              <w:left w:w="28" w:type="dxa"/>
              <w:right w:w="28" w:type="dxa"/>
            </w:tcMar>
            <w:vAlign w:val="center"/>
            <w:hideMark/>
          </w:tcPr>
          <w:p w14:paraId="32E90D84"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0.866; 93.1% agreement</w:t>
            </w:r>
          </w:p>
        </w:tc>
        <w:tc>
          <w:tcPr>
            <w:tcW w:w="1049" w:type="pct"/>
            <w:shd w:val="clear" w:color="C0E6F5" w:fill="C0E6F5"/>
            <w:tcMar>
              <w:left w:w="28" w:type="dxa"/>
              <w:right w:w="28" w:type="dxa"/>
            </w:tcMar>
            <w:vAlign w:val="center"/>
            <w:hideMark/>
          </w:tcPr>
          <w:p w14:paraId="31B85852"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scale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0.197; 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variance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0.478</w:t>
            </w:r>
          </w:p>
        </w:tc>
      </w:tr>
      <w:tr w:rsidR="00221421" w:rsidRPr="00CB63E4" w14:paraId="46151904" w14:textId="77777777" w:rsidTr="00A54F0D">
        <w:trPr>
          <w:trHeight w:val="480"/>
        </w:trPr>
        <w:tc>
          <w:tcPr>
            <w:tcW w:w="432" w:type="pct"/>
            <w:tcMar>
              <w:left w:w="28" w:type="dxa"/>
              <w:right w:w="28" w:type="dxa"/>
            </w:tcMar>
            <w:vAlign w:val="center"/>
            <w:hideMark/>
          </w:tcPr>
          <w:p w14:paraId="77FD0EDE"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RMSE</w:t>
            </w:r>
          </w:p>
        </w:tc>
        <w:tc>
          <w:tcPr>
            <w:tcW w:w="741" w:type="pct"/>
            <w:tcMar>
              <w:left w:w="28" w:type="dxa"/>
              <w:right w:w="28" w:type="dxa"/>
            </w:tcMar>
            <w:vAlign w:val="center"/>
            <w:hideMark/>
          </w:tcPr>
          <w:p w14:paraId="423042E0"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1.087 → 1.732</w:t>
            </w:r>
          </w:p>
        </w:tc>
        <w:tc>
          <w:tcPr>
            <w:tcW w:w="617" w:type="pct"/>
            <w:tcMar>
              <w:left w:w="28" w:type="dxa"/>
              <w:right w:w="28" w:type="dxa"/>
            </w:tcMar>
            <w:vAlign w:val="center"/>
            <w:hideMark/>
          </w:tcPr>
          <w:p w14:paraId="50825853"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1.59×</w:t>
            </w:r>
          </w:p>
        </w:tc>
        <w:tc>
          <w:tcPr>
            <w:tcW w:w="741" w:type="pct"/>
            <w:tcMar>
              <w:left w:w="28" w:type="dxa"/>
              <w:right w:w="28" w:type="dxa"/>
            </w:tcMar>
            <w:vAlign w:val="center"/>
            <w:hideMark/>
          </w:tcPr>
          <w:p w14:paraId="338356E6"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1.55×</w:t>
            </w:r>
          </w:p>
        </w:tc>
        <w:tc>
          <w:tcPr>
            <w:tcW w:w="556" w:type="pct"/>
            <w:tcMar>
              <w:left w:w="28" w:type="dxa"/>
              <w:right w:w="28" w:type="dxa"/>
            </w:tcMar>
            <w:vAlign w:val="center"/>
            <w:hideMark/>
          </w:tcPr>
          <w:p w14:paraId="50A97ADD"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92.7%</w:t>
            </w:r>
          </w:p>
        </w:tc>
        <w:tc>
          <w:tcPr>
            <w:tcW w:w="864" w:type="pct"/>
            <w:tcMar>
              <w:left w:w="28" w:type="dxa"/>
              <w:right w:w="28" w:type="dxa"/>
            </w:tcMar>
            <w:vAlign w:val="center"/>
            <w:hideMark/>
          </w:tcPr>
          <w:p w14:paraId="10DB4ACD"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0.750; 90.3% agreement</w:t>
            </w:r>
          </w:p>
        </w:tc>
        <w:tc>
          <w:tcPr>
            <w:tcW w:w="1049" w:type="pct"/>
            <w:tcMar>
              <w:left w:w="28" w:type="dxa"/>
              <w:right w:w="28" w:type="dxa"/>
            </w:tcMar>
            <w:vAlign w:val="center"/>
            <w:hideMark/>
          </w:tcPr>
          <w:p w14:paraId="47D15E22"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scale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0.260; 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variance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0.473</w:t>
            </w:r>
          </w:p>
        </w:tc>
      </w:tr>
      <w:tr w:rsidR="00221421" w:rsidRPr="00CB63E4" w14:paraId="31BF3305" w14:textId="77777777" w:rsidTr="00A54F0D">
        <w:trPr>
          <w:trHeight w:val="480"/>
        </w:trPr>
        <w:tc>
          <w:tcPr>
            <w:tcW w:w="432" w:type="pct"/>
            <w:shd w:val="clear" w:color="C0E6F5" w:fill="C0E6F5"/>
            <w:tcMar>
              <w:left w:w="28" w:type="dxa"/>
              <w:right w:w="28" w:type="dxa"/>
            </w:tcMar>
            <w:vAlign w:val="center"/>
            <w:hideMark/>
          </w:tcPr>
          <w:p w14:paraId="326D800D" w14:textId="77777777" w:rsidR="00221421" w:rsidRPr="003D2061" w:rsidRDefault="00221421" w:rsidP="00A54F0D">
            <w:pPr>
              <w:widowControl/>
              <w:jc w:val="center"/>
              <w:rPr>
                <w:rFonts w:ascii="Times New Roman" w:eastAsia="宋体" w:hAnsi="Times New Roman" w:cs="Times New Roman"/>
                <w:color w:val="000000"/>
                <w:kern w:val="0"/>
                <w:sz w:val="18"/>
                <w:szCs w:val="18"/>
              </w:rPr>
            </w:pPr>
            <w:proofErr w:type="spellStart"/>
            <w:r w:rsidRPr="003D2061">
              <w:rPr>
                <w:rFonts w:ascii="Times New Roman" w:eastAsia="宋体" w:hAnsi="Times New Roman" w:cs="Times New Roman"/>
                <w:color w:val="000000"/>
                <w:kern w:val="0"/>
                <w:sz w:val="18"/>
                <w:szCs w:val="18"/>
              </w:rPr>
              <w:t>relMAE</w:t>
            </w:r>
            <w:proofErr w:type="spellEnd"/>
          </w:p>
        </w:tc>
        <w:tc>
          <w:tcPr>
            <w:tcW w:w="741" w:type="pct"/>
            <w:shd w:val="clear" w:color="C0E6F5" w:fill="C0E6F5"/>
            <w:tcMar>
              <w:left w:w="28" w:type="dxa"/>
              <w:right w:w="28" w:type="dxa"/>
            </w:tcMar>
            <w:vAlign w:val="center"/>
            <w:hideMark/>
          </w:tcPr>
          <w:p w14:paraId="2DD64525"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0.190 → 0.256</w:t>
            </w:r>
          </w:p>
        </w:tc>
        <w:tc>
          <w:tcPr>
            <w:tcW w:w="617" w:type="pct"/>
            <w:shd w:val="clear" w:color="C0E6F5" w:fill="C0E6F5"/>
            <w:tcMar>
              <w:left w:w="28" w:type="dxa"/>
              <w:right w:w="28" w:type="dxa"/>
            </w:tcMar>
            <w:vAlign w:val="center"/>
            <w:hideMark/>
          </w:tcPr>
          <w:p w14:paraId="10276ECA"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1.35×</w:t>
            </w:r>
          </w:p>
        </w:tc>
        <w:tc>
          <w:tcPr>
            <w:tcW w:w="741" w:type="pct"/>
            <w:shd w:val="clear" w:color="C0E6F5" w:fill="C0E6F5"/>
            <w:tcMar>
              <w:left w:w="28" w:type="dxa"/>
              <w:right w:w="28" w:type="dxa"/>
            </w:tcMar>
            <w:vAlign w:val="center"/>
            <w:hideMark/>
          </w:tcPr>
          <w:p w14:paraId="53D206C3"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1.80×</w:t>
            </w:r>
          </w:p>
        </w:tc>
        <w:tc>
          <w:tcPr>
            <w:tcW w:w="556" w:type="pct"/>
            <w:shd w:val="clear" w:color="C0E6F5" w:fill="C0E6F5"/>
            <w:tcMar>
              <w:left w:w="28" w:type="dxa"/>
              <w:right w:w="28" w:type="dxa"/>
            </w:tcMar>
            <w:vAlign w:val="center"/>
            <w:hideMark/>
          </w:tcPr>
          <w:p w14:paraId="3B5A3657"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90.0%</w:t>
            </w:r>
          </w:p>
        </w:tc>
        <w:tc>
          <w:tcPr>
            <w:tcW w:w="864" w:type="pct"/>
            <w:shd w:val="clear" w:color="C0E6F5" w:fill="C0E6F5"/>
            <w:tcMar>
              <w:left w:w="28" w:type="dxa"/>
              <w:right w:w="28" w:type="dxa"/>
            </w:tcMar>
            <w:vAlign w:val="center"/>
            <w:hideMark/>
          </w:tcPr>
          <w:p w14:paraId="0EE376BC"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Reference</w:t>
            </w:r>
          </w:p>
        </w:tc>
        <w:tc>
          <w:tcPr>
            <w:tcW w:w="1049" w:type="pct"/>
            <w:shd w:val="clear" w:color="C0E6F5" w:fill="C0E6F5"/>
            <w:tcMar>
              <w:left w:w="28" w:type="dxa"/>
              <w:right w:w="28" w:type="dxa"/>
            </w:tcMar>
            <w:vAlign w:val="center"/>
            <w:hideMark/>
          </w:tcPr>
          <w:p w14:paraId="474EB694"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scale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-0.213; 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variance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0.267</w:t>
            </w:r>
          </w:p>
        </w:tc>
      </w:tr>
      <w:tr w:rsidR="00221421" w:rsidRPr="00CB63E4" w14:paraId="5FD3E0CA" w14:textId="77777777" w:rsidTr="00A54F0D">
        <w:trPr>
          <w:trHeight w:val="480"/>
        </w:trPr>
        <w:tc>
          <w:tcPr>
            <w:tcW w:w="432" w:type="pct"/>
            <w:tcMar>
              <w:left w:w="28" w:type="dxa"/>
              <w:right w:w="28" w:type="dxa"/>
            </w:tcMar>
            <w:vAlign w:val="center"/>
            <w:hideMark/>
          </w:tcPr>
          <w:p w14:paraId="0F1505D6"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R²</w:t>
            </w:r>
          </w:p>
        </w:tc>
        <w:tc>
          <w:tcPr>
            <w:tcW w:w="741" w:type="pct"/>
            <w:tcMar>
              <w:left w:w="28" w:type="dxa"/>
              <w:right w:w="28" w:type="dxa"/>
            </w:tcMar>
            <w:vAlign w:val="center"/>
            <w:hideMark/>
          </w:tcPr>
          <w:p w14:paraId="348D8D01"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0.689 → 0.351</w:t>
            </w:r>
          </w:p>
        </w:tc>
        <w:tc>
          <w:tcPr>
            <w:tcW w:w="617" w:type="pct"/>
            <w:tcMar>
              <w:left w:w="28" w:type="dxa"/>
              <w:right w:w="28" w:type="dxa"/>
            </w:tcMar>
            <w:vAlign w:val="center"/>
            <w:hideMark/>
          </w:tcPr>
          <w:p w14:paraId="356723EC"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0.338 drop</w:t>
            </w:r>
          </w:p>
        </w:tc>
        <w:tc>
          <w:tcPr>
            <w:tcW w:w="741" w:type="pct"/>
            <w:tcMar>
              <w:left w:w="28" w:type="dxa"/>
              <w:right w:w="28" w:type="dxa"/>
            </w:tcMar>
            <w:vAlign w:val="center"/>
            <w:hideMark/>
          </w:tcPr>
          <w:p w14:paraId="50D9F64A"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0.215 drop</w:t>
            </w:r>
          </w:p>
        </w:tc>
        <w:tc>
          <w:tcPr>
            <w:tcW w:w="556" w:type="pct"/>
            <w:tcMar>
              <w:left w:w="28" w:type="dxa"/>
              <w:right w:w="28" w:type="dxa"/>
            </w:tcMar>
            <w:vAlign w:val="center"/>
            <w:hideMark/>
          </w:tcPr>
          <w:p w14:paraId="54CA61C1"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90.3%</w:t>
            </w:r>
          </w:p>
        </w:tc>
        <w:tc>
          <w:tcPr>
            <w:tcW w:w="864" w:type="pct"/>
            <w:tcMar>
              <w:left w:w="28" w:type="dxa"/>
              <w:right w:w="28" w:type="dxa"/>
            </w:tcMar>
            <w:vAlign w:val="center"/>
            <w:hideMark/>
          </w:tcPr>
          <w:p w14:paraId="73150007"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0.549; 88.0% agreement</w:t>
            </w:r>
          </w:p>
        </w:tc>
        <w:tc>
          <w:tcPr>
            <w:tcW w:w="1049" w:type="pct"/>
            <w:tcMar>
              <w:left w:w="28" w:type="dxa"/>
              <w:right w:w="28" w:type="dxa"/>
            </w:tcMar>
            <w:vAlign w:val="center"/>
            <w:hideMark/>
          </w:tcPr>
          <w:p w14:paraId="07AF015C"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scale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-0.020; 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variance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-0.115</w:t>
            </w:r>
          </w:p>
        </w:tc>
      </w:tr>
      <w:tr w:rsidR="00221421" w:rsidRPr="00CB63E4" w14:paraId="4E797379" w14:textId="77777777" w:rsidTr="00A54F0D">
        <w:trPr>
          <w:trHeight w:val="480"/>
        </w:trPr>
        <w:tc>
          <w:tcPr>
            <w:tcW w:w="432" w:type="pct"/>
            <w:shd w:val="clear" w:color="C0E6F5" w:fill="C0E6F5"/>
            <w:tcMar>
              <w:left w:w="28" w:type="dxa"/>
              <w:right w:w="28" w:type="dxa"/>
            </w:tcMar>
            <w:vAlign w:val="center"/>
            <w:hideMark/>
          </w:tcPr>
          <w:p w14:paraId="5E639254"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Pearson r</w:t>
            </w:r>
          </w:p>
        </w:tc>
        <w:tc>
          <w:tcPr>
            <w:tcW w:w="741" w:type="pct"/>
            <w:shd w:val="clear" w:color="C0E6F5" w:fill="C0E6F5"/>
            <w:tcMar>
              <w:left w:w="28" w:type="dxa"/>
              <w:right w:w="28" w:type="dxa"/>
            </w:tcMar>
            <w:vAlign w:val="center"/>
            <w:hideMark/>
          </w:tcPr>
          <w:p w14:paraId="2CF17E67"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0.850 → 0.721</w:t>
            </w:r>
          </w:p>
        </w:tc>
        <w:tc>
          <w:tcPr>
            <w:tcW w:w="617" w:type="pct"/>
            <w:shd w:val="clear" w:color="C0E6F5" w:fill="C0E6F5"/>
            <w:tcMar>
              <w:left w:w="28" w:type="dxa"/>
              <w:right w:w="28" w:type="dxa"/>
            </w:tcMar>
            <w:vAlign w:val="center"/>
            <w:hideMark/>
          </w:tcPr>
          <w:p w14:paraId="478AFFBF"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0.129 drop</w:t>
            </w:r>
          </w:p>
        </w:tc>
        <w:tc>
          <w:tcPr>
            <w:tcW w:w="741" w:type="pct"/>
            <w:shd w:val="clear" w:color="C0E6F5" w:fill="C0E6F5"/>
            <w:tcMar>
              <w:left w:w="28" w:type="dxa"/>
              <w:right w:w="28" w:type="dxa"/>
            </w:tcMar>
            <w:vAlign w:val="center"/>
            <w:hideMark/>
          </w:tcPr>
          <w:p w14:paraId="3A82236B"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0.097 drop</w:t>
            </w:r>
          </w:p>
        </w:tc>
        <w:tc>
          <w:tcPr>
            <w:tcW w:w="556" w:type="pct"/>
            <w:shd w:val="clear" w:color="C0E6F5" w:fill="C0E6F5"/>
            <w:tcMar>
              <w:left w:w="28" w:type="dxa"/>
              <w:right w:w="28" w:type="dxa"/>
            </w:tcMar>
            <w:vAlign w:val="center"/>
            <w:hideMark/>
          </w:tcPr>
          <w:p w14:paraId="2D95A254"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89.2%</w:t>
            </w:r>
          </w:p>
        </w:tc>
        <w:tc>
          <w:tcPr>
            <w:tcW w:w="864" w:type="pct"/>
            <w:shd w:val="clear" w:color="C0E6F5" w:fill="C0E6F5"/>
            <w:tcMar>
              <w:left w:w="28" w:type="dxa"/>
              <w:right w:w="28" w:type="dxa"/>
            </w:tcMar>
            <w:vAlign w:val="center"/>
            <w:hideMark/>
          </w:tcPr>
          <w:p w14:paraId="60813DEA"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0.409; 84.6% agreement</w:t>
            </w:r>
          </w:p>
        </w:tc>
        <w:tc>
          <w:tcPr>
            <w:tcW w:w="1049" w:type="pct"/>
            <w:shd w:val="clear" w:color="C0E6F5" w:fill="C0E6F5"/>
            <w:tcMar>
              <w:left w:w="28" w:type="dxa"/>
              <w:right w:w="28" w:type="dxa"/>
            </w:tcMar>
            <w:vAlign w:val="center"/>
            <w:hideMark/>
          </w:tcPr>
          <w:p w14:paraId="59312C33"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scale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0.067; 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variance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-0.116</w:t>
            </w:r>
          </w:p>
        </w:tc>
      </w:tr>
      <w:tr w:rsidR="00221421" w:rsidRPr="00CB63E4" w14:paraId="4F8847EC" w14:textId="77777777" w:rsidTr="00A54F0D">
        <w:trPr>
          <w:trHeight w:val="480"/>
        </w:trPr>
        <w:tc>
          <w:tcPr>
            <w:tcW w:w="432" w:type="pct"/>
            <w:tcMar>
              <w:left w:w="28" w:type="dxa"/>
              <w:right w:w="28" w:type="dxa"/>
            </w:tcMar>
            <w:vAlign w:val="center"/>
            <w:hideMark/>
          </w:tcPr>
          <w:p w14:paraId="244FC5B8"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Spearman ρ</w:t>
            </w:r>
          </w:p>
        </w:tc>
        <w:tc>
          <w:tcPr>
            <w:tcW w:w="741" w:type="pct"/>
            <w:tcMar>
              <w:left w:w="28" w:type="dxa"/>
              <w:right w:w="28" w:type="dxa"/>
            </w:tcMar>
            <w:vAlign w:val="center"/>
            <w:hideMark/>
          </w:tcPr>
          <w:p w14:paraId="2360F8BD"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0.848 → 0.746</w:t>
            </w:r>
          </w:p>
        </w:tc>
        <w:tc>
          <w:tcPr>
            <w:tcW w:w="617" w:type="pct"/>
            <w:tcMar>
              <w:left w:w="28" w:type="dxa"/>
              <w:right w:w="28" w:type="dxa"/>
            </w:tcMar>
            <w:vAlign w:val="center"/>
            <w:hideMark/>
          </w:tcPr>
          <w:p w14:paraId="5A333CC8"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0.102 drop</w:t>
            </w:r>
          </w:p>
        </w:tc>
        <w:tc>
          <w:tcPr>
            <w:tcW w:w="741" w:type="pct"/>
            <w:tcMar>
              <w:left w:w="28" w:type="dxa"/>
              <w:right w:w="28" w:type="dxa"/>
            </w:tcMar>
            <w:vAlign w:val="center"/>
            <w:hideMark/>
          </w:tcPr>
          <w:p w14:paraId="7AAFA17D"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0.063 drop</w:t>
            </w:r>
          </w:p>
        </w:tc>
        <w:tc>
          <w:tcPr>
            <w:tcW w:w="556" w:type="pct"/>
            <w:tcMar>
              <w:left w:w="28" w:type="dxa"/>
              <w:right w:w="28" w:type="dxa"/>
            </w:tcMar>
            <w:vAlign w:val="center"/>
            <w:hideMark/>
          </w:tcPr>
          <w:p w14:paraId="3ED33AA3"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84.2%</w:t>
            </w:r>
          </w:p>
        </w:tc>
        <w:tc>
          <w:tcPr>
            <w:tcW w:w="864" w:type="pct"/>
            <w:tcMar>
              <w:left w:w="28" w:type="dxa"/>
              <w:right w:w="28" w:type="dxa"/>
            </w:tcMar>
            <w:vAlign w:val="center"/>
            <w:hideMark/>
          </w:tcPr>
          <w:p w14:paraId="487D4D5D"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0.271; 82.6% agreement</w:t>
            </w:r>
          </w:p>
        </w:tc>
        <w:tc>
          <w:tcPr>
            <w:tcW w:w="1049" w:type="pct"/>
            <w:tcMar>
              <w:left w:w="28" w:type="dxa"/>
              <w:right w:w="28" w:type="dxa"/>
            </w:tcMar>
            <w:vAlign w:val="center"/>
            <w:hideMark/>
          </w:tcPr>
          <w:p w14:paraId="0A0DD3F0" w14:textId="77777777" w:rsidR="00221421" w:rsidRPr="003D2061" w:rsidRDefault="00221421" w:rsidP="00A54F0D">
            <w:pPr>
              <w:widowControl/>
              <w:jc w:val="center"/>
              <w:rPr>
                <w:rFonts w:ascii="Times New Roman" w:eastAsia="宋体" w:hAnsi="Times New Roman" w:cs="Times New Roman"/>
                <w:color w:val="000000"/>
                <w:kern w:val="0"/>
                <w:sz w:val="18"/>
                <w:szCs w:val="18"/>
              </w:rPr>
            </w:pPr>
            <w:r w:rsidRPr="003D2061">
              <w:rPr>
                <w:rFonts w:ascii="Times New Roman" w:eastAsia="宋体" w:hAnsi="Times New Roman" w:cs="Times New Roman"/>
                <w:color w:val="000000"/>
                <w:kern w:val="0"/>
                <w:sz w:val="18"/>
                <w:szCs w:val="18"/>
              </w:rPr>
              <w:t>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scale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0.176; ρ</w:t>
            </w:r>
            <w:r w:rsidRPr="00CB63E4">
              <w:rPr>
                <w:rFonts w:ascii="Times New Roman" w:eastAsia="宋体" w:hAnsi="Times New Roman" w:cs="Times New Roman"/>
                <w:color w:val="000000"/>
                <w:kern w:val="0"/>
                <w:sz w:val="18"/>
                <w:szCs w:val="18"/>
              </w:rPr>
              <w:t>-</w:t>
            </w:r>
            <w:r w:rsidRPr="003D2061">
              <w:rPr>
                <w:rFonts w:ascii="Times New Roman" w:eastAsia="宋体" w:hAnsi="Times New Roman" w:cs="Times New Roman"/>
                <w:color w:val="000000"/>
                <w:kern w:val="0"/>
                <w:sz w:val="18"/>
                <w:szCs w:val="18"/>
              </w:rPr>
              <w:t>variance</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w:t>
            </w:r>
            <w:r w:rsidRPr="00CB63E4">
              <w:rPr>
                <w:rFonts w:ascii="Times New Roman" w:eastAsia="宋体" w:hAnsi="Times New Roman" w:cs="Times New Roman"/>
                <w:color w:val="000000"/>
                <w:kern w:val="0"/>
                <w:sz w:val="18"/>
                <w:szCs w:val="18"/>
              </w:rPr>
              <w:t xml:space="preserve"> </w:t>
            </w:r>
            <w:r w:rsidRPr="003D2061">
              <w:rPr>
                <w:rFonts w:ascii="Times New Roman" w:eastAsia="宋体" w:hAnsi="Times New Roman" w:cs="Times New Roman"/>
                <w:color w:val="000000"/>
                <w:kern w:val="0"/>
                <w:sz w:val="18"/>
                <w:szCs w:val="18"/>
              </w:rPr>
              <w:t>-0.051</w:t>
            </w:r>
          </w:p>
        </w:tc>
      </w:tr>
    </w:tbl>
    <w:p w14:paraId="3A3C093E" w14:textId="77777777" w:rsidR="00221421" w:rsidRPr="00CB63E4"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p>
    <w:p w14:paraId="2C3B6791" w14:textId="0A08E540" w:rsidR="00221421" w:rsidRPr="00CB63E4"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r w:rsidRPr="00EA6CC1">
        <w:rPr>
          <w:rFonts w:ascii="Times New Roman" w:hAnsi="Times New Roman"/>
          <w:b/>
          <w:bCs/>
          <w:color w:val="000000" w:themeColor="text1"/>
        </w:rPr>
        <w:t xml:space="preserve">Supplementary Table </w:t>
      </w:r>
      <w:r w:rsidR="00B77EBF">
        <w:rPr>
          <w:rFonts w:ascii="Times New Roman" w:hAnsi="Times New Roman" w:hint="eastAsia"/>
          <w:b/>
          <w:bCs/>
          <w:color w:val="000000" w:themeColor="text1"/>
        </w:rPr>
        <w:t>10</w:t>
      </w:r>
      <w:r w:rsidRPr="00EA6CC1">
        <w:rPr>
          <w:rFonts w:ascii="Times New Roman" w:hAnsi="Times New Roman"/>
          <w:b/>
          <w:bCs/>
          <w:color w:val="000000" w:themeColor="text1"/>
        </w:rPr>
        <w:t>. High-multiple regression error enrichment relative to ordinary fold-to-fold variability.</w:t>
      </w:r>
      <w:r w:rsidRPr="00CB63E4">
        <w:rPr>
          <w:rFonts w:ascii="Times New Roman" w:hAnsi="Times New Roman"/>
          <w:b/>
          <w:bCs/>
          <w:color w:val="000000" w:themeColor="text1"/>
        </w:rPr>
        <w:t xml:space="preserve"> </w:t>
      </w:r>
      <w:r w:rsidRPr="00EA6CC1">
        <w:rPr>
          <w:rFonts w:ascii="Times New Roman" w:hAnsi="Times New Roman"/>
          <w:color w:val="000000" w:themeColor="text1"/>
        </w:rPr>
        <w:t xml:space="preserve">Panel A reports benchmark-specific </w:t>
      </w:r>
      <w:proofErr w:type="spellStart"/>
      <w:r w:rsidRPr="00EA6CC1">
        <w:rPr>
          <w:rFonts w:ascii="Times New Roman" w:hAnsi="Times New Roman"/>
          <w:color w:val="000000" w:themeColor="text1"/>
        </w:rPr>
        <w:t>relMAE</w:t>
      </w:r>
      <w:proofErr w:type="spellEnd"/>
      <w:r w:rsidRPr="00EA6CC1">
        <w:rPr>
          <w:rFonts w:ascii="Times New Roman" w:hAnsi="Times New Roman"/>
          <w:color w:val="000000" w:themeColor="text1"/>
        </w:rPr>
        <w:t xml:space="preserve"> tail enrichment under no-scaffold exposure, using the same benchmark-level ordinary fold-to-fold reference as the main regression tail-risk analysis. Tail enrichment is defined as the no-scaffold tail probability divided by the ordinary fold-to-fold tail probability at the corresponding threshold. Panel B provides pooled robustness checks using raw MAE and RMSE ratios.</w:t>
      </w:r>
    </w:p>
    <w:tbl>
      <w:tblPr>
        <w:tblW w:w="5000" w:type="pct"/>
        <w:tblLook w:val="04A0" w:firstRow="1" w:lastRow="0" w:firstColumn="1" w:lastColumn="0" w:noHBand="0" w:noVBand="1"/>
      </w:tblPr>
      <w:tblGrid>
        <w:gridCol w:w="881"/>
        <w:gridCol w:w="1416"/>
        <w:gridCol w:w="1031"/>
        <w:gridCol w:w="1777"/>
        <w:gridCol w:w="2077"/>
        <w:gridCol w:w="1180"/>
      </w:tblGrid>
      <w:tr w:rsidR="00221421" w:rsidRPr="006D7C1C" w14:paraId="040D0285" w14:textId="77777777" w:rsidTr="00A54F0D">
        <w:trPr>
          <w:trHeight w:val="439"/>
        </w:trPr>
        <w:tc>
          <w:tcPr>
            <w:tcW w:w="5000" w:type="pct"/>
            <w:gridSpan w:val="6"/>
            <w:tcBorders>
              <w:top w:val="nil"/>
              <w:left w:val="nil"/>
              <w:bottom w:val="single" w:sz="4" w:space="0" w:color="auto"/>
              <w:right w:val="nil"/>
            </w:tcBorders>
            <w:shd w:val="clear" w:color="000000" w:fill="D9EAF7"/>
            <w:tcMar>
              <w:left w:w="28" w:type="dxa"/>
              <w:right w:w="28" w:type="dxa"/>
            </w:tcMar>
            <w:vAlign w:val="center"/>
            <w:hideMark/>
          </w:tcPr>
          <w:p w14:paraId="7E00E98F" w14:textId="77777777" w:rsidR="00221421" w:rsidRPr="006D7C1C" w:rsidRDefault="00221421" w:rsidP="00A54F0D">
            <w:pPr>
              <w:widowControl/>
              <w:jc w:val="left"/>
              <w:rPr>
                <w:rFonts w:ascii="Times New Roman" w:eastAsia="宋体" w:hAnsi="Times New Roman" w:cs="Times New Roman"/>
                <w:b/>
                <w:bCs/>
                <w:color w:val="000000"/>
                <w:kern w:val="0"/>
                <w:szCs w:val="21"/>
              </w:rPr>
            </w:pPr>
            <w:r w:rsidRPr="006D7C1C">
              <w:rPr>
                <w:rFonts w:ascii="Times New Roman" w:eastAsia="宋体" w:hAnsi="Times New Roman" w:cs="Times New Roman"/>
                <w:b/>
                <w:bCs/>
                <w:color w:val="000000"/>
                <w:kern w:val="0"/>
                <w:szCs w:val="21"/>
              </w:rPr>
              <w:t xml:space="preserve">Panel A. Benchmark-specific </w:t>
            </w:r>
            <w:proofErr w:type="spellStart"/>
            <w:r w:rsidRPr="006D7C1C">
              <w:rPr>
                <w:rFonts w:ascii="Times New Roman" w:eastAsia="宋体" w:hAnsi="Times New Roman" w:cs="Times New Roman"/>
                <w:b/>
                <w:bCs/>
                <w:color w:val="000000"/>
                <w:kern w:val="0"/>
                <w:szCs w:val="21"/>
              </w:rPr>
              <w:t>relMAE</w:t>
            </w:r>
            <w:proofErr w:type="spellEnd"/>
            <w:r w:rsidRPr="006D7C1C">
              <w:rPr>
                <w:rFonts w:ascii="Times New Roman" w:eastAsia="宋体" w:hAnsi="Times New Roman" w:cs="Times New Roman"/>
                <w:b/>
                <w:bCs/>
                <w:color w:val="000000"/>
                <w:kern w:val="0"/>
                <w:szCs w:val="21"/>
              </w:rPr>
              <w:t xml:space="preserve"> tail enrichment</w:t>
            </w:r>
          </w:p>
        </w:tc>
      </w:tr>
      <w:tr w:rsidR="00221421" w:rsidRPr="006D7C1C" w14:paraId="626CC214" w14:textId="77777777" w:rsidTr="00A54F0D">
        <w:trPr>
          <w:trHeight w:val="762"/>
        </w:trPr>
        <w:tc>
          <w:tcPr>
            <w:tcW w:w="536"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02266DA1"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t>Metric</w:t>
            </w:r>
          </w:p>
        </w:tc>
        <w:tc>
          <w:tcPr>
            <w:tcW w:w="804"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17486DA4"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t>Benchmark</w:t>
            </w:r>
          </w:p>
        </w:tc>
        <w:tc>
          <w:tcPr>
            <w:tcW w:w="625"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50A2F03D"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t>Tail criterion</w:t>
            </w:r>
          </w:p>
        </w:tc>
        <w:tc>
          <w:tcPr>
            <w:tcW w:w="1071"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15E745D4"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t>No-scaffold tail probability</w:t>
            </w:r>
          </w:p>
        </w:tc>
        <w:tc>
          <w:tcPr>
            <w:tcW w:w="1250"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646E9E8B"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t>Ordinary fold-to-fold tail probability</w:t>
            </w:r>
          </w:p>
        </w:tc>
        <w:tc>
          <w:tcPr>
            <w:tcW w:w="714"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02C5341C"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t>Tail enrichment</w:t>
            </w:r>
          </w:p>
        </w:tc>
      </w:tr>
      <w:tr w:rsidR="00221421" w:rsidRPr="006D7C1C" w14:paraId="7D388AF8" w14:textId="77777777" w:rsidTr="00A54F0D">
        <w:trPr>
          <w:trHeight w:val="480"/>
        </w:trPr>
        <w:tc>
          <w:tcPr>
            <w:tcW w:w="536"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15E640C" w14:textId="77777777" w:rsidR="00221421" w:rsidRPr="006D7C1C" w:rsidRDefault="00221421" w:rsidP="00A54F0D">
            <w:pPr>
              <w:widowControl/>
              <w:jc w:val="center"/>
              <w:rPr>
                <w:rFonts w:ascii="Times New Roman" w:eastAsia="宋体" w:hAnsi="Times New Roman" w:cs="Times New Roman"/>
                <w:color w:val="000000"/>
                <w:kern w:val="0"/>
                <w:sz w:val="18"/>
                <w:szCs w:val="18"/>
              </w:rPr>
            </w:pPr>
            <w:proofErr w:type="spellStart"/>
            <w:r w:rsidRPr="006D7C1C">
              <w:rPr>
                <w:rFonts w:ascii="Times New Roman" w:eastAsia="宋体" w:hAnsi="Times New Roman" w:cs="Times New Roman"/>
                <w:color w:val="000000"/>
                <w:kern w:val="0"/>
                <w:sz w:val="18"/>
                <w:szCs w:val="18"/>
              </w:rPr>
              <w:t>relMAE</w:t>
            </w:r>
            <w:proofErr w:type="spellEnd"/>
          </w:p>
        </w:tc>
        <w:tc>
          <w:tcPr>
            <w:tcW w:w="80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D30BE42" w14:textId="77777777" w:rsidR="00221421" w:rsidRPr="006D7C1C" w:rsidRDefault="00221421" w:rsidP="00A54F0D">
            <w:pPr>
              <w:widowControl/>
              <w:jc w:val="center"/>
              <w:rPr>
                <w:rFonts w:ascii="Times New Roman" w:eastAsia="宋体" w:hAnsi="Times New Roman" w:cs="Times New Roman"/>
                <w:color w:val="000000"/>
                <w:kern w:val="0"/>
                <w:sz w:val="18"/>
                <w:szCs w:val="18"/>
              </w:rPr>
            </w:pPr>
            <w:proofErr w:type="spellStart"/>
            <w:r w:rsidRPr="006D7C1C">
              <w:rPr>
                <w:rFonts w:ascii="Times New Roman" w:eastAsia="宋体" w:hAnsi="Times New Roman" w:cs="Times New Roman"/>
                <w:color w:val="000000"/>
                <w:kern w:val="0"/>
                <w:sz w:val="18"/>
                <w:szCs w:val="18"/>
              </w:rPr>
              <w:t>MoleculeNet</w:t>
            </w:r>
            <w:proofErr w:type="spellEnd"/>
          </w:p>
        </w:tc>
        <w:tc>
          <w:tcPr>
            <w:tcW w:w="625"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1FFAFA9"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≥2×</w:t>
            </w:r>
          </w:p>
        </w:tc>
        <w:tc>
          <w:tcPr>
            <w:tcW w:w="1071"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902C8E2"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45.6%</w:t>
            </w:r>
          </w:p>
        </w:tc>
        <w:tc>
          <w:tcPr>
            <w:tcW w:w="1250"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AE190A4"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1.76%</w:t>
            </w:r>
          </w:p>
        </w:tc>
        <w:tc>
          <w:tcPr>
            <w:tcW w:w="71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3A76DE3D"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26×</w:t>
            </w:r>
          </w:p>
        </w:tc>
      </w:tr>
      <w:tr w:rsidR="00221421" w:rsidRPr="006D7C1C" w14:paraId="35B0EC67" w14:textId="77777777" w:rsidTr="00A54F0D">
        <w:trPr>
          <w:trHeight w:val="480"/>
        </w:trPr>
        <w:tc>
          <w:tcPr>
            <w:tcW w:w="53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3850DD" w14:textId="77777777" w:rsidR="00221421" w:rsidRPr="006D7C1C" w:rsidRDefault="00221421" w:rsidP="00A54F0D">
            <w:pPr>
              <w:widowControl/>
              <w:jc w:val="center"/>
              <w:rPr>
                <w:rFonts w:ascii="Times New Roman" w:eastAsia="宋体" w:hAnsi="Times New Roman" w:cs="Times New Roman"/>
                <w:color w:val="000000"/>
                <w:kern w:val="0"/>
                <w:sz w:val="18"/>
                <w:szCs w:val="18"/>
              </w:rPr>
            </w:pPr>
            <w:proofErr w:type="spellStart"/>
            <w:r w:rsidRPr="006D7C1C">
              <w:rPr>
                <w:rFonts w:ascii="Times New Roman" w:eastAsia="宋体" w:hAnsi="Times New Roman" w:cs="Times New Roman"/>
                <w:color w:val="000000"/>
                <w:kern w:val="0"/>
                <w:sz w:val="18"/>
                <w:szCs w:val="18"/>
              </w:rPr>
              <w:t>relMAE</w:t>
            </w:r>
            <w:proofErr w:type="spellEnd"/>
          </w:p>
        </w:tc>
        <w:tc>
          <w:tcPr>
            <w:tcW w:w="80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4832964"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Deep-PK/ADMET</w:t>
            </w:r>
          </w:p>
        </w:tc>
        <w:tc>
          <w:tcPr>
            <w:tcW w:w="62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6D7CBF3"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≥2×</w:t>
            </w:r>
          </w:p>
        </w:tc>
        <w:tc>
          <w:tcPr>
            <w:tcW w:w="107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B81565"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43.8%</w:t>
            </w:r>
          </w:p>
        </w:tc>
        <w:tc>
          <w:tcPr>
            <w:tcW w:w="125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19C804"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1.32%</w:t>
            </w:r>
          </w:p>
        </w:tc>
        <w:tc>
          <w:tcPr>
            <w:tcW w:w="71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C1B12E6"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33×</w:t>
            </w:r>
          </w:p>
        </w:tc>
      </w:tr>
      <w:tr w:rsidR="00221421" w:rsidRPr="006D7C1C" w14:paraId="21CB76E5" w14:textId="77777777" w:rsidTr="00A54F0D">
        <w:trPr>
          <w:trHeight w:val="480"/>
        </w:trPr>
        <w:tc>
          <w:tcPr>
            <w:tcW w:w="536"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5F6A0628" w14:textId="77777777" w:rsidR="00221421" w:rsidRPr="006D7C1C" w:rsidRDefault="00221421" w:rsidP="00A54F0D">
            <w:pPr>
              <w:widowControl/>
              <w:jc w:val="center"/>
              <w:rPr>
                <w:rFonts w:ascii="Times New Roman" w:eastAsia="宋体" w:hAnsi="Times New Roman" w:cs="Times New Roman"/>
                <w:color w:val="000000"/>
                <w:kern w:val="0"/>
                <w:sz w:val="18"/>
                <w:szCs w:val="18"/>
              </w:rPr>
            </w:pPr>
            <w:proofErr w:type="spellStart"/>
            <w:r w:rsidRPr="006D7C1C">
              <w:rPr>
                <w:rFonts w:ascii="Times New Roman" w:eastAsia="宋体" w:hAnsi="Times New Roman" w:cs="Times New Roman"/>
                <w:color w:val="000000"/>
                <w:kern w:val="0"/>
                <w:sz w:val="18"/>
                <w:szCs w:val="18"/>
              </w:rPr>
              <w:t>relMAE</w:t>
            </w:r>
            <w:proofErr w:type="spellEnd"/>
          </w:p>
        </w:tc>
        <w:tc>
          <w:tcPr>
            <w:tcW w:w="80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17B051A" w14:textId="77777777" w:rsidR="00221421" w:rsidRPr="006D7C1C" w:rsidRDefault="00221421" w:rsidP="00A54F0D">
            <w:pPr>
              <w:widowControl/>
              <w:jc w:val="center"/>
              <w:rPr>
                <w:rFonts w:ascii="Times New Roman" w:eastAsia="宋体" w:hAnsi="Times New Roman" w:cs="Times New Roman"/>
                <w:color w:val="000000"/>
                <w:kern w:val="0"/>
                <w:sz w:val="18"/>
                <w:szCs w:val="18"/>
              </w:rPr>
            </w:pPr>
            <w:proofErr w:type="spellStart"/>
            <w:r w:rsidRPr="006D7C1C">
              <w:rPr>
                <w:rFonts w:ascii="Times New Roman" w:eastAsia="宋体" w:hAnsi="Times New Roman" w:cs="Times New Roman"/>
                <w:color w:val="000000"/>
                <w:kern w:val="0"/>
                <w:sz w:val="18"/>
                <w:szCs w:val="18"/>
              </w:rPr>
              <w:t>MoleculeNet</w:t>
            </w:r>
            <w:proofErr w:type="spellEnd"/>
          </w:p>
        </w:tc>
        <w:tc>
          <w:tcPr>
            <w:tcW w:w="625"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677F5E61"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≥3×</w:t>
            </w:r>
          </w:p>
        </w:tc>
        <w:tc>
          <w:tcPr>
            <w:tcW w:w="1071"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C54A853"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30.6%</w:t>
            </w:r>
          </w:p>
        </w:tc>
        <w:tc>
          <w:tcPr>
            <w:tcW w:w="1250"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6CA4B78"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0.08%</w:t>
            </w:r>
          </w:p>
        </w:tc>
        <w:tc>
          <w:tcPr>
            <w:tcW w:w="71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9BE3A32"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378×</w:t>
            </w:r>
          </w:p>
        </w:tc>
      </w:tr>
      <w:tr w:rsidR="00221421" w:rsidRPr="006D7C1C" w14:paraId="7D5E5D55" w14:textId="77777777" w:rsidTr="00A54F0D">
        <w:trPr>
          <w:trHeight w:val="480"/>
        </w:trPr>
        <w:tc>
          <w:tcPr>
            <w:tcW w:w="53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9CE3CB" w14:textId="77777777" w:rsidR="00221421" w:rsidRPr="006D7C1C" w:rsidRDefault="00221421" w:rsidP="00A54F0D">
            <w:pPr>
              <w:widowControl/>
              <w:jc w:val="center"/>
              <w:rPr>
                <w:rFonts w:ascii="Times New Roman" w:eastAsia="宋体" w:hAnsi="Times New Roman" w:cs="Times New Roman"/>
                <w:color w:val="000000"/>
                <w:kern w:val="0"/>
                <w:sz w:val="18"/>
                <w:szCs w:val="18"/>
              </w:rPr>
            </w:pPr>
            <w:proofErr w:type="spellStart"/>
            <w:r w:rsidRPr="006D7C1C">
              <w:rPr>
                <w:rFonts w:ascii="Times New Roman" w:eastAsia="宋体" w:hAnsi="Times New Roman" w:cs="Times New Roman"/>
                <w:color w:val="000000"/>
                <w:kern w:val="0"/>
                <w:sz w:val="18"/>
                <w:szCs w:val="18"/>
              </w:rPr>
              <w:t>relMAE</w:t>
            </w:r>
            <w:proofErr w:type="spellEnd"/>
          </w:p>
        </w:tc>
        <w:tc>
          <w:tcPr>
            <w:tcW w:w="80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DBA9DA"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Deep-PK/ADMET</w:t>
            </w:r>
          </w:p>
        </w:tc>
        <w:tc>
          <w:tcPr>
            <w:tcW w:w="62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0FF880"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≥3×</w:t>
            </w:r>
          </w:p>
        </w:tc>
        <w:tc>
          <w:tcPr>
            <w:tcW w:w="107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BBCF3FB"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11.6%</w:t>
            </w:r>
          </w:p>
        </w:tc>
        <w:tc>
          <w:tcPr>
            <w:tcW w:w="125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AE8C7D6"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0.09%</w:t>
            </w:r>
          </w:p>
        </w:tc>
        <w:tc>
          <w:tcPr>
            <w:tcW w:w="71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474CE9"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132×</w:t>
            </w:r>
          </w:p>
        </w:tc>
      </w:tr>
      <w:tr w:rsidR="00221421" w:rsidRPr="006D7C1C" w14:paraId="0BE1FCE3" w14:textId="77777777" w:rsidTr="00A54F0D">
        <w:trPr>
          <w:trHeight w:val="285"/>
        </w:trPr>
        <w:tc>
          <w:tcPr>
            <w:tcW w:w="536" w:type="pct"/>
            <w:tcBorders>
              <w:top w:val="single" w:sz="4" w:space="0" w:color="auto"/>
              <w:left w:val="nil"/>
              <w:bottom w:val="nil"/>
              <w:right w:val="nil"/>
            </w:tcBorders>
            <w:noWrap/>
            <w:tcMar>
              <w:left w:w="28" w:type="dxa"/>
              <w:right w:w="28" w:type="dxa"/>
            </w:tcMar>
            <w:vAlign w:val="center"/>
            <w:hideMark/>
          </w:tcPr>
          <w:p w14:paraId="282F8C27" w14:textId="77777777" w:rsidR="00221421" w:rsidRPr="006D7C1C" w:rsidRDefault="00221421" w:rsidP="00A54F0D">
            <w:pPr>
              <w:widowControl/>
              <w:jc w:val="center"/>
              <w:rPr>
                <w:rFonts w:ascii="Times New Roman" w:eastAsia="宋体" w:hAnsi="Times New Roman" w:cs="Times New Roman"/>
                <w:color w:val="000000"/>
                <w:kern w:val="0"/>
                <w:sz w:val="18"/>
                <w:szCs w:val="18"/>
              </w:rPr>
            </w:pPr>
          </w:p>
        </w:tc>
        <w:tc>
          <w:tcPr>
            <w:tcW w:w="804" w:type="pct"/>
            <w:tcBorders>
              <w:top w:val="single" w:sz="4" w:space="0" w:color="auto"/>
              <w:left w:val="nil"/>
              <w:bottom w:val="nil"/>
              <w:right w:val="nil"/>
            </w:tcBorders>
            <w:noWrap/>
            <w:tcMar>
              <w:left w:w="28" w:type="dxa"/>
              <w:right w:w="28" w:type="dxa"/>
            </w:tcMar>
            <w:vAlign w:val="center"/>
            <w:hideMark/>
          </w:tcPr>
          <w:p w14:paraId="43207AD3" w14:textId="77777777" w:rsidR="00221421" w:rsidRPr="006D7C1C" w:rsidRDefault="00221421" w:rsidP="00A54F0D">
            <w:pPr>
              <w:widowControl/>
              <w:jc w:val="center"/>
              <w:rPr>
                <w:rFonts w:ascii="Times New Roman" w:eastAsia="Times New Roman" w:hAnsi="Times New Roman" w:cs="Times New Roman"/>
                <w:kern w:val="0"/>
                <w:sz w:val="18"/>
                <w:szCs w:val="18"/>
              </w:rPr>
            </w:pPr>
          </w:p>
        </w:tc>
        <w:tc>
          <w:tcPr>
            <w:tcW w:w="625" w:type="pct"/>
            <w:tcBorders>
              <w:top w:val="single" w:sz="4" w:space="0" w:color="auto"/>
              <w:left w:val="nil"/>
              <w:bottom w:val="nil"/>
              <w:right w:val="nil"/>
            </w:tcBorders>
            <w:noWrap/>
            <w:tcMar>
              <w:left w:w="28" w:type="dxa"/>
              <w:right w:w="28" w:type="dxa"/>
            </w:tcMar>
            <w:vAlign w:val="center"/>
            <w:hideMark/>
          </w:tcPr>
          <w:p w14:paraId="5014D581" w14:textId="77777777" w:rsidR="00221421" w:rsidRPr="006D7C1C" w:rsidRDefault="00221421" w:rsidP="00A54F0D">
            <w:pPr>
              <w:widowControl/>
              <w:jc w:val="center"/>
              <w:rPr>
                <w:rFonts w:ascii="Times New Roman" w:eastAsia="Times New Roman" w:hAnsi="Times New Roman" w:cs="Times New Roman"/>
                <w:kern w:val="0"/>
                <w:sz w:val="18"/>
                <w:szCs w:val="18"/>
              </w:rPr>
            </w:pPr>
          </w:p>
        </w:tc>
        <w:tc>
          <w:tcPr>
            <w:tcW w:w="1071" w:type="pct"/>
            <w:tcBorders>
              <w:top w:val="single" w:sz="4" w:space="0" w:color="auto"/>
              <w:left w:val="nil"/>
              <w:bottom w:val="nil"/>
              <w:right w:val="nil"/>
            </w:tcBorders>
            <w:noWrap/>
            <w:tcMar>
              <w:left w:w="28" w:type="dxa"/>
              <w:right w:w="28" w:type="dxa"/>
            </w:tcMar>
            <w:vAlign w:val="center"/>
            <w:hideMark/>
          </w:tcPr>
          <w:p w14:paraId="4A4FA26F" w14:textId="77777777" w:rsidR="00221421" w:rsidRPr="006D7C1C" w:rsidRDefault="00221421" w:rsidP="00A54F0D">
            <w:pPr>
              <w:widowControl/>
              <w:jc w:val="center"/>
              <w:rPr>
                <w:rFonts w:ascii="Times New Roman" w:eastAsia="Times New Roman" w:hAnsi="Times New Roman" w:cs="Times New Roman"/>
                <w:kern w:val="0"/>
                <w:sz w:val="18"/>
                <w:szCs w:val="18"/>
              </w:rPr>
            </w:pPr>
          </w:p>
        </w:tc>
        <w:tc>
          <w:tcPr>
            <w:tcW w:w="1250" w:type="pct"/>
            <w:tcBorders>
              <w:top w:val="single" w:sz="4" w:space="0" w:color="auto"/>
              <w:left w:val="nil"/>
              <w:bottom w:val="nil"/>
              <w:right w:val="nil"/>
            </w:tcBorders>
            <w:noWrap/>
            <w:tcMar>
              <w:left w:w="28" w:type="dxa"/>
              <w:right w:w="28" w:type="dxa"/>
            </w:tcMar>
            <w:vAlign w:val="center"/>
            <w:hideMark/>
          </w:tcPr>
          <w:p w14:paraId="6C175DBB" w14:textId="77777777" w:rsidR="00221421" w:rsidRPr="006D7C1C" w:rsidRDefault="00221421" w:rsidP="00A54F0D">
            <w:pPr>
              <w:widowControl/>
              <w:jc w:val="center"/>
              <w:rPr>
                <w:rFonts w:ascii="Times New Roman" w:eastAsia="Times New Roman" w:hAnsi="Times New Roman" w:cs="Times New Roman"/>
                <w:kern w:val="0"/>
                <w:sz w:val="18"/>
                <w:szCs w:val="18"/>
              </w:rPr>
            </w:pPr>
          </w:p>
        </w:tc>
        <w:tc>
          <w:tcPr>
            <w:tcW w:w="714" w:type="pct"/>
            <w:tcBorders>
              <w:top w:val="single" w:sz="4" w:space="0" w:color="auto"/>
              <w:left w:val="nil"/>
              <w:bottom w:val="nil"/>
              <w:right w:val="nil"/>
            </w:tcBorders>
            <w:noWrap/>
            <w:tcMar>
              <w:left w:w="28" w:type="dxa"/>
              <w:right w:w="28" w:type="dxa"/>
            </w:tcMar>
            <w:vAlign w:val="center"/>
            <w:hideMark/>
          </w:tcPr>
          <w:p w14:paraId="5773ADDE" w14:textId="77777777" w:rsidR="00221421" w:rsidRPr="006D7C1C" w:rsidRDefault="00221421" w:rsidP="00A54F0D">
            <w:pPr>
              <w:widowControl/>
              <w:jc w:val="center"/>
              <w:rPr>
                <w:rFonts w:ascii="Times New Roman" w:eastAsia="Times New Roman" w:hAnsi="Times New Roman" w:cs="Times New Roman"/>
                <w:kern w:val="0"/>
                <w:sz w:val="18"/>
                <w:szCs w:val="18"/>
              </w:rPr>
            </w:pPr>
          </w:p>
        </w:tc>
      </w:tr>
      <w:tr w:rsidR="00221421" w:rsidRPr="006D7C1C" w14:paraId="1907EF26" w14:textId="77777777" w:rsidTr="00A54F0D">
        <w:trPr>
          <w:trHeight w:val="439"/>
        </w:trPr>
        <w:tc>
          <w:tcPr>
            <w:tcW w:w="5000" w:type="pct"/>
            <w:gridSpan w:val="6"/>
            <w:tcBorders>
              <w:top w:val="nil"/>
              <w:left w:val="nil"/>
              <w:bottom w:val="single" w:sz="4" w:space="0" w:color="auto"/>
              <w:right w:val="nil"/>
            </w:tcBorders>
            <w:shd w:val="clear" w:color="000000" w:fill="D9EAF7"/>
            <w:tcMar>
              <w:left w:w="28" w:type="dxa"/>
              <w:right w:w="28" w:type="dxa"/>
            </w:tcMar>
            <w:vAlign w:val="center"/>
            <w:hideMark/>
          </w:tcPr>
          <w:p w14:paraId="77AF3EC4" w14:textId="77777777" w:rsidR="00221421" w:rsidRPr="006D7C1C" w:rsidRDefault="00221421" w:rsidP="00A54F0D">
            <w:pPr>
              <w:widowControl/>
              <w:jc w:val="left"/>
              <w:rPr>
                <w:rFonts w:ascii="Times New Roman" w:eastAsia="宋体" w:hAnsi="Times New Roman" w:cs="Times New Roman"/>
                <w:b/>
                <w:bCs/>
                <w:color w:val="000000"/>
                <w:kern w:val="0"/>
                <w:szCs w:val="21"/>
              </w:rPr>
            </w:pPr>
            <w:r w:rsidRPr="006D7C1C">
              <w:rPr>
                <w:rFonts w:ascii="Times New Roman" w:eastAsia="宋体" w:hAnsi="Times New Roman" w:cs="Times New Roman"/>
                <w:b/>
                <w:bCs/>
                <w:color w:val="000000"/>
                <w:kern w:val="0"/>
                <w:szCs w:val="21"/>
              </w:rPr>
              <w:t>Panel B. Pooled robustness checks using raw error metrics</w:t>
            </w:r>
          </w:p>
        </w:tc>
      </w:tr>
      <w:tr w:rsidR="00221421" w:rsidRPr="006D7C1C" w14:paraId="0ADCA39B" w14:textId="77777777" w:rsidTr="00A54F0D">
        <w:trPr>
          <w:trHeight w:val="762"/>
        </w:trPr>
        <w:tc>
          <w:tcPr>
            <w:tcW w:w="536"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606E47B7"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lastRenderedPageBreak/>
              <w:t>Metric</w:t>
            </w:r>
          </w:p>
        </w:tc>
        <w:tc>
          <w:tcPr>
            <w:tcW w:w="804"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01C21931"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t>Benchmark</w:t>
            </w:r>
          </w:p>
        </w:tc>
        <w:tc>
          <w:tcPr>
            <w:tcW w:w="625"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0E4D1AE3"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t>Tail criterion</w:t>
            </w:r>
          </w:p>
        </w:tc>
        <w:tc>
          <w:tcPr>
            <w:tcW w:w="1071"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3F0D1EC7"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t>No-scaffold tail probability</w:t>
            </w:r>
          </w:p>
        </w:tc>
        <w:tc>
          <w:tcPr>
            <w:tcW w:w="1250"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75629E7E"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t>Ordinary fold-to-fold tail probability</w:t>
            </w:r>
          </w:p>
        </w:tc>
        <w:tc>
          <w:tcPr>
            <w:tcW w:w="714"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63673EAF" w14:textId="77777777" w:rsidR="00221421" w:rsidRPr="006D7C1C" w:rsidRDefault="00221421" w:rsidP="00A54F0D">
            <w:pPr>
              <w:widowControl/>
              <w:jc w:val="center"/>
              <w:rPr>
                <w:rFonts w:ascii="Times New Roman" w:eastAsia="宋体" w:hAnsi="Times New Roman" w:cs="Times New Roman"/>
                <w:b/>
                <w:bCs/>
                <w:color w:val="FFFFFF"/>
                <w:kern w:val="0"/>
                <w:sz w:val="18"/>
                <w:szCs w:val="18"/>
              </w:rPr>
            </w:pPr>
            <w:r w:rsidRPr="006D7C1C">
              <w:rPr>
                <w:rFonts w:ascii="Times New Roman" w:eastAsia="宋体" w:hAnsi="Times New Roman" w:cs="Times New Roman"/>
                <w:b/>
                <w:bCs/>
                <w:color w:val="FFFFFF"/>
                <w:kern w:val="0"/>
                <w:sz w:val="18"/>
                <w:szCs w:val="18"/>
              </w:rPr>
              <w:t>Tail enrichment</w:t>
            </w:r>
          </w:p>
        </w:tc>
      </w:tr>
      <w:tr w:rsidR="00221421" w:rsidRPr="006D7C1C" w14:paraId="60B456A4" w14:textId="77777777" w:rsidTr="00A54F0D">
        <w:trPr>
          <w:trHeight w:val="480"/>
        </w:trPr>
        <w:tc>
          <w:tcPr>
            <w:tcW w:w="536"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D7D3797"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MAE</w:t>
            </w:r>
          </w:p>
        </w:tc>
        <w:tc>
          <w:tcPr>
            <w:tcW w:w="80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57CA843B"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Pooled</w:t>
            </w:r>
          </w:p>
        </w:tc>
        <w:tc>
          <w:tcPr>
            <w:tcW w:w="625"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F3FA640"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≥2×</w:t>
            </w:r>
          </w:p>
        </w:tc>
        <w:tc>
          <w:tcPr>
            <w:tcW w:w="1071"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7D99E6C"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29.7%</w:t>
            </w:r>
          </w:p>
        </w:tc>
        <w:tc>
          <w:tcPr>
            <w:tcW w:w="1250"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29F5F6B"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0.62%</w:t>
            </w:r>
          </w:p>
        </w:tc>
        <w:tc>
          <w:tcPr>
            <w:tcW w:w="71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71C389B"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48.1×</w:t>
            </w:r>
          </w:p>
        </w:tc>
      </w:tr>
      <w:tr w:rsidR="00221421" w:rsidRPr="006D7C1C" w14:paraId="7125D89D" w14:textId="77777777" w:rsidTr="00A54F0D">
        <w:trPr>
          <w:trHeight w:val="480"/>
        </w:trPr>
        <w:tc>
          <w:tcPr>
            <w:tcW w:w="53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6CC499"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MAE</w:t>
            </w:r>
          </w:p>
        </w:tc>
        <w:tc>
          <w:tcPr>
            <w:tcW w:w="80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4BECE17"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Pooled</w:t>
            </w:r>
          </w:p>
        </w:tc>
        <w:tc>
          <w:tcPr>
            <w:tcW w:w="62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6F51E26"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≥3×</w:t>
            </w:r>
          </w:p>
        </w:tc>
        <w:tc>
          <w:tcPr>
            <w:tcW w:w="107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4927C48"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18.5%</w:t>
            </w:r>
          </w:p>
        </w:tc>
        <w:tc>
          <w:tcPr>
            <w:tcW w:w="125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2B6C63F"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0.05%</w:t>
            </w:r>
          </w:p>
        </w:tc>
        <w:tc>
          <w:tcPr>
            <w:tcW w:w="71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E054E7"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381.4×</w:t>
            </w:r>
          </w:p>
        </w:tc>
      </w:tr>
      <w:tr w:rsidR="00221421" w:rsidRPr="006D7C1C" w14:paraId="126D284B" w14:textId="77777777" w:rsidTr="00A54F0D">
        <w:trPr>
          <w:trHeight w:val="480"/>
        </w:trPr>
        <w:tc>
          <w:tcPr>
            <w:tcW w:w="536"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53F3EFCD"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RMSE</w:t>
            </w:r>
          </w:p>
        </w:tc>
        <w:tc>
          <w:tcPr>
            <w:tcW w:w="80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5043738C"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Pooled</w:t>
            </w:r>
          </w:p>
        </w:tc>
        <w:tc>
          <w:tcPr>
            <w:tcW w:w="625"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6B4A72A"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≥2×</w:t>
            </w:r>
          </w:p>
        </w:tc>
        <w:tc>
          <w:tcPr>
            <w:tcW w:w="1071"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B7DBFEA"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32.0%</w:t>
            </w:r>
          </w:p>
        </w:tc>
        <w:tc>
          <w:tcPr>
            <w:tcW w:w="1250"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2383CB0"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0.69%</w:t>
            </w:r>
          </w:p>
        </w:tc>
        <w:tc>
          <w:tcPr>
            <w:tcW w:w="71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27D0D20"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46.2×</w:t>
            </w:r>
          </w:p>
        </w:tc>
      </w:tr>
      <w:tr w:rsidR="00221421" w:rsidRPr="00CB63E4" w14:paraId="35887211" w14:textId="77777777" w:rsidTr="00A54F0D">
        <w:trPr>
          <w:trHeight w:val="480"/>
        </w:trPr>
        <w:tc>
          <w:tcPr>
            <w:tcW w:w="53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0AF8A69"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RMSE</w:t>
            </w:r>
          </w:p>
        </w:tc>
        <w:tc>
          <w:tcPr>
            <w:tcW w:w="80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95D9B5C"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Pooled</w:t>
            </w:r>
          </w:p>
        </w:tc>
        <w:tc>
          <w:tcPr>
            <w:tcW w:w="62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1E019F"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≥3×</w:t>
            </w:r>
          </w:p>
        </w:tc>
        <w:tc>
          <w:tcPr>
            <w:tcW w:w="107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53116F6"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20.8%</w:t>
            </w:r>
          </w:p>
        </w:tc>
        <w:tc>
          <w:tcPr>
            <w:tcW w:w="125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74AD248"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0.22%</w:t>
            </w:r>
          </w:p>
        </w:tc>
        <w:tc>
          <w:tcPr>
            <w:tcW w:w="71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C71D1BE" w14:textId="77777777" w:rsidR="00221421" w:rsidRPr="006D7C1C" w:rsidRDefault="00221421" w:rsidP="00A54F0D">
            <w:pPr>
              <w:widowControl/>
              <w:jc w:val="center"/>
              <w:rPr>
                <w:rFonts w:ascii="Times New Roman" w:eastAsia="宋体" w:hAnsi="Times New Roman" w:cs="Times New Roman"/>
                <w:color w:val="000000"/>
                <w:kern w:val="0"/>
                <w:sz w:val="18"/>
                <w:szCs w:val="18"/>
              </w:rPr>
            </w:pPr>
            <w:r w:rsidRPr="006D7C1C">
              <w:rPr>
                <w:rFonts w:ascii="Times New Roman" w:eastAsia="宋体" w:hAnsi="Times New Roman" w:cs="Times New Roman"/>
                <w:color w:val="000000"/>
                <w:kern w:val="0"/>
                <w:sz w:val="18"/>
                <w:szCs w:val="18"/>
              </w:rPr>
              <w:t>93.9×</w:t>
            </w:r>
          </w:p>
        </w:tc>
      </w:tr>
    </w:tbl>
    <w:p w14:paraId="4E8CBC62" w14:textId="77777777" w:rsidR="00221421" w:rsidRPr="00CB63E4"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p>
    <w:p w14:paraId="0823DD03" w14:textId="4E813971" w:rsidR="00221421" w:rsidRPr="00CB63E4"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r w:rsidRPr="00EA6CC1">
        <w:rPr>
          <w:rFonts w:ascii="Times New Roman" w:hAnsi="Times New Roman"/>
          <w:b/>
          <w:bCs/>
          <w:color w:val="000000" w:themeColor="text1"/>
        </w:rPr>
        <w:t xml:space="preserve">Supplementary Table </w:t>
      </w:r>
      <w:r w:rsidR="00B77EBF">
        <w:rPr>
          <w:rFonts w:ascii="Times New Roman" w:hAnsi="Times New Roman" w:hint="eastAsia"/>
          <w:b/>
          <w:bCs/>
          <w:color w:val="000000" w:themeColor="text1"/>
        </w:rPr>
        <w:t>11</w:t>
      </w:r>
      <w:r w:rsidRPr="00EA6CC1">
        <w:rPr>
          <w:rFonts w:ascii="Times New Roman" w:hAnsi="Times New Roman"/>
          <w:b/>
          <w:bCs/>
          <w:color w:val="000000" w:themeColor="text1"/>
        </w:rPr>
        <w:t>. Representative failure modes of alternative metrics.</w:t>
      </w:r>
      <w:r w:rsidRPr="00CB63E4">
        <w:rPr>
          <w:rFonts w:ascii="Times New Roman" w:hAnsi="Times New Roman"/>
          <w:b/>
          <w:bCs/>
          <w:color w:val="000000" w:themeColor="text1"/>
        </w:rPr>
        <w:t xml:space="preserve"> </w:t>
      </w:r>
      <w:r w:rsidRPr="00EA6CC1">
        <w:rPr>
          <w:rFonts w:ascii="Times New Roman" w:hAnsi="Times New Roman"/>
          <w:color w:val="000000" w:themeColor="text1"/>
        </w:rPr>
        <w:t xml:space="preserve">Panel A lists representative classification cases illustrating discordance among AP, ROC-AUC, and </w:t>
      </w:r>
      <w:proofErr w:type="spellStart"/>
      <w:r w:rsidRPr="00EA6CC1">
        <w:rPr>
          <w:rFonts w:ascii="Times New Roman" w:hAnsi="Times New Roman"/>
          <w:color w:val="000000" w:themeColor="text1"/>
        </w:rPr>
        <w:t>normPR</w:t>
      </w:r>
      <w:proofErr w:type="spellEnd"/>
      <w:r w:rsidRPr="00EA6CC1">
        <w:rPr>
          <w:rFonts w:ascii="Times New Roman" w:hAnsi="Times New Roman"/>
          <w:color w:val="000000" w:themeColor="text1"/>
        </w:rPr>
        <w:t xml:space="preserve"> under no-scaffold exposure. Panel B lists representative regression cases illustrating discordance among raw error, association, and scale-adjusted error metrics. Ordinary and no-scaffold values are shown as “Ord → NS” for classification metrics.</w:t>
      </w:r>
    </w:p>
    <w:tbl>
      <w:tblPr>
        <w:tblW w:w="5000" w:type="pct"/>
        <w:tblLayout w:type="fixed"/>
        <w:tblLook w:val="04A0" w:firstRow="1" w:lastRow="0" w:firstColumn="1" w:lastColumn="0" w:noHBand="0" w:noVBand="1"/>
      </w:tblPr>
      <w:tblGrid>
        <w:gridCol w:w="451"/>
        <w:gridCol w:w="1088"/>
        <w:gridCol w:w="900"/>
        <w:gridCol w:w="957"/>
        <w:gridCol w:w="1072"/>
        <w:gridCol w:w="947"/>
        <w:gridCol w:w="992"/>
        <w:gridCol w:w="992"/>
        <w:gridCol w:w="963"/>
      </w:tblGrid>
      <w:tr w:rsidR="00221421" w:rsidRPr="00CB63E4" w14:paraId="24A2568E" w14:textId="77777777" w:rsidTr="00A54F0D">
        <w:trPr>
          <w:trHeight w:val="439"/>
        </w:trPr>
        <w:tc>
          <w:tcPr>
            <w:tcW w:w="5000" w:type="pct"/>
            <w:gridSpan w:val="9"/>
            <w:tcBorders>
              <w:top w:val="nil"/>
              <w:left w:val="nil"/>
              <w:bottom w:val="single" w:sz="4" w:space="0" w:color="auto"/>
              <w:right w:val="nil"/>
            </w:tcBorders>
            <w:shd w:val="clear" w:color="000000" w:fill="D9EAF7"/>
            <w:tcMar>
              <w:left w:w="28" w:type="dxa"/>
              <w:right w:w="28" w:type="dxa"/>
            </w:tcMar>
            <w:vAlign w:val="center"/>
            <w:hideMark/>
          </w:tcPr>
          <w:p w14:paraId="62E274A9" w14:textId="77777777" w:rsidR="00221421" w:rsidRPr="00495781" w:rsidRDefault="00221421" w:rsidP="00A54F0D">
            <w:pPr>
              <w:widowControl/>
              <w:jc w:val="left"/>
              <w:rPr>
                <w:rFonts w:ascii="Times New Roman" w:eastAsia="Times New Roman" w:hAnsi="Times New Roman" w:cs="Times New Roman"/>
                <w:kern w:val="0"/>
                <w:szCs w:val="21"/>
              </w:rPr>
            </w:pPr>
            <w:r w:rsidRPr="00495781">
              <w:rPr>
                <w:rFonts w:ascii="Times New Roman" w:eastAsia="宋体" w:hAnsi="Times New Roman" w:cs="Times New Roman"/>
                <w:b/>
                <w:bCs/>
                <w:color w:val="000000"/>
                <w:kern w:val="0"/>
                <w:szCs w:val="21"/>
              </w:rPr>
              <w:t>Panel A. Classification cases</w:t>
            </w:r>
          </w:p>
        </w:tc>
      </w:tr>
      <w:tr w:rsidR="00221421" w:rsidRPr="00CB63E4" w14:paraId="0F158F2D" w14:textId="77777777" w:rsidTr="00A54F0D">
        <w:trPr>
          <w:trHeight w:val="762"/>
        </w:trPr>
        <w:tc>
          <w:tcPr>
            <w:tcW w:w="270"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02DF534A"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Case</w:t>
            </w:r>
          </w:p>
        </w:tc>
        <w:tc>
          <w:tcPr>
            <w:tcW w:w="651"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4C8AFF38"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Benchmark</w:t>
            </w:r>
          </w:p>
        </w:tc>
        <w:tc>
          <w:tcPr>
            <w:tcW w:w="538"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0B6DF02D"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Dataset</w:t>
            </w:r>
          </w:p>
        </w:tc>
        <w:tc>
          <w:tcPr>
            <w:tcW w:w="572"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13A396E3"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Target</w:t>
            </w:r>
          </w:p>
        </w:tc>
        <w:tc>
          <w:tcPr>
            <w:tcW w:w="641"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05E04036"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Model</w:t>
            </w:r>
          </w:p>
        </w:tc>
        <w:tc>
          <w:tcPr>
            <w:tcW w:w="566"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070BFE82"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Positive rate</w:t>
            </w:r>
            <w:r w:rsidRPr="00495781">
              <w:rPr>
                <w:rFonts w:ascii="Times New Roman" w:eastAsia="宋体" w:hAnsi="Times New Roman" w:cs="Times New Roman"/>
                <w:b/>
                <w:bCs/>
                <w:color w:val="FFFFFF"/>
                <w:kern w:val="0"/>
                <w:sz w:val="18"/>
                <w:szCs w:val="18"/>
              </w:rPr>
              <w:br/>
              <w:t>Ord → NS</w:t>
            </w:r>
          </w:p>
        </w:tc>
        <w:tc>
          <w:tcPr>
            <w:tcW w:w="593"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722F7F1D"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AP</w:t>
            </w:r>
            <w:r w:rsidRPr="00495781">
              <w:rPr>
                <w:rFonts w:ascii="Times New Roman" w:eastAsia="宋体" w:hAnsi="Times New Roman" w:cs="Times New Roman"/>
                <w:b/>
                <w:bCs/>
                <w:color w:val="FFFFFF"/>
                <w:kern w:val="0"/>
                <w:sz w:val="18"/>
                <w:szCs w:val="18"/>
              </w:rPr>
              <w:br/>
              <w:t>Ord → NS</w:t>
            </w:r>
          </w:p>
        </w:tc>
        <w:tc>
          <w:tcPr>
            <w:tcW w:w="593"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232C7D17"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ROC-AUC</w:t>
            </w:r>
            <w:r w:rsidRPr="00495781">
              <w:rPr>
                <w:rFonts w:ascii="Times New Roman" w:eastAsia="宋体" w:hAnsi="Times New Roman" w:cs="Times New Roman"/>
                <w:b/>
                <w:bCs/>
                <w:color w:val="FFFFFF"/>
                <w:kern w:val="0"/>
                <w:sz w:val="18"/>
                <w:szCs w:val="18"/>
              </w:rPr>
              <w:br/>
              <w:t>Ord → NS</w:t>
            </w:r>
          </w:p>
        </w:tc>
        <w:tc>
          <w:tcPr>
            <w:tcW w:w="576"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7CC79113" w14:textId="77777777" w:rsidR="00221421" w:rsidRPr="00495781" w:rsidRDefault="00221421" w:rsidP="00A54F0D">
            <w:pPr>
              <w:widowControl/>
              <w:jc w:val="center"/>
              <w:rPr>
                <w:rFonts w:ascii="Times New Roman" w:eastAsia="Times New Roman" w:hAnsi="Times New Roman" w:cs="Times New Roman"/>
                <w:kern w:val="0"/>
                <w:sz w:val="18"/>
                <w:szCs w:val="18"/>
              </w:rPr>
            </w:pPr>
            <w:proofErr w:type="spellStart"/>
            <w:r w:rsidRPr="00495781">
              <w:rPr>
                <w:rFonts w:ascii="Times New Roman" w:eastAsia="宋体" w:hAnsi="Times New Roman" w:cs="Times New Roman"/>
                <w:b/>
                <w:bCs/>
                <w:color w:val="FFFFFF"/>
                <w:kern w:val="0"/>
                <w:sz w:val="18"/>
                <w:szCs w:val="18"/>
              </w:rPr>
              <w:t>normPR</w:t>
            </w:r>
            <w:proofErr w:type="spellEnd"/>
            <w:r w:rsidRPr="00495781">
              <w:rPr>
                <w:rFonts w:ascii="Times New Roman" w:eastAsia="宋体" w:hAnsi="Times New Roman" w:cs="Times New Roman"/>
                <w:b/>
                <w:bCs/>
                <w:color w:val="FFFFFF"/>
                <w:kern w:val="0"/>
                <w:sz w:val="18"/>
                <w:szCs w:val="18"/>
              </w:rPr>
              <w:br/>
              <w:t>Ord → NS</w:t>
            </w:r>
          </w:p>
        </w:tc>
      </w:tr>
      <w:tr w:rsidR="00221421" w:rsidRPr="00CB63E4" w14:paraId="5D56688B" w14:textId="77777777" w:rsidTr="00A54F0D">
        <w:trPr>
          <w:trHeight w:val="480"/>
        </w:trPr>
        <w:tc>
          <w:tcPr>
            <w:tcW w:w="270"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9225BD5"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C1</w:t>
            </w:r>
          </w:p>
        </w:tc>
        <w:tc>
          <w:tcPr>
            <w:tcW w:w="651"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629D3D8"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Deep-PK/ADMET</w:t>
            </w:r>
          </w:p>
        </w:tc>
        <w:tc>
          <w:tcPr>
            <w:tcW w:w="538"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DB0DAA9"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CB63E4">
              <w:rPr>
                <w:rFonts w:ascii="Times New Roman" w:eastAsia="宋体" w:hAnsi="Times New Roman" w:cs="Times New Roman"/>
                <w:color w:val="000000"/>
                <w:kern w:val="0"/>
                <w:sz w:val="18"/>
                <w:szCs w:val="18"/>
              </w:rPr>
              <w:t>Eye corrosion</w:t>
            </w:r>
          </w:p>
        </w:tc>
        <w:tc>
          <w:tcPr>
            <w:tcW w:w="572"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4C17364"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CB63E4">
              <w:rPr>
                <w:rFonts w:ascii="Times New Roman" w:eastAsia="宋体" w:hAnsi="Times New Roman" w:cs="Times New Roman"/>
                <w:color w:val="000000"/>
                <w:kern w:val="0"/>
                <w:sz w:val="18"/>
                <w:szCs w:val="18"/>
              </w:rPr>
              <w:t>Eye corrosion</w:t>
            </w:r>
          </w:p>
        </w:tc>
        <w:tc>
          <w:tcPr>
            <w:tcW w:w="641"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5C748FAE"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CB63E4">
              <w:rPr>
                <w:rFonts w:ascii="Times New Roman" w:eastAsia="宋体" w:hAnsi="Times New Roman" w:cs="Times New Roman"/>
                <w:color w:val="000000"/>
                <w:kern w:val="0"/>
                <w:sz w:val="18"/>
                <w:szCs w:val="18"/>
              </w:rPr>
              <w:t>MolCLR</w:t>
            </w:r>
            <w:proofErr w:type="spellEnd"/>
          </w:p>
        </w:tc>
        <w:tc>
          <w:tcPr>
            <w:tcW w:w="566"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EB8E391"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0.119 → 0.864</w:t>
            </w:r>
          </w:p>
        </w:tc>
        <w:tc>
          <w:tcPr>
            <w:tcW w:w="593"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15FF3E52"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0.829 → 0.880</w:t>
            </w:r>
          </w:p>
        </w:tc>
        <w:tc>
          <w:tcPr>
            <w:tcW w:w="593"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C068103"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0.940 → 0.563</w:t>
            </w:r>
          </w:p>
        </w:tc>
        <w:tc>
          <w:tcPr>
            <w:tcW w:w="576"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20905D42" w14:textId="77777777" w:rsidR="00221421" w:rsidRPr="00495781" w:rsidRDefault="00221421" w:rsidP="00A54F0D">
            <w:pPr>
              <w:widowControl/>
              <w:jc w:val="center"/>
              <w:rPr>
                <w:rFonts w:ascii="Times New Roman" w:eastAsia="Times New Roman" w:hAnsi="Times New Roman" w:cs="Times New Roman"/>
                <w:kern w:val="0"/>
                <w:sz w:val="18"/>
                <w:szCs w:val="18"/>
              </w:rPr>
            </w:pPr>
            <w:r w:rsidRPr="00495781">
              <w:rPr>
                <w:rFonts w:ascii="Times New Roman" w:eastAsia="宋体" w:hAnsi="Times New Roman" w:cs="Times New Roman"/>
                <w:color w:val="000000"/>
                <w:kern w:val="0"/>
                <w:sz w:val="18"/>
                <w:szCs w:val="18"/>
              </w:rPr>
              <w:t>0.801 → 0.118</w:t>
            </w:r>
          </w:p>
        </w:tc>
      </w:tr>
      <w:tr w:rsidR="00221421" w:rsidRPr="00CB63E4" w14:paraId="13D52FE1" w14:textId="77777777" w:rsidTr="00A54F0D">
        <w:trPr>
          <w:trHeight w:val="480"/>
        </w:trPr>
        <w:tc>
          <w:tcPr>
            <w:tcW w:w="2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6F585D8"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C2</w:t>
            </w:r>
          </w:p>
        </w:tc>
        <w:tc>
          <w:tcPr>
            <w:tcW w:w="6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1C9825"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495781">
              <w:rPr>
                <w:rFonts w:ascii="Times New Roman" w:eastAsia="宋体" w:hAnsi="Times New Roman" w:cs="Times New Roman"/>
                <w:color w:val="000000"/>
                <w:kern w:val="0"/>
                <w:sz w:val="18"/>
                <w:szCs w:val="18"/>
              </w:rPr>
              <w:t>MoleculeNet</w:t>
            </w:r>
            <w:proofErr w:type="spellEnd"/>
          </w:p>
        </w:tc>
        <w:tc>
          <w:tcPr>
            <w:tcW w:w="53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0593C3"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CB63E4">
              <w:rPr>
                <w:rFonts w:ascii="Times New Roman" w:eastAsia="宋体" w:hAnsi="Times New Roman" w:cs="Times New Roman"/>
                <w:color w:val="000000"/>
                <w:kern w:val="0"/>
                <w:sz w:val="18"/>
                <w:szCs w:val="18"/>
              </w:rPr>
              <w:t>SIDER</w:t>
            </w:r>
          </w:p>
        </w:tc>
        <w:tc>
          <w:tcPr>
            <w:tcW w:w="57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029542"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Nervous system disorders</w:t>
            </w:r>
          </w:p>
        </w:tc>
        <w:tc>
          <w:tcPr>
            <w:tcW w:w="64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324AA5E"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CB63E4">
              <w:rPr>
                <w:rFonts w:ascii="Times New Roman" w:eastAsia="宋体" w:hAnsi="Times New Roman" w:cs="Times New Roman"/>
                <w:color w:val="000000"/>
                <w:kern w:val="0"/>
                <w:sz w:val="18"/>
                <w:szCs w:val="18"/>
              </w:rPr>
              <w:t>MolCLR</w:t>
            </w:r>
            <w:proofErr w:type="spellEnd"/>
          </w:p>
        </w:tc>
        <w:tc>
          <w:tcPr>
            <w:tcW w:w="56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0A8A420"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0.921 → 0.760</w:t>
            </w:r>
          </w:p>
        </w:tc>
        <w:tc>
          <w:tcPr>
            <w:tcW w:w="5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0AD4083"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0.941 → 0.758</w:t>
            </w:r>
          </w:p>
        </w:tc>
        <w:tc>
          <w:tcPr>
            <w:tcW w:w="5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908FD2"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0.608 → 0.519</w:t>
            </w:r>
          </w:p>
        </w:tc>
        <w:tc>
          <w:tcPr>
            <w:tcW w:w="57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EA47E8" w14:textId="77777777" w:rsidR="00221421" w:rsidRPr="00495781" w:rsidRDefault="00221421" w:rsidP="00A54F0D">
            <w:pPr>
              <w:widowControl/>
              <w:jc w:val="center"/>
              <w:rPr>
                <w:rFonts w:ascii="Times New Roman" w:eastAsia="Times New Roman" w:hAnsi="Times New Roman" w:cs="Times New Roman"/>
                <w:kern w:val="0"/>
                <w:sz w:val="18"/>
                <w:szCs w:val="18"/>
              </w:rPr>
            </w:pPr>
            <w:r w:rsidRPr="00495781">
              <w:rPr>
                <w:rFonts w:ascii="Times New Roman" w:eastAsia="宋体" w:hAnsi="Times New Roman" w:cs="Times New Roman"/>
                <w:color w:val="000000"/>
                <w:kern w:val="0"/>
                <w:sz w:val="18"/>
                <w:szCs w:val="18"/>
              </w:rPr>
              <w:t>0.300 → −0.008</w:t>
            </w:r>
          </w:p>
        </w:tc>
      </w:tr>
      <w:tr w:rsidR="00221421" w:rsidRPr="00CB63E4" w14:paraId="4DCC32AF" w14:textId="77777777" w:rsidTr="00A54F0D">
        <w:trPr>
          <w:trHeight w:val="480"/>
        </w:trPr>
        <w:tc>
          <w:tcPr>
            <w:tcW w:w="270"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49A7EBD"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C3</w:t>
            </w:r>
          </w:p>
        </w:tc>
        <w:tc>
          <w:tcPr>
            <w:tcW w:w="651"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65FD0BBF"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495781">
              <w:rPr>
                <w:rFonts w:ascii="Times New Roman" w:eastAsia="宋体" w:hAnsi="Times New Roman" w:cs="Times New Roman"/>
                <w:color w:val="000000"/>
                <w:kern w:val="0"/>
                <w:sz w:val="18"/>
                <w:szCs w:val="18"/>
              </w:rPr>
              <w:t>MoleculeNet</w:t>
            </w:r>
            <w:proofErr w:type="spellEnd"/>
          </w:p>
        </w:tc>
        <w:tc>
          <w:tcPr>
            <w:tcW w:w="538"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37B89E97"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CB63E4">
              <w:rPr>
                <w:rFonts w:ascii="Times New Roman" w:eastAsia="宋体" w:hAnsi="Times New Roman" w:cs="Times New Roman"/>
                <w:color w:val="000000"/>
                <w:kern w:val="0"/>
                <w:sz w:val="18"/>
                <w:szCs w:val="18"/>
              </w:rPr>
              <w:t>Tox21</w:t>
            </w:r>
          </w:p>
        </w:tc>
        <w:tc>
          <w:tcPr>
            <w:tcW w:w="572"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0A8D887"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NR-Aromatase</w:t>
            </w:r>
          </w:p>
        </w:tc>
        <w:tc>
          <w:tcPr>
            <w:tcW w:w="641"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28878C6F"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CB63E4">
              <w:rPr>
                <w:rFonts w:ascii="Times New Roman" w:eastAsia="宋体" w:hAnsi="Times New Roman" w:cs="Times New Roman"/>
                <w:color w:val="000000"/>
                <w:kern w:val="0"/>
                <w:sz w:val="18"/>
                <w:szCs w:val="18"/>
              </w:rPr>
              <w:t>XG</w:t>
            </w:r>
            <w:r w:rsidRPr="00495781">
              <w:rPr>
                <w:rFonts w:ascii="Times New Roman" w:eastAsia="宋体" w:hAnsi="Times New Roman" w:cs="Times New Roman"/>
                <w:color w:val="000000"/>
                <w:kern w:val="0"/>
                <w:sz w:val="18"/>
                <w:szCs w:val="18"/>
              </w:rPr>
              <w:t>boost</w:t>
            </w:r>
            <w:proofErr w:type="spellEnd"/>
            <w:r w:rsidRPr="00CB63E4">
              <w:rPr>
                <w:rFonts w:ascii="Times New Roman" w:eastAsia="宋体" w:hAnsi="Times New Roman" w:cs="Times New Roman"/>
                <w:color w:val="000000"/>
                <w:kern w:val="0"/>
                <w:sz w:val="18"/>
                <w:szCs w:val="18"/>
              </w:rPr>
              <w:t>-</w:t>
            </w:r>
            <w:r w:rsidRPr="00495781">
              <w:rPr>
                <w:rFonts w:ascii="Times New Roman" w:eastAsia="宋体" w:hAnsi="Times New Roman" w:cs="Times New Roman"/>
                <w:color w:val="000000"/>
                <w:kern w:val="0"/>
                <w:sz w:val="18"/>
                <w:szCs w:val="18"/>
              </w:rPr>
              <w:t>features</w:t>
            </w:r>
          </w:p>
        </w:tc>
        <w:tc>
          <w:tcPr>
            <w:tcW w:w="566"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3234C8C"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0.065 → 0.011</w:t>
            </w:r>
          </w:p>
        </w:tc>
        <w:tc>
          <w:tcPr>
            <w:tcW w:w="593"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2C3C88FA"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0.229 → 0.022</w:t>
            </w:r>
          </w:p>
        </w:tc>
        <w:tc>
          <w:tcPr>
            <w:tcW w:w="593"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295FAAE0"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0.783 → 0.731</w:t>
            </w:r>
          </w:p>
        </w:tc>
        <w:tc>
          <w:tcPr>
            <w:tcW w:w="576"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562B14DC" w14:textId="77777777" w:rsidR="00221421" w:rsidRPr="00495781" w:rsidRDefault="00221421" w:rsidP="00A54F0D">
            <w:pPr>
              <w:widowControl/>
              <w:jc w:val="center"/>
              <w:rPr>
                <w:rFonts w:ascii="Times New Roman" w:eastAsia="Times New Roman" w:hAnsi="Times New Roman" w:cs="Times New Roman"/>
                <w:kern w:val="0"/>
                <w:sz w:val="18"/>
                <w:szCs w:val="18"/>
              </w:rPr>
            </w:pPr>
            <w:r w:rsidRPr="00495781">
              <w:rPr>
                <w:rFonts w:ascii="Times New Roman" w:eastAsia="宋体" w:hAnsi="Times New Roman" w:cs="Times New Roman"/>
                <w:color w:val="000000"/>
                <w:kern w:val="0"/>
                <w:sz w:val="18"/>
                <w:szCs w:val="18"/>
              </w:rPr>
              <w:t>0.176 → 0.012</w:t>
            </w:r>
          </w:p>
        </w:tc>
      </w:tr>
      <w:tr w:rsidR="00221421" w:rsidRPr="00CB63E4" w14:paraId="6A3490B9" w14:textId="77777777" w:rsidTr="00A54F0D">
        <w:trPr>
          <w:trHeight w:val="480"/>
        </w:trPr>
        <w:tc>
          <w:tcPr>
            <w:tcW w:w="2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C13998"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C4</w:t>
            </w:r>
          </w:p>
        </w:tc>
        <w:tc>
          <w:tcPr>
            <w:tcW w:w="6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CB43C6"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495781">
              <w:rPr>
                <w:rFonts w:ascii="Times New Roman" w:eastAsia="宋体" w:hAnsi="Times New Roman" w:cs="Times New Roman"/>
                <w:color w:val="000000"/>
                <w:kern w:val="0"/>
                <w:sz w:val="18"/>
                <w:szCs w:val="18"/>
              </w:rPr>
              <w:t>MoleculeNet</w:t>
            </w:r>
            <w:proofErr w:type="spellEnd"/>
          </w:p>
        </w:tc>
        <w:tc>
          <w:tcPr>
            <w:tcW w:w="53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F3EEAD"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CB63E4">
              <w:rPr>
                <w:rFonts w:ascii="Times New Roman" w:eastAsia="宋体" w:hAnsi="Times New Roman" w:cs="Times New Roman"/>
                <w:color w:val="000000"/>
                <w:kern w:val="0"/>
                <w:sz w:val="18"/>
                <w:szCs w:val="18"/>
              </w:rPr>
              <w:t>Tox21</w:t>
            </w:r>
          </w:p>
        </w:tc>
        <w:tc>
          <w:tcPr>
            <w:tcW w:w="57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1184455"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NR-AR-LBD</w:t>
            </w:r>
          </w:p>
        </w:tc>
        <w:tc>
          <w:tcPr>
            <w:tcW w:w="64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02306B"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CB63E4">
              <w:rPr>
                <w:rFonts w:ascii="Times New Roman" w:eastAsia="宋体" w:hAnsi="Times New Roman" w:cs="Times New Roman"/>
                <w:color w:val="000000"/>
                <w:kern w:val="0"/>
                <w:sz w:val="18"/>
                <w:szCs w:val="18"/>
              </w:rPr>
              <w:t>XG</w:t>
            </w:r>
            <w:r w:rsidRPr="00495781">
              <w:rPr>
                <w:rFonts w:ascii="Times New Roman" w:eastAsia="宋体" w:hAnsi="Times New Roman" w:cs="Times New Roman"/>
                <w:color w:val="000000"/>
                <w:kern w:val="0"/>
                <w:sz w:val="18"/>
                <w:szCs w:val="18"/>
              </w:rPr>
              <w:t>boost</w:t>
            </w:r>
            <w:proofErr w:type="spellEnd"/>
            <w:r w:rsidRPr="00CB63E4">
              <w:rPr>
                <w:rFonts w:ascii="Times New Roman" w:eastAsia="宋体" w:hAnsi="Times New Roman" w:cs="Times New Roman"/>
                <w:color w:val="000000"/>
                <w:kern w:val="0"/>
                <w:sz w:val="18"/>
                <w:szCs w:val="18"/>
              </w:rPr>
              <w:t>-</w:t>
            </w:r>
            <w:r w:rsidRPr="00495781">
              <w:rPr>
                <w:rFonts w:ascii="Times New Roman" w:eastAsia="宋体" w:hAnsi="Times New Roman" w:cs="Times New Roman"/>
                <w:color w:val="000000"/>
                <w:kern w:val="0"/>
                <w:sz w:val="18"/>
                <w:szCs w:val="18"/>
              </w:rPr>
              <w:t>features</w:t>
            </w:r>
          </w:p>
        </w:tc>
        <w:tc>
          <w:tcPr>
            <w:tcW w:w="56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E0853E8"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0.035 → 0.014</w:t>
            </w:r>
          </w:p>
        </w:tc>
        <w:tc>
          <w:tcPr>
            <w:tcW w:w="5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087DFB9"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0.637 → 0.026</w:t>
            </w:r>
          </w:p>
        </w:tc>
        <w:tc>
          <w:tcPr>
            <w:tcW w:w="5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9E7A05"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0.866 → 0.684</w:t>
            </w:r>
          </w:p>
        </w:tc>
        <w:tc>
          <w:tcPr>
            <w:tcW w:w="57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BC0C67" w14:textId="77777777" w:rsidR="00221421" w:rsidRPr="00495781" w:rsidRDefault="00221421" w:rsidP="00A54F0D">
            <w:pPr>
              <w:widowControl/>
              <w:jc w:val="center"/>
              <w:rPr>
                <w:rFonts w:ascii="Times New Roman" w:eastAsia="Times New Roman" w:hAnsi="Times New Roman" w:cs="Times New Roman"/>
                <w:kern w:val="0"/>
                <w:sz w:val="18"/>
                <w:szCs w:val="18"/>
              </w:rPr>
            </w:pPr>
            <w:r w:rsidRPr="00495781">
              <w:rPr>
                <w:rFonts w:ascii="Times New Roman" w:eastAsia="宋体" w:hAnsi="Times New Roman" w:cs="Times New Roman"/>
                <w:color w:val="000000"/>
                <w:kern w:val="0"/>
                <w:sz w:val="18"/>
                <w:szCs w:val="18"/>
              </w:rPr>
              <w:t>0.625 → 0.012</w:t>
            </w:r>
          </w:p>
        </w:tc>
      </w:tr>
    </w:tbl>
    <w:p w14:paraId="7DA10A15" w14:textId="77777777" w:rsidR="00221421" w:rsidRPr="00CB63E4" w:rsidRDefault="00221421" w:rsidP="00221421">
      <w:pPr>
        <w:rPr>
          <w:rFonts w:ascii="Times New Roman" w:hAnsi="Times New Roman" w:cs="Times New Roman"/>
        </w:rPr>
      </w:pPr>
    </w:p>
    <w:tbl>
      <w:tblPr>
        <w:tblW w:w="5000" w:type="pct"/>
        <w:tblLayout w:type="fixed"/>
        <w:tblLook w:val="04A0" w:firstRow="1" w:lastRow="0" w:firstColumn="1" w:lastColumn="0" w:noHBand="0" w:noVBand="1"/>
      </w:tblPr>
      <w:tblGrid>
        <w:gridCol w:w="451"/>
        <w:gridCol w:w="1089"/>
        <w:gridCol w:w="758"/>
        <w:gridCol w:w="707"/>
        <w:gridCol w:w="992"/>
        <w:gridCol w:w="709"/>
        <w:gridCol w:w="709"/>
        <w:gridCol w:w="850"/>
        <w:gridCol w:w="851"/>
        <w:gridCol w:w="567"/>
        <w:gridCol w:w="679"/>
      </w:tblGrid>
      <w:tr w:rsidR="00221421" w:rsidRPr="00495781" w14:paraId="50082E68" w14:textId="77777777" w:rsidTr="00A54F0D">
        <w:trPr>
          <w:trHeight w:val="439"/>
        </w:trPr>
        <w:tc>
          <w:tcPr>
            <w:tcW w:w="5000" w:type="pct"/>
            <w:gridSpan w:val="11"/>
            <w:tcBorders>
              <w:top w:val="nil"/>
              <w:left w:val="nil"/>
              <w:bottom w:val="single" w:sz="4" w:space="0" w:color="auto"/>
              <w:right w:val="nil"/>
            </w:tcBorders>
            <w:shd w:val="clear" w:color="000000" w:fill="D9EAF7"/>
            <w:tcMar>
              <w:left w:w="28" w:type="dxa"/>
              <w:right w:w="28" w:type="dxa"/>
            </w:tcMar>
            <w:vAlign w:val="center"/>
            <w:hideMark/>
          </w:tcPr>
          <w:p w14:paraId="260CB1A8" w14:textId="77777777" w:rsidR="00221421" w:rsidRPr="00495781" w:rsidRDefault="00221421" w:rsidP="00A54F0D">
            <w:pPr>
              <w:widowControl/>
              <w:jc w:val="left"/>
              <w:rPr>
                <w:rFonts w:ascii="Times New Roman" w:eastAsia="宋体" w:hAnsi="Times New Roman" w:cs="Times New Roman"/>
                <w:b/>
                <w:bCs/>
                <w:color w:val="000000"/>
                <w:kern w:val="0"/>
                <w:szCs w:val="21"/>
              </w:rPr>
            </w:pPr>
            <w:r w:rsidRPr="00495781">
              <w:rPr>
                <w:rFonts w:ascii="Times New Roman" w:eastAsia="宋体" w:hAnsi="Times New Roman" w:cs="Times New Roman"/>
                <w:b/>
                <w:bCs/>
                <w:color w:val="000000"/>
                <w:kern w:val="0"/>
                <w:szCs w:val="21"/>
              </w:rPr>
              <w:t>Panel B. Regression cases</w:t>
            </w:r>
          </w:p>
        </w:tc>
      </w:tr>
      <w:tr w:rsidR="00221421" w:rsidRPr="00CB63E4" w14:paraId="287579F0" w14:textId="77777777" w:rsidTr="00A54F0D">
        <w:trPr>
          <w:trHeight w:val="762"/>
        </w:trPr>
        <w:tc>
          <w:tcPr>
            <w:tcW w:w="270"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64E92458"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Case</w:t>
            </w:r>
          </w:p>
        </w:tc>
        <w:tc>
          <w:tcPr>
            <w:tcW w:w="651"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5F2438A1"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Benchmark</w:t>
            </w:r>
          </w:p>
        </w:tc>
        <w:tc>
          <w:tcPr>
            <w:tcW w:w="453"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0B9D7193"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Dataset</w:t>
            </w:r>
          </w:p>
        </w:tc>
        <w:tc>
          <w:tcPr>
            <w:tcW w:w="423"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321ADC42"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Target</w:t>
            </w:r>
          </w:p>
        </w:tc>
        <w:tc>
          <w:tcPr>
            <w:tcW w:w="593"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4B80B13C"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Model</w:t>
            </w:r>
          </w:p>
        </w:tc>
        <w:tc>
          <w:tcPr>
            <w:tcW w:w="424"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231C1BCC"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MAE ratio</w:t>
            </w:r>
          </w:p>
        </w:tc>
        <w:tc>
          <w:tcPr>
            <w:tcW w:w="424"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08632227"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RMSE ratio</w:t>
            </w:r>
          </w:p>
        </w:tc>
        <w:tc>
          <w:tcPr>
            <w:tcW w:w="508"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5E21D8C1"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proofErr w:type="spellStart"/>
            <w:r w:rsidRPr="00495781">
              <w:rPr>
                <w:rFonts w:ascii="Times New Roman" w:eastAsia="宋体" w:hAnsi="Times New Roman" w:cs="Times New Roman"/>
                <w:b/>
                <w:bCs/>
                <w:color w:val="FFFFFF"/>
                <w:kern w:val="0"/>
                <w:sz w:val="18"/>
                <w:szCs w:val="18"/>
              </w:rPr>
              <w:t>relMAE</w:t>
            </w:r>
            <w:proofErr w:type="spellEnd"/>
            <w:r w:rsidRPr="00495781">
              <w:rPr>
                <w:rFonts w:ascii="Times New Roman" w:eastAsia="宋体" w:hAnsi="Times New Roman" w:cs="Times New Roman"/>
                <w:b/>
                <w:bCs/>
                <w:color w:val="FFFFFF"/>
                <w:kern w:val="0"/>
                <w:sz w:val="18"/>
                <w:szCs w:val="18"/>
              </w:rPr>
              <w:t xml:space="preserve"> inflation</w:t>
            </w:r>
          </w:p>
        </w:tc>
        <w:tc>
          <w:tcPr>
            <w:tcW w:w="509"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538552DB"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Target-scale ratio</w:t>
            </w:r>
          </w:p>
        </w:tc>
        <w:tc>
          <w:tcPr>
            <w:tcW w:w="339"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3CC8873B"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R²_NS</w:t>
            </w:r>
          </w:p>
        </w:tc>
        <w:tc>
          <w:tcPr>
            <w:tcW w:w="406" w:type="pct"/>
            <w:tcBorders>
              <w:top w:val="single" w:sz="4" w:space="0" w:color="auto"/>
              <w:left w:val="single" w:sz="4" w:space="0" w:color="auto"/>
              <w:bottom w:val="single" w:sz="4" w:space="0" w:color="auto"/>
              <w:right w:val="single" w:sz="4" w:space="0" w:color="auto"/>
            </w:tcBorders>
            <w:shd w:val="clear" w:color="000000" w:fill="1F4E78"/>
            <w:tcMar>
              <w:left w:w="28" w:type="dxa"/>
              <w:right w:w="28" w:type="dxa"/>
            </w:tcMar>
            <w:vAlign w:val="center"/>
            <w:hideMark/>
          </w:tcPr>
          <w:p w14:paraId="73F8BCF2" w14:textId="77777777" w:rsidR="00221421" w:rsidRPr="00495781" w:rsidRDefault="00221421" w:rsidP="00A54F0D">
            <w:pPr>
              <w:widowControl/>
              <w:jc w:val="center"/>
              <w:rPr>
                <w:rFonts w:ascii="Times New Roman" w:eastAsia="宋体" w:hAnsi="Times New Roman" w:cs="Times New Roman"/>
                <w:b/>
                <w:bCs/>
                <w:color w:val="FFFFFF"/>
                <w:kern w:val="0"/>
                <w:sz w:val="18"/>
                <w:szCs w:val="18"/>
              </w:rPr>
            </w:pPr>
            <w:r w:rsidRPr="00495781">
              <w:rPr>
                <w:rFonts w:ascii="Times New Roman" w:eastAsia="宋体" w:hAnsi="Times New Roman" w:cs="Times New Roman"/>
                <w:b/>
                <w:bCs/>
                <w:color w:val="FFFFFF"/>
                <w:kern w:val="0"/>
                <w:sz w:val="18"/>
                <w:szCs w:val="18"/>
              </w:rPr>
              <w:t xml:space="preserve">Pearson </w:t>
            </w:r>
            <w:proofErr w:type="spellStart"/>
            <w:r w:rsidRPr="00495781">
              <w:rPr>
                <w:rFonts w:ascii="Times New Roman" w:eastAsia="宋体" w:hAnsi="Times New Roman" w:cs="Times New Roman"/>
                <w:b/>
                <w:bCs/>
                <w:color w:val="FFFFFF"/>
                <w:kern w:val="0"/>
                <w:sz w:val="18"/>
                <w:szCs w:val="18"/>
              </w:rPr>
              <w:t>r_NS</w:t>
            </w:r>
            <w:proofErr w:type="spellEnd"/>
          </w:p>
        </w:tc>
      </w:tr>
      <w:tr w:rsidR="00221421" w:rsidRPr="00CB63E4" w14:paraId="1C07B068" w14:textId="77777777" w:rsidTr="00A54F0D">
        <w:trPr>
          <w:trHeight w:val="480"/>
        </w:trPr>
        <w:tc>
          <w:tcPr>
            <w:tcW w:w="270"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3DD3C6ED"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R1</w:t>
            </w:r>
          </w:p>
        </w:tc>
        <w:tc>
          <w:tcPr>
            <w:tcW w:w="651"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0834AAB"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Deep-PK/ADMET</w:t>
            </w:r>
          </w:p>
        </w:tc>
        <w:tc>
          <w:tcPr>
            <w:tcW w:w="453"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7D42A0F"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CB63E4">
              <w:rPr>
                <w:rFonts w:ascii="Times New Roman" w:eastAsia="宋体" w:hAnsi="Times New Roman" w:cs="Times New Roman"/>
                <w:color w:val="000000"/>
                <w:kern w:val="0"/>
                <w:sz w:val="18"/>
                <w:szCs w:val="18"/>
              </w:rPr>
              <w:t>logVP</w:t>
            </w:r>
            <w:proofErr w:type="spellEnd"/>
          </w:p>
        </w:tc>
        <w:tc>
          <w:tcPr>
            <w:tcW w:w="423"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315E542C"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CB63E4">
              <w:rPr>
                <w:rFonts w:ascii="Times New Roman" w:eastAsia="宋体" w:hAnsi="Times New Roman" w:cs="Times New Roman"/>
                <w:color w:val="000000"/>
                <w:kern w:val="0"/>
                <w:sz w:val="18"/>
                <w:szCs w:val="18"/>
              </w:rPr>
              <w:t>logVP</w:t>
            </w:r>
            <w:proofErr w:type="spellEnd"/>
          </w:p>
        </w:tc>
        <w:tc>
          <w:tcPr>
            <w:tcW w:w="593"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ACFEF4F"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CB63E4">
              <w:rPr>
                <w:rFonts w:ascii="Times New Roman" w:eastAsia="宋体" w:hAnsi="Times New Roman" w:cs="Times New Roman"/>
                <w:color w:val="000000"/>
                <w:kern w:val="0"/>
                <w:sz w:val="18"/>
                <w:szCs w:val="18"/>
              </w:rPr>
              <w:t>XG</w:t>
            </w:r>
            <w:r w:rsidRPr="00495781">
              <w:rPr>
                <w:rFonts w:ascii="Times New Roman" w:eastAsia="宋体" w:hAnsi="Times New Roman" w:cs="Times New Roman"/>
                <w:color w:val="000000"/>
                <w:kern w:val="0"/>
                <w:sz w:val="18"/>
                <w:szCs w:val="18"/>
              </w:rPr>
              <w:t>boost</w:t>
            </w:r>
            <w:proofErr w:type="spellEnd"/>
            <w:r w:rsidRPr="00CB63E4">
              <w:rPr>
                <w:rFonts w:ascii="Times New Roman" w:eastAsia="宋体" w:hAnsi="Times New Roman" w:cs="Times New Roman"/>
                <w:color w:val="000000"/>
                <w:kern w:val="0"/>
                <w:sz w:val="18"/>
                <w:szCs w:val="18"/>
              </w:rPr>
              <w:t>-</w:t>
            </w:r>
            <w:r w:rsidRPr="00495781">
              <w:rPr>
                <w:rFonts w:ascii="Times New Roman" w:eastAsia="宋体" w:hAnsi="Times New Roman" w:cs="Times New Roman"/>
                <w:color w:val="000000"/>
                <w:kern w:val="0"/>
                <w:sz w:val="18"/>
                <w:szCs w:val="18"/>
              </w:rPr>
              <w:t>features</w:t>
            </w:r>
          </w:p>
        </w:tc>
        <w:tc>
          <w:tcPr>
            <w:tcW w:w="42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661C5C93"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1.03×</w:t>
            </w:r>
          </w:p>
        </w:tc>
        <w:tc>
          <w:tcPr>
            <w:tcW w:w="42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69185A0D"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1.01×</w:t>
            </w:r>
          </w:p>
        </w:tc>
        <w:tc>
          <w:tcPr>
            <w:tcW w:w="508"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66439F14"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2.49×</w:t>
            </w:r>
          </w:p>
        </w:tc>
        <w:tc>
          <w:tcPr>
            <w:tcW w:w="509"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B3AB3DB"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0.43×</w:t>
            </w:r>
          </w:p>
        </w:tc>
        <w:tc>
          <w:tcPr>
            <w:tcW w:w="339"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2612C07C"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0.738</w:t>
            </w:r>
          </w:p>
        </w:tc>
        <w:tc>
          <w:tcPr>
            <w:tcW w:w="406"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386F2C6A"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0.887</w:t>
            </w:r>
          </w:p>
        </w:tc>
      </w:tr>
      <w:tr w:rsidR="00221421" w:rsidRPr="00CB63E4" w14:paraId="3F4E6422" w14:textId="77777777" w:rsidTr="00A54F0D">
        <w:trPr>
          <w:trHeight w:val="480"/>
        </w:trPr>
        <w:tc>
          <w:tcPr>
            <w:tcW w:w="2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E074DB6"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R2</w:t>
            </w:r>
          </w:p>
        </w:tc>
        <w:tc>
          <w:tcPr>
            <w:tcW w:w="6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3D2758"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495781">
              <w:rPr>
                <w:rFonts w:ascii="Times New Roman" w:eastAsia="宋体" w:hAnsi="Times New Roman" w:cs="Times New Roman"/>
                <w:color w:val="000000"/>
                <w:kern w:val="0"/>
                <w:sz w:val="18"/>
                <w:szCs w:val="18"/>
              </w:rPr>
              <w:t>MoleculeNet</w:t>
            </w:r>
            <w:proofErr w:type="spellEnd"/>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A1B27EC"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CB63E4">
              <w:rPr>
                <w:rFonts w:ascii="Times New Roman" w:eastAsia="宋体" w:hAnsi="Times New Roman" w:cs="Times New Roman"/>
                <w:color w:val="000000"/>
                <w:kern w:val="0"/>
                <w:sz w:val="18"/>
                <w:szCs w:val="18"/>
              </w:rPr>
              <w:t>QM9</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ED7511D"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h298</w:t>
            </w:r>
          </w:p>
        </w:tc>
        <w:tc>
          <w:tcPr>
            <w:tcW w:w="5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54FB135"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CB63E4">
              <w:rPr>
                <w:rFonts w:ascii="Times New Roman" w:eastAsia="宋体" w:hAnsi="Times New Roman" w:cs="Times New Roman"/>
                <w:color w:val="000000"/>
                <w:kern w:val="0"/>
                <w:sz w:val="18"/>
                <w:szCs w:val="18"/>
              </w:rPr>
              <w:t>XG</w:t>
            </w:r>
            <w:r w:rsidRPr="00495781">
              <w:rPr>
                <w:rFonts w:ascii="Times New Roman" w:eastAsia="宋体" w:hAnsi="Times New Roman" w:cs="Times New Roman"/>
                <w:color w:val="000000"/>
                <w:kern w:val="0"/>
                <w:sz w:val="18"/>
                <w:szCs w:val="18"/>
              </w:rPr>
              <w:t>boost</w:t>
            </w:r>
            <w:proofErr w:type="spellEnd"/>
            <w:r w:rsidRPr="00CB63E4">
              <w:rPr>
                <w:rFonts w:ascii="Times New Roman" w:eastAsia="宋体" w:hAnsi="Times New Roman" w:cs="Times New Roman"/>
                <w:color w:val="000000"/>
                <w:kern w:val="0"/>
                <w:sz w:val="18"/>
                <w:szCs w:val="18"/>
              </w:rPr>
              <w:t>-</w:t>
            </w:r>
            <w:r w:rsidRPr="00495781">
              <w:rPr>
                <w:rFonts w:ascii="Times New Roman" w:eastAsia="宋体" w:hAnsi="Times New Roman" w:cs="Times New Roman"/>
                <w:color w:val="000000"/>
                <w:kern w:val="0"/>
                <w:sz w:val="18"/>
                <w:szCs w:val="18"/>
              </w:rPr>
              <w:t>features</w:t>
            </w:r>
          </w:p>
        </w:tc>
        <w:tc>
          <w:tcPr>
            <w:tcW w:w="42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4E18D7"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10.84×</w:t>
            </w:r>
          </w:p>
        </w:tc>
        <w:tc>
          <w:tcPr>
            <w:tcW w:w="42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1BE118"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9.90×</w:t>
            </w:r>
          </w:p>
        </w:tc>
        <w:tc>
          <w:tcPr>
            <w:tcW w:w="50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09752A1"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10.71×</w:t>
            </w:r>
          </w:p>
        </w:tc>
        <w:tc>
          <w:tcPr>
            <w:tcW w:w="50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499619"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1.01×</w:t>
            </w:r>
          </w:p>
        </w:tc>
        <w:tc>
          <w:tcPr>
            <w:tcW w:w="33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A100BFB"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0.974</w:t>
            </w:r>
          </w:p>
        </w:tc>
        <w:tc>
          <w:tcPr>
            <w:tcW w:w="40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4A8804A"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0.988</w:t>
            </w:r>
          </w:p>
        </w:tc>
      </w:tr>
      <w:tr w:rsidR="00221421" w:rsidRPr="00CB63E4" w14:paraId="4F77C2BC" w14:textId="77777777" w:rsidTr="00A54F0D">
        <w:trPr>
          <w:trHeight w:val="480"/>
        </w:trPr>
        <w:tc>
          <w:tcPr>
            <w:tcW w:w="270"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3D64509B"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R3</w:t>
            </w:r>
          </w:p>
        </w:tc>
        <w:tc>
          <w:tcPr>
            <w:tcW w:w="651"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C75257F"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495781">
              <w:rPr>
                <w:rFonts w:ascii="Times New Roman" w:eastAsia="宋体" w:hAnsi="Times New Roman" w:cs="Times New Roman"/>
                <w:color w:val="000000"/>
                <w:kern w:val="0"/>
                <w:sz w:val="18"/>
                <w:szCs w:val="18"/>
              </w:rPr>
              <w:t>MoleculeNet</w:t>
            </w:r>
            <w:proofErr w:type="spellEnd"/>
          </w:p>
        </w:tc>
        <w:tc>
          <w:tcPr>
            <w:tcW w:w="453"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52C5526"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CB63E4">
              <w:rPr>
                <w:rFonts w:ascii="Times New Roman" w:eastAsia="宋体" w:hAnsi="Times New Roman" w:cs="Times New Roman"/>
                <w:color w:val="000000"/>
                <w:kern w:val="0"/>
                <w:sz w:val="18"/>
                <w:szCs w:val="18"/>
              </w:rPr>
              <w:t>QM9</w:t>
            </w:r>
          </w:p>
        </w:tc>
        <w:tc>
          <w:tcPr>
            <w:tcW w:w="423"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50CB6EBE"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u298</w:t>
            </w:r>
          </w:p>
        </w:tc>
        <w:tc>
          <w:tcPr>
            <w:tcW w:w="593"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276443FE"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CB63E4">
              <w:rPr>
                <w:rFonts w:ascii="Times New Roman" w:eastAsia="宋体" w:hAnsi="Times New Roman" w:cs="Times New Roman"/>
                <w:color w:val="000000"/>
                <w:kern w:val="0"/>
                <w:sz w:val="18"/>
                <w:szCs w:val="18"/>
              </w:rPr>
              <w:t>D-MPNN</w:t>
            </w:r>
          </w:p>
        </w:tc>
        <w:tc>
          <w:tcPr>
            <w:tcW w:w="42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4C91405D"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12.58×</w:t>
            </w:r>
          </w:p>
        </w:tc>
        <w:tc>
          <w:tcPr>
            <w:tcW w:w="424"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7B5F087F"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5.46×</w:t>
            </w:r>
          </w:p>
        </w:tc>
        <w:tc>
          <w:tcPr>
            <w:tcW w:w="508"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07D5F2BE"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12.49×</w:t>
            </w:r>
          </w:p>
        </w:tc>
        <w:tc>
          <w:tcPr>
            <w:tcW w:w="509"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35CE0737"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1.01×</w:t>
            </w:r>
          </w:p>
        </w:tc>
        <w:tc>
          <w:tcPr>
            <w:tcW w:w="339"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3BF7988E"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0.730</w:t>
            </w:r>
          </w:p>
        </w:tc>
        <w:tc>
          <w:tcPr>
            <w:tcW w:w="406" w:type="pct"/>
            <w:tcBorders>
              <w:top w:val="single" w:sz="4" w:space="0" w:color="auto"/>
              <w:left w:val="single" w:sz="4" w:space="0" w:color="auto"/>
              <w:bottom w:val="single" w:sz="4" w:space="0" w:color="auto"/>
              <w:right w:val="single" w:sz="4" w:space="0" w:color="auto"/>
            </w:tcBorders>
            <w:shd w:val="clear" w:color="C0E6F5" w:fill="C0E6F5"/>
            <w:tcMar>
              <w:left w:w="28" w:type="dxa"/>
              <w:right w:w="28" w:type="dxa"/>
            </w:tcMar>
            <w:vAlign w:val="center"/>
            <w:hideMark/>
          </w:tcPr>
          <w:p w14:paraId="24A455AE"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0.894</w:t>
            </w:r>
          </w:p>
        </w:tc>
      </w:tr>
      <w:tr w:rsidR="00221421" w:rsidRPr="00CB63E4" w14:paraId="7DB233C9" w14:textId="77777777" w:rsidTr="00A54F0D">
        <w:trPr>
          <w:trHeight w:val="480"/>
        </w:trPr>
        <w:tc>
          <w:tcPr>
            <w:tcW w:w="2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768DEC"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R4</w:t>
            </w:r>
          </w:p>
        </w:tc>
        <w:tc>
          <w:tcPr>
            <w:tcW w:w="65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2F7898"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495781">
              <w:rPr>
                <w:rFonts w:ascii="Times New Roman" w:eastAsia="宋体" w:hAnsi="Times New Roman" w:cs="Times New Roman"/>
                <w:color w:val="000000"/>
                <w:kern w:val="0"/>
                <w:sz w:val="18"/>
                <w:szCs w:val="18"/>
              </w:rPr>
              <w:t>MoleculeNet</w:t>
            </w:r>
            <w:proofErr w:type="spellEnd"/>
          </w:p>
        </w:tc>
        <w:tc>
          <w:tcPr>
            <w:tcW w:w="45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321B3C"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CB63E4">
              <w:rPr>
                <w:rFonts w:ascii="Times New Roman" w:eastAsia="宋体" w:hAnsi="Times New Roman" w:cs="Times New Roman"/>
                <w:color w:val="000000"/>
                <w:kern w:val="0"/>
                <w:sz w:val="18"/>
                <w:szCs w:val="18"/>
              </w:rPr>
              <w:t>QM9</w:t>
            </w:r>
          </w:p>
        </w:tc>
        <w:tc>
          <w:tcPr>
            <w:tcW w:w="42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4BB998" w14:textId="77777777" w:rsidR="00221421" w:rsidRPr="00495781" w:rsidRDefault="00221421" w:rsidP="00A54F0D">
            <w:pPr>
              <w:widowControl/>
              <w:jc w:val="center"/>
              <w:rPr>
                <w:rFonts w:ascii="Times New Roman" w:eastAsia="宋体" w:hAnsi="Times New Roman" w:cs="Times New Roman"/>
                <w:color w:val="000000"/>
                <w:kern w:val="0"/>
                <w:sz w:val="18"/>
                <w:szCs w:val="18"/>
              </w:rPr>
            </w:pPr>
            <w:proofErr w:type="spellStart"/>
            <w:r w:rsidRPr="00495781">
              <w:rPr>
                <w:rFonts w:ascii="Times New Roman" w:eastAsia="宋体" w:hAnsi="Times New Roman" w:cs="Times New Roman"/>
                <w:color w:val="000000"/>
                <w:kern w:val="0"/>
                <w:sz w:val="18"/>
                <w:szCs w:val="18"/>
              </w:rPr>
              <w:t>zpve</w:t>
            </w:r>
            <w:proofErr w:type="spellEnd"/>
          </w:p>
        </w:tc>
        <w:tc>
          <w:tcPr>
            <w:tcW w:w="59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01BCC2C"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CB63E4">
              <w:rPr>
                <w:rFonts w:ascii="Times New Roman" w:eastAsia="宋体" w:hAnsi="Times New Roman" w:cs="Times New Roman"/>
                <w:color w:val="000000"/>
                <w:kern w:val="0"/>
                <w:sz w:val="18"/>
                <w:szCs w:val="18"/>
              </w:rPr>
              <w:t>FCNN-</w:t>
            </w:r>
            <w:r w:rsidRPr="00495781">
              <w:rPr>
                <w:rFonts w:ascii="Times New Roman" w:eastAsia="宋体" w:hAnsi="Times New Roman" w:cs="Times New Roman"/>
                <w:color w:val="000000"/>
                <w:kern w:val="0"/>
                <w:sz w:val="18"/>
                <w:szCs w:val="18"/>
              </w:rPr>
              <w:t>features</w:t>
            </w:r>
          </w:p>
        </w:tc>
        <w:tc>
          <w:tcPr>
            <w:tcW w:w="42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746032"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5.87×</w:t>
            </w:r>
          </w:p>
        </w:tc>
        <w:tc>
          <w:tcPr>
            <w:tcW w:w="42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9B1816"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135.09×</w:t>
            </w:r>
          </w:p>
        </w:tc>
        <w:tc>
          <w:tcPr>
            <w:tcW w:w="50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F7C721"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5.95×</w:t>
            </w:r>
          </w:p>
        </w:tc>
        <w:tc>
          <w:tcPr>
            <w:tcW w:w="50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9F0D3D"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1.04×</w:t>
            </w:r>
          </w:p>
        </w:tc>
        <w:tc>
          <w:tcPr>
            <w:tcW w:w="33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CBA53E"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−166.113</w:t>
            </w:r>
          </w:p>
        </w:tc>
        <w:tc>
          <w:tcPr>
            <w:tcW w:w="40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F8F0B53" w14:textId="77777777" w:rsidR="00221421" w:rsidRPr="00495781" w:rsidRDefault="00221421" w:rsidP="00A54F0D">
            <w:pPr>
              <w:widowControl/>
              <w:jc w:val="center"/>
              <w:rPr>
                <w:rFonts w:ascii="Times New Roman" w:eastAsia="宋体" w:hAnsi="Times New Roman" w:cs="Times New Roman"/>
                <w:color w:val="000000"/>
                <w:kern w:val="0"/>
                <w:sz w:val="18"/>
                <w:szCs w:val="18"/>
              </w:rPr>
            </w:pPr>
            <w:r w:rsidRPr="00495781">
              <w:rPr>
                <w:rFonts w:ascii="Times New Roman" w:eastAsia="宋体" w:hAnsi="Times New Roman" w:cs="Times New Roman"/>
                <w:color w:val="000000"/>
                <w:kern w:val="0"/>
                <w:sz w:val="18"/>
                <w:szCs w:val="18"/>
              </w:rPr>
              <w:t>0.068</w:t>
            </w:r>
          </w:p>
        </w:tc>
      </w:tr>
    </w:tbl>
    <w:p w14:paraId="38798E8C" w14:textId="77777777" w:rsidR="00221421" w:rsidRPr="00CB63E4" w:rsidRDefault="00221421" w:rsidP="00221421">
      <w:pPr>
        <w:pStyle w:val="a3"/>
        <w:adjustRightInd w:val="0"/>
        <w:snapToGrid w:val="0"/>
        <w:spacing w:beforeAutospacing="0" w:afterAutospacing="0" w:line="360" w:lineRule="auto"/>
        <w:jc w:val="both"/>
        <w:rPr>
          <w:rFonts w:ascii="Times New Roman" w:hAnsi="Times New Roman"/>
          <w:color w:val="000000" w:themeColor="text1"/>
        </w:rPr>
      </w:pPr>
    </w:p>
    <w:p w14:paraId="7689516E" w14:textId="77777777" w:rsidR="00B77EBF" w:rsidRPr="00B77EBF" w:rsidRDefault="00B77EBF" w:rsidP="00B77EBF">
      <w:pPr>
        <w:pStyle w:val="a3"/>
        <w:adjustRightInd w:val="0"/>
        <w:snapToGrid w:val="0"/>
        <w:spacing w:beforeAutospacing="0" w:afterAutospacing="0" w:line="360" w:lineRule="auto"/>
        <w:jc w:val="both"/>
        <w:rPr>
          <w:rFonts w:ascii="Times New Roman" w:hAnsi="Times New Roman"/>
          <w:b/>
          <w:bCs/>
          <w:color w:val="000000" w:themeColor="text1"/>
        </w:rPr>
      </w:pPr>
      <w:r w:rsidRPr="00B77EBF">
        <w:rPr>
          <w:rFonts w:ascii="Times New Roman" w:hAnsi="Times New Roman"/>
          <w:b/>
          <w:bCs/>
          <w:color w:val="000000" w:themeColor="text1"/>
        </w:rPr>
        <w:t>Supplementary Note 2. Diagnostic association analyses</w:t>
      </w:r>
    </w:p>
    <w:p w14:paraId="0D05EB31" w14:textId="77777777" w:rsidR="00B77EBF" w:rsidRPr="00B77EBF" w:rsidRDefault="00B77EBF" w:rsidP="00B77EBF">
      <w:pPr>
        <w:pStyle w:val="a3"/>
        <w:adjustRightInd w:val="0"/>
        <w:snapToGrid w:val="0"/>
        <w:spacing w:beforeAutospacing="0" w:afterAutospacing="0" w:line="360" w:lineRule="auto"/>
        <w:jc w:val="both"/>
        <w:rPr>
          <w:rFonts w:ascii="Times New Roman" w:hAnsi="Times New Roman"/>
          <w:bCs/>
          <w:color w:val="000000" w:themeColor="text1"/>
        </w:rPr>
      </w:pPr>
      <w:r w:rsidRPr="00B77EBF">
        <w:rPr>
          <w:rFonts w:ascii="Times New Roman" w:hAnsi="Times New Roman"/>
          <w:bCs/>
          <w:color w:val="000000" w:themeColor="text1"/>
        </w:rPr>
        <w:t>This note summarizes association-based diagnostic analyses linking no-scaffold performance changes to candidate diagnostic variables. These analyses are intended to characterize accompanying patterns rather than to establish causal mechanisms. Unless otherwise stated, diagnostic associations were summarized at the task-level median scale.</w:t>
      </w:r>
    </w:p>
    <w:p w14:paraId="371C5E97" w14:textId="0D6BEE42" w:rsidR="00B77EBF" w:rsidRPr="00B77EBF" w:rsidRDefault="007C4846" w:rsidP="00911029">
      <w:pPr>
        <w:pStyle w:val="a3"/>
        <w:adjustRightInd w:val="0"/>
        <w:snapToGrid w:val="0"/>
        <w:spacing w:beforeAutospacing="0" w:afterAutospacing="0" w:line="360" w:lineRule="auto"/>
        <w:ind w:firstLineChars="200" w:firstLine="480"/>
        <w:jc w:val="both"/>
        <w:rPr>
          <w:rFonts w:ascii="Times New Roman" w:hAnsi="Times New Roman"/>
          <w:bCs/>
          <w:color w:val="000000" w:themeColor="text1"/>
        </w:rPr>
      </w:pPr>
      <w:r w:rsidRPr="007C4846">
        <w:rPr>
          <w:rFonts w:ascii="Times New Roman" w:hAnsi="Times New Roman"/>
          <w:bCs/>
          <w:color w:val="000000" w:themeColor="text1"/>
        </w:rPr>
        <w:t xml:space="preserve">For classification tasks, Supplementary Fig. 4 and Supplementary Tables 12 and 13 examine associations between </w:t>
      </w:r>
      <w:proofErr w:type="spellStart"/>
      <w:r w:rsidRPr="007C4846">
        <w:rPr>
          <w:rFonts w:ascii="Times New Roman" w:hAnsi="Times New Roman"/>
          <w:bCs/>
          <w:color w:val="000000" w:themeColor="text1"/>
        </w:rPr>
        <w:t>ΔnormPR</w:t>
      </w:r>
      <w:proofErr w:type="spellEnd"/>
      <w:r w:rsidRPr="007C4846">
        <w:rPr>
          <w:rFonts w:ascii="Times New Roman" w:hAnsi="Times New Roman"/>
          <w:bCs/>
          <w:color w:val="000000" w:themeColor="text1"/>
        </w:rPr>
        <w:t xml:space="preserve"> and training-support loss, positive-rate shift, calibration drift, and prediction-score compression. Supplementary Table 12 summarizes class imbalance, prediction-score compression, and training-support background in the no-scaffold fold, whereas Supplementary Table 13 reports task-level Spearman and partial Spearman correlations. Larger prediction-score compression indicates a smaller prediction-probability standard deviation on the no-scaffold test subset relative to ordinary folds. Larger support loss indicates lower nearest-neighbor training support in the no-scaffold fold relative to ordinary folds.</w:t>
      </w:r>
    </w:p>
    <w:p w14:paraId="00534DFF" w14:textId="152FF442" w:rsidR="00D10242" w:rsidRPr="00EF5D5F" w:rsidRDefault="007C4846" w:rsidP="00911029">
      <w:pPr>
        <w:pStyle w:val="a3"/>
        <w:adjustRightInd w:val="0"/>
        <w:snapToGrid w:val="0"/>
        <w:spacing w:beforeAutospacing="0" w:afterAutospacing="0" w:line="360" w:lineRule="auto"/>
        <w:ind w:firstLineChars="200" w:firstLine="480"/>
        <w:jc w:val="both"/>
        <w:rPr>
          <w:rFonts w:ascii="Times New Roman" w:hAnsi="Times New Roman"/>
          <w:bCs/>
          <w:color w:val="000000" w:themeColor="text1"/>
        </w:rPr>
      </w:pPr>
      <w:r w:rsidRPr="007C4846">
        <w:rPr>
          <w:rFonts w:ascii="Times New Roman" w:hAnsi="Times New Roman"/>
          <w:bCs/>
          <w:color w:val="000000" w:themeColor="text1"/>
        </w:rPr>
        <w:t xml:space="preserve">For regression tasks, Supplementary Fig. 5 and Supplementary Tables 14 and 15 examine associations between </w:t>
      </w:r>
      <w:proofErr w:type="spellStart"/>
      <w:r w:rsidRPr="007C4846">
        <w:rPr>
          <w:rFonts w:ascii="Times New Roman" w:hAnsi="Times New Roman"/>
          <w:bCs/>
          <w:color w:val="000000" w:themeColor="text1"/>
        </w:rPr>
        <w:t>relMAE</w:t>
      </w:r>
      <w:proofErr w:type="spellEnd"/>
      <w:r w:rsidRPr="007C4846">
        <w:rPr>
          <w:rFonts w:ascii="Times New Roman" w:hAnsi="Times New Roman"/>
          <w:bCs/>
          <w:color w:val="000000" w:themeColor="text1"/>
        </w:rPr>
        <w:t xml:space="preserve"> inflation and support loss, target-distribution shift, absolute MAE growth, target-scale contraction, and output-scale change. Supplementary Table 14 summarizes training support, error decomposition, and support-loss-stratified </w:t>
      </w:r>
      <w:proofErr w:type="spellStart"/>
      <w:r w:rsidRPr="007C4846">
        <w:rPr>
          <w:rFonts w:ascii="Times New Roman" w:hAnsi="Times New Roman"/>
          <w:bCs/>
          <w:color w:val="000000" w:themeColor="text1"/>
        </w:rPr>
        <w:t>relMAE</w:t>
      </w:r>
      <w:proofErr w:type="spellEnd"/>
      <w:r w:rsidRPr="007C4846">
        <w:rPr>
          <w:rFonts w:ascii="Times New Roman" w:hAnsi="Times New Roman"/>
          <w:bCs/>
          <w:color w:val="000000" w:themeColor="text1"/>
        </w:rPr>
        <w:t xml:space="preserve"> inflation, whereas Supplementary Table 15 reports task-level correlation analyses. Larger </w:t>
      </w:r>
      <w:proofErr w:type="spellStart"/>
      <w:r w:rsidRPr="007C4846">
        <w:rPr>
          <w:rFonts w:ascii="Times New Roman" w:hAnsi="Times New Roman"/>
          <w:bCs/>
          <w:color w:val="000000" w:themeColor="text1"/>
        </w:rPr>
        <w:t>relMAE</w:t>
      </w:r>
      <w:proofErr w:type="spellEnd"/>
      <w:r w:rsidRPr="007C4846">
        <w:rPr>
          <w:rFonts w:ascii="Times New Roman" w:hAnsi="Times New Roman"/>
          <w:bCs/>
          <w:color w:val="000000" w:themeColor="text1"/>
        </w:rPr>
        <w:t xml:space="preserve"> inflation indicates higher scale-adjusted regression error on the no-scaffold test subset relative to the corresponding ordinary-fold reference.</w:t>
      </w:r>
    </w:p>
    <w:p w14:paraId="625B1038" w14:textId="77777777" w:rsidR="000C640F" w:rsidRPr="00CB63E4" w:rsidRDefault="000C640F" w:rsidP="0050672C">
      <w:pPr>
        <w:pStyle w:val="a3"/>
        <w:widowControl/>
        <w:spacing w:beforeAutospacing="0" w:afterAutospacing="0"/>
        <w:rPr>
          <w:rFonts w:ascii="Times New Roman" w:hAnsi="Times New Roman"/>
          <w:color w:val="000000" w:themeColor="text1"/>
        </w:rPr>
      </w:pPr>
      <w:r w:rsidRPr="00CB63E4">
        <w:rPr>
          <w:rFonts w:ascii="Times New Roman" w:hAnsi="Times New Roman"/>
          <w:noProof/>
          <w:color w:val="000000" w:themeColor="text1"/>
        </w:rPr>
        <w:lastRenderedPageBreak/>
        <w:drawing>
          <wp:inline distT="0" distB="0" distL="0" distR="0" wp14:anchorId="31B1CFAF" wp14:editId="0D792A52">
            <wp:extent cx="4887917" cy="5427553"/>
            <wp:effectExtent l="0" t="0" r="8255" b="1905"/>
            <wp:docPr id="1585873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7304" name="图片 158587304"/>
                    <pic:cNvPicPr/>
                  </pic:nvPicPr>
                  <pic:blipFill>
                    <a:blip r:embed="rId10"/>
                    <a:stretch>
                      <a:fillRect/>
                    </a:stretch>
                  </pic:blipFill>
                  <pic:spPr>
                    <a:xfrm>
                      <a:off x="0" y="0"/>
                      <a:ext cx="4889484" cy="5429293"/>
                    </a:xfrm>
                    <a:prstGeom prst="rect">
                      <a:avLst/>
                    </a:prstGeom>
                  </pic:spPr>
                </pic:pic>
              </a:graphicData>
            </a:graphic>
          </wp:inline>
        </w:drawing>
      </w:r>
    </w:p>
    <w:p w14:paraId="713DC941" w14:textId="27174C7C" w:rsidR="008460BC" w:rsidRPr="00CB63E4" w:rsidRDefault="008460BC" w:rsidP="008460BC">
      <w:pPr>
        <w:pStyle w:val="a3"/>
        <w:widowControl/>
        <w:spacing w:beforeAutospacing="0" w:afterAutospacing="0"/>
        <w:jc w:val="both"/>
        <w:rPr>
          <w:rFonts w:ascii="Times New Roman" w:hAnsi="Times New Roman"/>
          <w:b/>
          <w:bCs/>
          <w:color w:val="000000" w:themeColor="text1"/>
        </w:rPr>
      </w:pPr>
      <w:bookmarkStart w:id="4" w:name="_Hlk230362259"/>
      <w:r w:rsidRPr="00CB63E4">
        <w:rPr>
          <w:rFonts w:ascii="Times New Roman" w:hAnsi="Times New Roman"/>
          <w:b/>
          <w:bCs/>
          <w:color w:val="000000" w:themeColor="text1"/>
        </w:rPr>
        <w:t>Supplementary Figure 4</w:t>
      </w:r>
      <w:bookmarkEnd w:id="4"/>
      <w:r w:rsidRPr="00CB63E4">
        <w:rPr>
          <w:rFonts w:ascii="Times New Roman" w:hAnsi="Times New Roman"/>
          <w:b/>
          <w:bCs/>
          <w:color w:val="000000" w:themeColor="text1"/>
        </w:rPr>
        <w:t xml:space="preserve">. Diagnostic associations for classification tasks. a, </w:t>
      </w:r>
      <w:r w:rsidRPr="00CB63E4">
        <w:rPr>
          <w:rFonts w:ascii="Times New Roman" w:hAnsi="Times New Roman"/>
          <w:color w:val="000000" w:themeColor="text1"/>
        </w:rPr>
        <w:t>Relationship between support loss and</w:t>
      </w:r>
      <w:r w:rsidR="005E4769" w:rsidRPr="00CB63E4">
        <w:rPr>
          <w:rFonts w:ascii="Times New Roman" w:hAnsi="Times New Roman"/>
          <w:color w:val="000000" w:themeColor="text1"/>
        </w:rPr>
        <w:t xml:space="preserve"> </w:t>
      </w:r>
      <w:proofErr w:type="spellStart"/>
      <w:r w:rsidRPr="00CB63E4">
        <w:rPr>
          <w:rFonts w:ascii="Times New Roman" w:hAnsi="Times New Roman"/>
          <w:color w:val="000000" w:themeColor="text1"/>
        </w:rPr>
        <w:t>ΔnormPR</w:t>
      </w:r>
      <w:proofErr w:type="spellEnd"/>
      <w:r w:rsidRPr="00CB63E4">
        <w:rPr>
          <w:rFonts w:ascii="Times New Roman" w:hAnsi="Times New Roman"/>
          <w:color w:val="000000" w:themeColor="text1"/>
        </w:rPr>
        <w:t xml:space="preserve">. </w:t>
      </w:r>
      <w:r w:rsidRPr="00CB63E4">
        <w:rPr>
          <w:rFonts w:ascii="Times New Roman" w:hAnsi="Times New Roman"/>
          <w:b/>
          <w:bCs/>
          <w:color w:val="000000" w:themeColor="text1"/>
        </w:rPr>
        <w:t>b–d,</w:t>
      </w:r>
      <w:r w:rsidRPr="00CB63E4">
        <w:rPr>
          <w:rFonts w:ascii="Times New Roman" w:hAnsi="Times New Roman"/>
          <w:color w:val="000000" w:themeColor="text1"/>
        </w:rPr>
        <w:t xml:space="preserve"> Relationships between positive-rate shift,</w:t>
      </w:r>
      <w:r w:rsidR="005E4769" w:rsidRPr="00CB63E4">
        <w:rPr>
          <w:rFonts w:ascii="Times New Roman" w:hAnsi="Times New Roman"/>
          <w:color w:val="000000" w:themeColor="text1"/>
        </w:rPr>
        <w:t xml:space="preserve"> </w:t>
      </w:r>
      <w:proofErr w:type="spellStart"/>
      <w:r w:rsidRPr="00CB63E4">
        <w:rPr>
          <w:rFonts w:ascii="Times New Roman" w:hAnsi="Times New Roman"/>
          <w:color w:val="000000" w:themeColor="text1"/>
        </w:rPr>
        <w:t>ΔBrier</w:t>
      </w:r>
      <w:proofErr w:type="spellEnd"/>
      <w:r w:rsidRPr="00CB63E4">
        <w:rPr>
          <w:rFonts w:ascii="Times New Roman" w:hAnsi="Times New Roman"/>
          <w:color w:val="000000" w:themeColor="text1"/>
        </w:rPr>
        <w:t>,</w:t>
      </w:r>
      <w:r w:rsidR="005E4769" w:rsidRPr="00CB63E4">
        <w:rPr>
          <w:rFonts w:ascii="Times New Roman" w:hAnsi="Times New Roman"/>
          <w:color w:val="000000" w:themeColor="text1"/>
        </w:rPr>
        <w:t xml:space="preserve"> </w:t>
      </w:r>
      <w:r w:rsidRPr="00CB63E4">
        <w:rPr>
          <w:rFonts w:ascii="Times New Roman" w:hAnsi="Times New Roman"/>
          <w:color w:val="000000" w:themeColor="text1"/>
        </w:rPr>
        <w:t>ΔECE, and</w:t>
      </w:r>
      <w:r w:rsidR="005E4769" w:rsidRPr="00CB63E4">
        <w:rPr>
          <w:rFonts w:ascii="Times New Roman" w:hAnsi="Times New Roman"/>
          <w:color w:val="000000" w:themeColor="text1"/>
        </w:rPr>
        <w:t xml:space="preserve"> </w:t>
      </w:r>
      <w:proofErr w:type="spellStart"/>
      <w:r w:rsidRPr="00CB63E4">
        <w:rPr>
          <w:rFonts w:ascii="Times New Roman" w:hAnsi="Times New Roman"/>
          <w:color w:val="000000" w:themeColor="text1"/>
        </w:rPr>
        <w:t>ΔnormPR</w:t>
      </w:r>
      <w:proofErr w:type="spellEnd"/>
      <w:r w:rsidRPr="00CB63E4">
        <w:rPr>
          <w:rFonts w:ascii="Times New Roman" w:hAnsi="Times New Roman"/>
          <w:color w:val="000000" w:themeColor="text1"/>
        </w:rPr>
        <w:t xml:space="preserve">. </w:t>
      </w:r>
      <w:r w:rsidRPr="00CB63E4">
        <w:rPr>
          <w:rFonts w:ascii="Times New Roman" w:hAnsi="Times New Roman"/>
          <w:b/>
          <w:bCs/>
          <w:color w:val="000000" w:themeColor="text1"/>
        </w:rPr>
        <w:t xml:space="preserve">e, </w:t>
      </w:r>
      <w:r w:rsidRPr="00CB63E4">
        <w:rPr>
          <w:rFonts w:ascii="Times New Roman" w:hAnsi="Times New Roman"/>
          <w:color w:val="000000" w:themeColor="text1"/>
        </w:rPr>
        <w:t>Task-level correlation analysis of prediction-score compression and training-support loss with</w:t>
      </w:r>
      <w:r w:rsidR="005E4769" w:rsidRPr="00CB63E4">
        <w:rPr>
          <w:rFonts w:ascii="Times New Roman" w:hAnsi="Times New Roman"/>
          <w:color w:val="000000" w:themeColor="text1"/>
        </w:rPr>
        <w:t xml:space="preserve"> </w:t>
      </w:r>
      <w:proofErr w:type="spellStart"/>
      <w:r w:rsidRPr="00CB63E4">
        <w:rPr>
          <w:rFonts w:ascii="Times New Roman" w:hAnsi="Times New Roman"/>
          <w:color w:val="000000" w:themeColor="text1"/>
        </w:rPr>
        <w:t>ΔnormPR</w:t>
      </w:r>
      <w:proofErr w:type="spellEnd"/>
      <w:r w:rsidRPr="00CB63E4">
        <w:rPr>
          <w:rFonts w:ascii="Times New Roman" w:hAnsi="Times New Roman"/>
          <w:color w:val="000000" w:themeColor="text1"/>
        </w:rPr>
        <w:t xml:space="preserve"> before and after adjustment.</w:t>
      </w:r>
    </w:p>
    <w:p w14:paraId="7E79E54B" w14:textId="2B18CB58" w:rsidR="000C640F" w:rsidRPr="00CB63E4" w:rsidRDefault="000C640F" w:rsidP="00F340E2">
      <w:pPr>
        <w:pStyle w:val="a3"/>
        <w:widowControl/>
        <w:spacing w:beforeAutospacing="0" w:afterAutospacing="0"/>
        <w:jc w:val="center"/>
        <w:rPr>
          <w:rFonts w:ascii="Times New Roman" w:hAnsi="Times New Roman"/>
          <w:color w:val="000000" w:themeColor="text1"/>
        </w:rPr>
      </w:pPr>
      <w:r w:rsidRPr="00CB63E4">
        <w:rPr>
          <w:rFonts w:ascii="Times New Roman" w:hAnsi="Times New Roman"/>
          <w:noProof/>
          <w:color w:val="000000" w:themeColor="text1"/>
        </w:rPr>
        <w:lastRenderedPageBreak/>
        <w:drawing>
          <wp:inline distT="0" distB="0" distL="0" distR="0" wp14:anchorId="7C5932AC" wp14:editId="04F9FB1B">
            <wp:extent cx="4855566" cy="6088456"/>
            <wp:effectExtent l="0" t="0" r="2540" b="7620"/>
            <wp:docPr id="10950796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79641" name="图片 1095079641"/>
                    <pic:cNvPicPr/>
                  </pic:nvPicPr>
                  <pic:blipFill>
                    <a:blip r:embed="rId11"/>
                    <a:stretch>
                      <a:fillRect/>
                    </a:stretch>
                  </pic:blipFill>
                  <pic:spPr>
                    <a:xfrm>
                      <a:off x="0" y="0"/>
                      <a:ext cx="4856591" cy="6089741"/>
                    </a:xfrm>
                    <a:prstGeom prst="rect">
                      <a:avLst/>
                    </a:prstGeom>
                  </pic:spPr>
                </pic:pic>
              </a:graphicData>
            </a:graphic>
          </wp:inline>
        </w:drawing>
      </w:r>
    </w:p>
    <w:p w14:paraId="255E6768" w14:textId="358EFB3F" w:rsidR="000C640F" w:rsidRDefault="005E4769" w:rsidP="005E4769">
      <w:pPr>
        <w:pStyle w:val="a3"/>
        <w:widowControl/>
        <w:adjustRightInd w:val="0"/>
        <w:snapToGrid w:val="0"/>
        <w:spacing w:beforeAutospacing="0" w:afterAutospacing="0" w:line="360" w:lineRule="auto"/>
        <w:jc w:val="both"/>
        <w:rPr>
          <w:rFonts w:ascii="Times New Roman" w:hAnsi="Times New Roman"/>
          <w:color w:val="000000" w:themeColor="text1"/>
        </w:rPr>
      </w:pPr>
      <w:bookmarkStart w:id="5" w:name="_Hlk230362844"/>
      <w:r w:rsidRPr="00CB63E4">
        <w:rPr>
          <w:rFonts w:ascii="Times New Roman" w:hAnsi="Times New Roman"/>
          <w:b/>
          <w:bCs/>
          <w:color w:val="000000" w:themeColor="text1"/>
        </w:rPr>
        <w:t>Supplementary Figure 5</w:t>
      </w:r>
      <w:bookmarkEnd w:id="5"/>
      <w:r w:rsidRPr="00CB63E4">
        <w:rPr>
          <w:rFonts w:ascii="Times New Roman" w:hAnsi="Times New Roman"/>
          <w:b/>
          <w:bCs/>
          <w:color w:val="000000" w:themeColor="text1"/>
        </w:rPr>
        <w:t>. Diagnostic associations for regression tasks. a–b,</w:t>
      </w:r>
      <w:r w:rsidRPr="00CB63E4">
        <w:rPr>
          <w:rFonts w:ascii="Times New Roman" w:hAnsi="Times New Roman"/>
          <w:color w:val="000000" w:themeColor="text1"/>
        </w:rPr>
        <w:t xml:space="preserve"> Relationships between support loss and </w:t>
      </w:r>
      <w:proofErr w:type="spellStart"/>
      <w:r w:rsidRPr="00CB63E4">
        <w:rPr>
          <w:rFonts w:ascii="Times New Roman" w:hAnsi="Times New Roman"/>
          <w:color w:val="000000" w:themeColor="text1"/>
        </w:rPr>
        <w:t>relMAE</w:t>
      </w:r>
      <w:proofErr w:type="spellEnd"/>
      <w:r w:rsidRPr="00CB63E4">
        <w:rPr>
          <w:rFonts w:ascii="Times New Roman" w:hAnsi="Times New Roman"/>
          <w:color w:val="000000" w:themeColor="text1"/>
        </w:rPr>
        <w:t xml:space="preserve"> inflation in </w:t>
      </w:r>
      <w:proofErr w:type="spellStart"/>
      <w:r w:rsidRPr="00CB63E4">
        <w:rPr>
          <w:rFonts w:ascii="Times New Roman" w:hAnsi="Times New Roman"/>
          <w:color w:val="000000" w:themeColor="text1"/>
        </w:rPr>
        <w:t>MoleculeNet</w:t>
      </w:r>
      <w:proofErr w:type="spellEnd"/>
      <w:r w:rsidRPr="00CB63E4">
        <w:rPr>
          <w:rFonts w:ascii="Times New Roman" w:hAnsi="Times New Roman"/>
          <w:color w:val="000000" w:themeColor="text1"/>
        </w:rPr>
        <w:t xml:space="preserve"> and Deep-PK/ADMET. </w:t>
      </w:r>
      <w:r w:rsidRPr="00CB63E4">
        <w:rPr>
          <w:rFonts w:ascii="Times New Roman" w:hAnsi="Times New Roman"/>
          <w:b/>
          <w:bCs/>
          <w:color w:val="000000" w:themeColor="text1"/>
        </w:rPr>
        <w:t>c–d,</w:t>
      </w:r>
      <w:r w:rsidRPr="00CB63E4">
        <w:rPr>
          <w:rFonts w:ascii="Times New Roman" w:hAnsi="Times New Roman"/>
          <w:color w:val="000000" w:themeColor="text1"/>
        </w:rPr>
        <w:t xml:space="preserve"> Relationships between </w:t>
      </w:r>
      <w:r w:rsidRPr="00CB63E4">
        <w:rPr>
          <w:rFonts w:ascii="Cambria Math" w:hAnsi="Cambria Math" w:cs="Cambria Math"/>
          <w:color w:val="000000" w:themeColor="text1"/>
        </w:rPr>
        <w:t>∣</w:t>
      </w:r>
      <w:r w:rsidRPr="00CB63E4">
        <w:rPr>
          <w:rFonts w:ascii="Times New Roman" w:hAnsi="Times New Roman"/>
          <w:color w:val="000000" w:themeColor="text1"/>
        </w:rPr>
        <w:t>Hedges′ g</w:t>
      </w:r>
      <w:r w:rsidRPr="00CB63E4">
        <w:rPr>
          <w:rFonts w:ascii="Cambria Math" w:hAnsi="Cambria Math" w:cs="Cambria Math"/>
          <w:color w:val="000000" w:themeColor="text1"/>
        </w:rPr>
        <w:t>∣</w:t>
      </w:r>
      <w:r w:rsidRPr="00CB63E4">
        <w:rPr>
          <w:rFonts w:ascii="Times New Roman" w:hAnsi="Times New Roman"/>
          <w:color w:val="000000" w:themeColor="text1"/>
        </w:rPr>
        <w:t xml:space="preserve"> and </w:t>
      </w:r>
      <w:proofErr w:type="spellStart"/>
      <w:r w:rsidRPr="00CB63E4">
        <w:rPr>
          <w:rFonts w:ascii="Times New Roman" w:hAnsi="Times New Roman"/>
          <w:color w:val="000000" w:themeColor="text1"/>
        </w:rPr>
        <w:t>relMAE</w:t>
      </w:r>
      <w:proofErr w:type="spellEnd"/>
      <w:r w:rsidRPr="00CB63E4">
        <w:rPr>
          <w:rFonts w:ascii="Times New Roman" w:hAnsi="Times New Roman"/>
          <w:color w:val="000000" w:themeColor="text1"/>
        </w:rPr>
        <w:t xml:space="preserve"> inflation in </w:t>
      </w:r>
      <w:proofErr w:type="spellStart"/>
      <w:r w:rsidRPr="00CB63E4">
        <w:rPr>
          <w:rFonts w:ascii="Times New Roman" w:hAnsi="Times New Roman"/>
          <w:color w:val="000000" w:themeColor="text1"/>
        </w:rPr>
        <w:t>MoleculeNet</w:t>
      </w:r>
      <w:proofErr w:type="spellEnd"/>
      <w:r w:rsidRPr="00CB63E4">
        <w:rPr>
          <w:rFonts w:ascii="Times New Roman" w:hAnsi="Times New Roman"/>
          <w:color w:val="000000" w:themeColor="text1"/>
        </w:rPr>
        <w:t xml:space="preserve"> and Deep-PK/ADMET. </w:t>
      </w:r>
      <w:r w:rsidRPr="00CB63E4">
        <w:rPr>
          <w:rFonts w:ascii="Times New Roman" w:hAnsi="Times New Roman"/>
          <w:b/>
          <w:bCs/>
          <w:color w:val="000000" w:themeColor="text1"/>
        </w:rPr>
        <w:t>e,</w:t>
      </w:r>
      <w:r w:rsidRPr="00CB63E4">
        <w:rPr>
          <w:rFonts w:ascii="Times New Roman" w:hAnsi="Times New Roman"/>
          <w:color w:val="000000" w:themeColor="text1"/>
        </w:rPr>
        <w:t xml:space="preserve"> Point-level </w:t>
      </w:r>
      <w:proofErr w:type="spellStart"/>
      <w:r w:rsidRPr="00CB63E4">
        <w:rPr>
          <w:rFonts w:ascii="Times New Roman" w:hAnsi="Times New Roman"/>
          <w:color w:val="000000" w:themeColor="text1"/>
        </w:rPr>
        <w:t>relMAE</w:t>
      </w:r>
      <w:proofErr w:type="spellEnd"/>
      <w:r w:rsidRPr="00CB63E4">
        <w:rPr>
          <w:rFonts w:ascii="Times New Roman" w:hAnsi="Times New Roman"/>
          <w:color w:val="000000" w:themeColor="text1"/>
        </w:rPr>
        <w:t xml:space="preserve"> inflation distributions after stratification by support-loss severity.</w:t>
      </w:r>
    </w:p>
    <w:p w14:paraId="22BF2D3E" w14:textId="77777777" w:rsidR="00FD725C" w:rsidRDefault="00FD725C" w:rsidP="005E4769">
      <w:pPr>
        <w:pStyle w:val="a3"/>
        <w:widowControl/>
        <w:adjustRightInd w:val="0"/>
        <w:snapToGrid w:val="0"/>
        <w:spacing w:beforeAutospacing="0" w:afterAutospacing="0" w:line="360" w:lineRule="auto"/>
        <w:jc w:val="both"/>
        <w:rPr>
          <w:rFonts w:ascii="Times New Roman" w:hAnsi="Times New Roman"/>
          <w:color w:val="000000" w:themeColor="text1"/>
        </w:rPr>
      </w:pPr>
    </w:p>
    <w:p w14:paraId="1586AD43" w14:textId="567B4A75" w:rsidR="00FD725C" w:rsidRPr="00964A51" w:rsidRDefault="00FD725C" w:rsidP="00FD725C">
      <w:pPr>
        <w:keepNext/>
        <w:adjustRightInd w:val="0"/>
        <w:snapToGrid w:val="0"/>
        <w:spacing w:line="360" w:lineRule="auto"/>
        <w:rPr>
          <w:rFonts w:ascii="Times New Roman" w:hAnsi="Times New Roman" w:cs="Times New Roman"/>
          <w:color w:val="000000" w:themeColor="text1"/>
          <w:kern w:val="0"/>
          <w:sz w:val="24"/>
        </w:rPr>
      </w:pPr>
      <w:bookmarkStart w:id="6" w:name="_Hlk230362215"/>
      <w:bookmarkStart w:id="7" w:name="OLE_LINK2"/>
      <w:r w:rsidRPr="00964A51">
        <w:rPr>
          <w:rFonts w:ascii="Times New Roman" w:hAnsi="Times New Roman" w:cs="Times New Roman"/>
          <w:b/>
          <w:bCs/>
          <w:color w:val="000000" w:themeColor="text1"/>
          <w:kern w:val="0"/>
          <w:sz w:val="24"/>
        </w:rPr>
        <w:lastRenderedPageBreak/>
        <w:t>Supplementary Table</w:t>
      </w:r>
      <w:bookmarkEnd w:id="6"/>
      <w:r w:rsidRPr="00964A51">
        <w:rPr>
          <w:rFonts w:ascii="Times New Roman" w:hAnsi="Times New Roman" w:cs="Times New Roman"/>
          <w:b/>
          <w:bCs/>
          <w:color w:val="000000" w:themeColor="text1"/>
          <w:kern w:val="0"/>
          <w:sz w:val="24"/>
        </w:rPr>
        <w:t xml:space="preserve"> </w:t>
      </w:r>
      <w:r>
        <w:rPr>
          <w:rFonts w:ascii="Times New Roman" w:hAnsi="Times New Roman" w:cs="Times New Roman" w:hint="eastAsia"/>
          <w:b/>
          <w:bCs/>
          <w:color w:val="000000" w:themeColor="text1"/>
          <w:kern w:val="0"/>
          <w:sz w:val="24"/>
        </w:rPr>
        <w:t>12</w:t>
      </w:r>
      <w:r w:rsidRPr="00964A51">
        <w:rPr>
          <w:rFonts w:ascii="Times New Roman" w:hAnsi="Times New Roman" w:cs="Times New Roman"/>
          <w:b/>
          <w:bCs/>
          <w:color w:val="000000" w:themeColor="text1"/>
          <w:kern w:val="0"/>
          <w:sz w:val="24"/>
        </w:rPr>
        <w:t xml:space="preserve">. Class imbalance, prediction-score compression, and training-support background in the no-scaffold fold for classification tasks. </w:t>
      </w:r>
      <w:r w:rsidRPr="00964A51">
        <w:rPr>
          <w:rFonts w:ascii="Times New Roman" w:hAnsi="Times New Roman" w:cs="Times New Roman"/>
          <w:color w:val="000000" w:themeColor="text1"/>
          <w:kern w:val="0"/>
          <w:sz w:val="24"/>
        </w:rPr>
        <w:t>Values are reported as task-level statistics. Training-support similarity denotes the median nearest-neighbor similarity from test molecules to the training set.</w:t>
      </w:r>
    </w:p>
    <w:tbl>
      <w:tblPr>
        <w:tblW w:w="0" w:type="auto"/>
        <w:jc w:val="center"/>
        <w:tblLook w:val="04A0" w:firstRow="1" w:lastRow="0" w:firstColumn="1" w:lastColumn="0" w:noHBand="0" w:noVBand="1"/>
      </w:tblPr>
      <w:tblGrid>
        <w:gridCol w:w="3016"/>
        <w:gridCol w:w="1256"/>
        <w:gridCol w:w="1636"/>
      </w:tblGrid>
      <w:tr w:rsidR="00FD725C" w:rsidRPr="00CB63E4" w14:paraId="1C9CB27F" w14:textId="77777777" w:rsidTr="00A54F0D">
        <w:trPr>
          <w:jc w:val="center"/>
        </w:trPr>
        <w:tc>
          <w:tcPr>
            <w:tcW w:w="0" w:type="auto"/>
            <w:tcBorders>
              <w:top w:val="single" w:sz="4" w:space="0" w:color="auto"/>
              <w:left w:val="single" w:sz="4" w:space="0" w:color="auto"/>
              <w:bottom w:val="single" w:sz="4" w:space="0" w:color="auto"/>
              <w:right w:val="single" w:sz="4" w:space="0" w:color="auto"/>
            </w:tcBorders>
            <w:shd w:val="clear" w:color="auto" w:fill="1F4E78"/>
            <w:vAlign w:val="center"/>
          </w:tcPr>
          <w:p w14:paraId="6AB1A75F" w14:textId="77777777" w:rsidR="00FD725C" w:rsidRPr="00CB63E4" w:rsidRDefault="00FD725C" w:rsidP="00A54F0D">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Metric</w:t>
            </w:r>
          </w:p>
        </w:tc>
        <w:tc>
          <w:tcPr>
            <w:tcW w:w="0" w:type="auto"/>
            <w:tcBorders>
              <w:top w:val="single" w:sz="4" w:space="0" w:color="auto"/>
              <w:left w:val="nil"/>
              <w:bottom w:val="single" w:sz="4" w:space="0" w:color="auto"/>
              <w:right w:val="single" w:sz="4" w:space="0" w:color="auto"/>
            </w:tcBorders>
            <w:shd w:val="clear" w:color="auto" w:fill="1F4E78"/>
            <w:noWrap/>
            <w:vAlign w:val="center"/>
          </w:tcPr>
          <w:p w14:paraId="3C6EE504" w14:textId="77777777" w:rsidR="00FD725C" w:rsidRPr="00CB63E4" w:rsidRDefault="00FD725C" w:rsidP="00A54F0D">
            <w:pPr>
              <w:widowControl/>
              <w:jc w:val="center"/>
              <w:rPr>
                <w:rFonts w:ascii="Times New Roman" w:eastAsia="宋体" w:hAnsi="Times New Roman" w:cs="Times New Roman"/>
                <w:b/>
                <w:bCs/>
                <w:color w:val="FFFFFF" w:themeColor="background1"/>
                <w:kern w:val="0"/>
                <w:sz w:val="18"/>
                <w:szCs w:val="18"/>
              </w:rPr>
            </w:pPr>
            <w:proofErr w:type="spellStart"/>
            <w:r w:rsidRPr="00CB63E4">
              <w:rPr>
                <w:rFonts w:ascii="Times New Roman" w:eastAsia="宋体" w:hAnsi="Times New Roman" w:cs="Times New Roman"/>
                <w:b/>
                <w:bCs/>
                <w:color w:val="FFFFFF" w:themeColor="background1"/>
                <w:kern w:val="0"/>
                <w:sz w:val="18"/>
                <w:szCs w:val="18"/>
              </w:rPr>
              <w:t>Moleculenet</w:t>
            </w:r>
            <w:proofErr w:type="spellEnd"/>
          </w:p>
        </w:tc>
        <w:tc>
          <w:tcPr>
            <w:tcW w:w="0" w:type="auto"/>
            <w:tcBorders>
              <w:top w:val="single" w:sz="4" w:space="0" w:color="auto"/>
              <w:left w:val="nil"/>
              <w:bottom w:val="single" w:sz="4" w:space="0" w:color="auto"/>
              <w:right w:val="single" w:sz="4" w:space="0" w:color="auto"/>
            </w:tcBorders>
            <w:shd w:val="clear" w:color="auto" w:fill="1F4E78"/>
            <w:noWrap/>
            <w:vAlign w:val="center"/>
          </w:tcPr>
          <w:p w14:paraId="0554ADD0" w14:textId="77777777" w:rsidR="00FD725C" w:rsidRPr="00CB63E4" w:rsidRDefault="00FD725C" w:rsidP="00A54F0D">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Deep-PK/ADMET</w:t>
            </w:r>
          </w:p>
        </w:tc>
      </w:tr>
      <w:tr w:rsidR="00FD725C" w:rsidRPr="00CB63E4" w14:paraId="1614538F" w14:textId="77777777" w:rsidTr="00A54F0D">
        <w:trPr>
          <w:jc w:val="center"/>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427872E0"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Number of tasks</w:t>
            </w:r>
          </w:p>
        </w:tc>
        <w:tc>
          <w:tcPr>
            <w:tcW w:w="0" w:type="auto"/>
            <w:tcBorders>
              <w:top w:val="nil"/>
              <w:left w:val="nil"/>
              <w:bottom w:val="single" w:sz="4" w:space="0" w:color="auto"/>
              <w:right w:val="single" w:sz="4" w:space="0" w:color="auto"/>
            </w:tcBorders>
            <w:noWrap/>
            <w:vAlign w:val="center"/>
            <w:hideMark/>
          </w:tcPr>
          <w:p w14:paraId="21DBD2D2"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37</w:t>
            </w:r>
          </w:p>
        </w:tc>
        <w:tc>
          <w:tcPr>
            <w:tcW w:w="0" w:type="auto"/>
            <w:tcBorders>
              <w:top w:val="nil"/>
              <w:left w:val="nil"/>
              <w:bottom w:val="single" w:sz="4" w:space="0" w:color="auto"/>
              <w:right w:val="single" w:sz="4" w:space="0" w:color="auto"/>
            </w:tcBorders>
            <w:noWrap/>
            <w:vAlign w:val="center"/>
            <w:hideMark/>
          </w:tcPr>
          <w:p w14:paraId="093374CB"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26</w:t>
            </w:r>
          </w:p>
        </w:tc>
      </w:tr>
      <w:tr w:rsidR="00FD725C" w:rsidRPr="00CB63E4" w14:paraId="4E8285AC" w14:textId="77777777" w:rsidTr="00A54F0D">
        <w:trPr>
          <w:jc w:val="center"/>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24D65730"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More imbalanced tasks</w:t>
            </w:r>
          </w:p>
        </w:tc>
        <w:tc>
          <w:tcPr>
            <w:tcW w:w="0" w:type="auto"/>
            <w:tcBorders>
              <w:top w:val="nil"/>
              <w:left w:val="nil"/>
              <w:bottom w:val="single" w:sz="4" w:space="0" w:color="auto"/>
              <w:right w:val="single" w:sz="4" w:space="0" w:color="auto"/>
            </w:tcBorders>
            <w:noWrap/>
            <w:vAlign w:val="center"/>
            <w:hideMark/>
          </w:tcPr>
          <w:p w14:paraId="4DDB95CB"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23/37 (62.2%)</w:t>
            </w:r>
          </w:p>
        </w:tc>
        <w:tc>
          <w:tcPr>
            <w:tcW w:w="0" w:type="auto"/>
            <w:tcBorders>
              <w:top w:val="nil"/>
              <w:left w:val="nil"/>
              <w:bottom w:val="single" w:sz="4" w:space="0" w:color="auto"/>
              <w:right w:val="single" w:sz="4" w:space="0" w:color="auto"/>
            </w:tcBorders>
            <w:noWrap/>
            <w:vAlign w:val="center"/>
            <w:hideMark/>
          </w:tcPr>
          <w:p w14:paraId="7C0E5FEA"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19/26 (73.1%)</w:t>
            </w:r>
          </w:p>
        </w:tc>
      </w:tr>
      <w:tr w:rsidR="00FD725C" w:rsidRPr="00CB63E4" w14:paraId="71BA31DC" w14:textId="77777777" w:rsidTr="00A54F0D">
        <w:trPr>
          <w:jc w:val="center"/>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004F0675"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Median imbalance amplification ratio</w:t>
            </w:r>
          </w:p>
        </w:tc>
        <w:tc>
          <w:tcPr>
            <w:tcW w:w="0" w:type="auto"/>
            <w:tcBorders>
              <w:top w:val="nil"/>
              <w:left w:val="nil"/>
              <w:bottom w:val="single" w:sz="4" w:space="0" w:color="auto"/>
              <w:right w:val="single" w:sz="4" w:space="0" w:color="auto"/>
            </w:tcBorders>
            <w:noWrap/>
            <w:vAlign w:val="center"/>
            <w:hideMark/>
          </w:tcPr>
          <w:p w14:paraId="72B76A5A"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1.906</w:t>
            </w:r>
          </w:p>
        </w:tc>
        <w:tc>
          <w:tcPr>
            <w:tcW w:w="0" w:type="auto"/>
            <w:tcBorders>
              <w:top w:val="nil"/>
              <w:left w:val="nil"/>
              <w:bottom w:val="single" w:sz="4" w:space="0" w:color="auto"/>
              <w:right w:val="single" w:sz="4" w:space="0" w:color="auto"/>
            </w:tcBorders>
            <w:noWrap/>
            <w:vAlign w:val="center"/>
            <w:hideMark/>
          </w:tcPr>
          <w:p w14:paraId="0177F337"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2.705</w:t>
            </w:r>
          </w:p>
        </w:tc>
      </w:tr>
      <w:tr w:rsidR="00FD725C" w:rsidRPr="00CB63E4" w14:paraId="364523E9" w14:textId="77777777" w:rsidTr="00A54F0D">
        <w:trPr>
          <w:jc w:val="center"/>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0F17BD90"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Median prediction-collapse strength</w:t>
            </w:r>
          </w:p>
        </w:tc>
        <w:tc>
          <w:tcPr>
            <w:tcW w:w="0" w:type="auto"/>
            <w:tcBorders>
              <w:top w:val="nil"/>
              <w:left w:val="nil"/>
              <w:bottom w:val="single" w:sz="4" w:space="0" w:color="auto"/>
              <w:right w:val="single" w:sz="4" w:space="0" w:color="auto"/>
            </w:tcBorders>
            <w:noWrap/>
            <w:vAlign w:val="center"/>
            <w:hideMark/>
          </w:tcPr>
          <w:p w14:paraId="1CCFE6E6"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1.478</w:t>
            </w:r>
          </w:p>
        </w:tc>
        <w:tc>
          <w:tcPr>
            <w:tcW w:w="0" w:type="auto"/>
            <w:tcBorders>
              <w:top w:val="nil"/>
              <w:left w:val="nil"/>
              <w:bottom w:val="single" w:sz="4" w:space="0" w:color="auto"/>
              <w:right w:val="single" w:sz="4" w:space="0" w:color="auto"/>
            </w:tcBorders>
            <w:noWrap/>
            <w:vAlign w:val="center"/>
            <w:hideMark/>
          </w:tcPr>
          <w:p w14:paraId="6ED9D820"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1.839</w:t>
            </w:r>
          </w:p>
        </w:tc>
      </w:tr>
      <w:tr w:rsidR="00FD725C" w:rsidRPr="00CB63E4" w14:paraId="0D50E7CA" w14:textId="77777777" w:rsidTr="00A54F0D">
        <w:trPr>
          <w:jc w:val="center"/>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157F64DC"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Ordinary training-support similarity</w:t>
            </w:r>
          </w:p>
        </w:tc>
        <w:tc>
          <w:tcPr>
            <w:tcW w:w="0" w:type="auto"/>
            <w:tcBorders>
              <w:top w:val="nil"/>
              <w:left w:val="nil"/>
              <w:bottom w:val="single" w:sz="4" w:space="0" w:color="auto"/>
              <w:right w:val="single" w:sz="4" w:space="0" w:color="auto"/>
            </w:tcBorders>
            <w:noWrap/>
            <w:vAlign w:val="center"/>
            <w:hideMark/>
          </w:tcPr>
          <w:p w14:paraId="534CFCC6"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0.435</w:t>
            </w:r>
          </w:p>
        </w:tc>
        <w:tc>
          <w:tcPr>
            <w:tcW w:w="0" w:type="auto"/>
            <w:tcBorders>
              <w:top w:val="nil"/>
              <w:left w:val="nil"/>
              <w:bottom w:val="single" w:sz="4" w:space="0" w:color="auto"/>
              <w:right w:val="single" w:sz="4" w:space="0" w:color="auto"/>
            </w:tcBorders>
            <w:noWrap/>
            <w:vAlign w:val="center"/>
            <w:hideMark/>
          </w:tcPr>
          <w:p w14:paraId="4B8A2241"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0.445</w:t>
            </w:r>
          </w:p>
        </w:tc>
      </w:tr>
      <w:tr w:rsidR="00FD725C" w:rsidRPr="00CB63E4" w14:paraId="020293CE" w14:textId="77777777" w:rsidTr="00A54F0D">
        <w:trPr>
          <w:jc w:val="center"/>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3D8F17E"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No-scaffold training-support similarity</w:t>
            </w:r>
          </w:p>
        </w:tc>
        <w:tc>
          <w:tcPr>
            <w:tcW w:w="0" w:type="auto"/>
            <w:tcBorders>
              <w:top w:val="nil"/>
              <w:left w:val="nil"/>
              <w:bottom w:val="single" w:sz="4" w:space="0" w:color="auto"/>
              <w:right w:val="single" w:sz="4" w:space="0" w:color="auto"/>
            </w:tcBorders>
            <w:noWrap/>
            <w:vAlign w:val="center"/>
            <w:hideMark/>
          </w:tcPr>
          <w:p w14:paraId="64B5690E"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0.263</w:t>
            </w:r>
          </w:p>
        </w:tc>
        <w:tc>
          <w:tcPr>
            <w:tcW w:w="0" w:type="auto"/>
            <w:tcBorders>
              <w:top w:val="nil"/>
              <w:left w:val="nil"/>
              <w:bottom w:val="single" w:sz="4" w:space="0" w:color="auto"/>
              <w:right w:val="single" w:sz="4" w:space="0" w:color="auto"/>
            </w:tcBorders>
            <w:noWrap/>
            <w:vAlign w:val="center"/>
            <w:hideMark/>
          </w:tcPr>
          <w:p w14:paraId="1E8C28B6"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0.308</w:t>
            </w:r>
          </w:p>
        </w:tc>
      </w:tr>
      <w:tr w:rsidR="00FD725C" w:rsidRPr="00CB63E4" w14:paraId="53A32AC1" w14:textId="77777777" w:rsidTr="00A54F0D">
        <w:trPr>
          <w:jc w:val="center"/>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37ECF677"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Ordinary low-support tasks (&lt;0.30)</w:t>
            </w:r>
          </w:p>
        </w:tc>
        <w:tc>
          <w:tcPr>
            <w:tcW w:w="0" w:type="auto"/>
            <w:tcBorders>
              <w:top w:val="nil"/>
              <w:left w:val="nil"/>
              <w:bottom w:val="single" w:sz="4" w:space="0" w:color="auto"/>
              <w:right w:val="single" w:sz="4" w:space="0" w:color="auto"/>
            </w:tcBorders>
            <w:noWrap/>
            <w:vAlign w:val="center"/>
            <w:hideMark/>
          </w:tcPr>
          <w:p w14:paraId="18B808A7"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0/37 (0.0%)</w:t>
            </w:r>
          </w:p>
        </w:tc>
        <w:tc>
          <w:tcPr>
            <w:tcW w:w="0" w:type="auto"/>
            <w:tcBorders>
              <w:top w:val="nil"/>
              <w:left w:val="nil"/>
              <w:bottom w:val="single" w:sz="4" w:space="0" w:color="auto"/>
              <w:right w:val="single" w:sz="4" w:space="0" w:color="auto"/>
            </w:tcBorders>
            <w:noWrap/>
            <w:vAlign w:val="center"/>
            <w:hideMark/>
          </w:tcPr>
          <w:p w14:paraId="6730BBD8"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3/26 (11.5%)</w:t>
            </w:r>
          </w:p>
        </w:tc>
      </w:tr>
      <w:tr w:rsidR="00FD725C" w:rsidRPr="00CB63E4" w14:paraId="379EE22B" w14:textId="77777777" w:rsidTr="00A54F0D">
        <w:trPr>
          <w:jc w:val="center"/>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35AC0D6C"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No-scaffold low-support tasks (&lt;0.30)</w:t>
            </w:r>
          </w:p>
        </w:tc>
        <w:tc>
          <w:tcPr>
            <w:tcW w:w="0" w:type="auto"/>
            <w:tcBorders>
              <w:top w:val="nil"/>
              <w:left w:val="nil"/>
              <w:bottom w:val="single" w:sz="4" w:space="0" w:color="auto"/>
              <w:right w:val="single" w:sz="4" w:space="0" w:color="auto"/>
            </w:tcBorders>
            <w:noWrap/>
            <w:vAlign w:val="center"/>
            <w:hideMark/>
          </w:tcPr>
          <w:p w14:paraId="248BC3E0"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29/37 (78.4%)</w:t>
            </w:r>
          </w:p>
        </w:tc>
        <w:tc>
          <w:tcPr>
            <w:tcW w:w="0" w:type="auto"/>
            <w:tcBorders>
              <w:top w:val="nil"/>
              <w:left w:val="nil"/>
              <w:bottom w:val="single" w:sz="4" w:space="0" w:color="auto"/>
              <w:right w:val="single" w:sz="4" w:space="0" w:color="auto"/>
            </w:tcBorders>
            <w:noWrap/>
            <w:vAlign w:val="center"/>
            <w:hideMark/>
          </w:tcPr>
          <w:p w14:paraId="20E62179" w14:textId="77777777" w:rsidR="00FD725C" w:rsidRPr="00CB63E4" w:rsidRDefault="00FD725C" w:rsidP="00A54F0D">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12/26 (46.2%)</w:t>
            </w:r>
          </w:p>
        </w:tc>
      </w:tr>
      <w:bookmarkEnd w:id="7"/>
    </w:tbl>
    <w:p w14:paraId="54AC1258" w14:textId="77777777" w:rsidR="0050672C" w:rsidRPr="00CB63E4" w:rsidRDefault="0050672C" w:rsidP="0050672C">
      <w:pPr>
        <w:pStyle w:val="a3"/>
        <w:widowControl/>
        <w:adjustRightInd w:val="0"/>
        <w:snapToGrid w:val="0"/>
        <w:spacing w:beforeAutospacing="0" w:afterAutospacing="0" w:line="360" w:lineRule="auto"/>
        <w:jc w:val="both"/>
        <w:rPr>
          <w:rFonts w:ascii="Times New Roman" w:hAnsi="Times New Roman"/>
          <w:color w:val="000000" w:themeColor="text1"/>
        </w:rPr>
      </w:pPr>
    </w:p>
    <w:p w14:paraId="08068F8D" w14:textId="0DA0FD6D" w:rsidR="00FE0B28" w:rsidRPr="00EF5D5F" w:rsidRDefault="005E4769" w:rsidP="005E4769">
      <w:pPr>
        <w:keepNext/>
        <w:adjustRightInd w:val="0"/>
        <w:snapToGrid w:val="0"/>
        <w:spacing w:line="360" w:lineRule="auto"/>
        <w:rPr>
          <w:rFonts w:ascii="Times New Roman" w:hAnsi="Times New Roman" w:cs="Times New Roman"/>
          <w:color w:val="000000" w:themeColor="text1"/>
          <w:kern w:val="0"/>
          <w:sz w:val="24"/>
        </w:rPr>
      </w:pPr>
      <w:r w:rsidRPr="00EF5D5F">
        <w:rPr>
          <w:rFonts w:ascii="Times New Roman" w:hAnsi="Times New Roman" w:cs="Times New Roman"/>
          <w:b/>
          <w:bCs/>
          <w:color w:val="000000" w:themeColor="text1"/>
          <w:kern w:val="0"/>
          <w:sz w:val="24"/>
        </w:rPr>
        <w:t xml:space="preserve">Supplementary Table </w:t>
      </w:r>
      <w:r w:rsidR="00FD725C">
        <w:rPr>
          <w:rFonts w:ascii="Times New Roman" w:hAnsi="Times New Roman" w:cs="Times New Roman" w:hint="eastAsia"/>
          <w:b/>
          <w:bCs/>
          <w:color w:val="000000" w:themeColor="text1"/>
          <w:kern w:val="0"/>
          <w:sz w:val="24"/>
        </w:rPr>
        <w:t>13</w:t>
      </w:r>
      <w:r w:rsidRPr="00EF5D5F">
        <w:rPr>
          <w:rFonts w:ascii="Times New Roman" w:hAnsi="Times New Roman" w:cs="Times New Roman"/>
          <w:b/>
          <w:bCs/>
          <w:color w:val="000000" w:themeColor="text1"/>
          <w:kern w:val="0"/>
          <w:sz w:val="24"/>
        </w:rPr>
        <w:t xml:space="preserve">. Task-level correlations between candidate diagnostic variables and </w:t>
      </w:r>
      <w:proofErr w:type="spellStart"/>
      <w:r w:rsidRPr="00EF5D5F">
        <w:rPr>
          <w:rFonts w:ascii="Times New Roman" w:hAnsi="Times New Roman" w:cs="Times New Roman"/>
          <w:b/>
          <w:bCs/>
          <w:color w:val="000000" w:themeColor="text1"/>
          <w:kern w:val="0"/>
          <w:sz w:val="24"/>
        </w:rPr>
        <w:t>ΔnormPR</w:t>
      </w:r>
      <w:proofErr w:type="spellEnd"/>
      <w:r w:rsidRPr="00EF5D5F">
        <w:rPr>
          <w:rFonts w:ascii="Times New Roman" w:hAnsi="Times New Roman" w:cs="Times New Roman"/>
          <w:b/>
          <w:bCs/>
          <w:color w:val="000000" w:themeColor="text1"/>
          <w:kern w:val="0"/>
          <w:sz w:val="24"/>
        </w:rPr>
        <w:t xml:space="preserve"> in classification tasks. </w:t>
      </w:r>
      <m:oMath>
        <m:r>
          <m:rPr>
            <m:sty m:val="p"/>
          </m:rPr>
          <w:rPr>
            <w:rFonts w:ascii="Cambria Math" w:hAnsi="Cambria Math" w:cs="Times New Roman"/>
            <w:color w:val="000000" w:themeColor="text1"/>
            <w:kern w:val="0"/>
            <w:sz w:val="24"/>
          </w:rPr>
          <m:t>ρ</m:t>
        </m:r>
      </m:oMath>
      <w:r w:rsidRPr="00EF5D5F">
        <w:rPr>
          <w:rFonts w:ascii="Times New Roman" w:hAnsi="Times New Roman" w:cs="Times New Roman"/>
          <w:color w:val="000000" w:themeColor="text1"/>
          <w:kern w:val="0"/>
          <w:sz w:val="24"/>
        </w:rPr>
        <w:t xml:space="preserve"> and </w:t>
      </w:r>
      <m:oMath>
        <m:r>
          <w:rPr>
            <w:rFonts w:ascii="Cambria Math" w:hAnsi="Cambria Math" w:cs="Times New Roman"/>
            <w:color w:val="000000" w:themeColor="text1"/>
            <w:kern w:val="0"/>
            <w:sz w:val="24"/>
          </w:rPr>
          <m:t>p</m:t>
        </m:r>
      </m:oMath>
      <w:r w:rsidRPr="00EF5D5F">
        <w:rPr>
          <w:rFonts w:ascii="Times New Roman" w:hAnsi="Times New Roman" w:cs="Times New Roman"/>
          <w:color w:val="000000" w:themeColor="text1"/>
          <w:kern w:val="0"/>
          <w:sz w:val="24"/>
        </w:rPr>
        <w:t xml:space="preserve"> denote Spearman correlation and the corresponding </w:t>
      </w:r>
      <m:oMath>
        <m:r>
          <w:rPr>
            <w:rFonts w:ascii="Cambria Math" w:hAnsi="Cambria Math" w:cs="Times New Roman"/>
            <w:color w:val="000000" w:themeColor="text1"/>
            <w:kern w:val="0"/>
            <w:sz w:val="24"/>
          </w:rPr>
          <m:t>p</m:t>
        </m:r>
      </m:oMath>
      <w:r w:rsidRPr="00EF5D5F">
        <w:rPr>
          <w:rFonts w:ascii="Times New Roman" w:hAnsi="Times New Roman" w:cs="Times New Roman"/>
          <w:color w:val="000000" w:themeColor="text1"/>
          <w:kern w:val="0"/>
          <w:sz w:val="24"/>
        </w:rPr>
        <w:t xml:space="preserve">-value. Partial </w:t>
      </w:r>
      <m:oMath>
        <m:r>
          <w:rPr>
            <w:rFonts w:ascii="Cambria Math" w:hAnsi="Cambria Math" w:cs="Times New Roman"/>
            <w:color w:val="000000" w:themeColor="text1"/>
            <w:kern w:val="0"/>
            <w:sz w:val="24"/>
          </w:rPr>
          <m:t>ρ</m:t>
        </m:r>
      </m:oMath>
      <w:r w:rsidRPr="00EF5D5F">
        <w:rPr>
          <w:rFonts w:ascii="Times New Roman" w:hAnsi="Times New Roman" w:cs="Times New Roman"/>
          <w:color w:val="000000" w:themeColor="text1"/>
          <w:kern w:val="0"/>
          <w:sz w:val="24"/>
        </w:rPr>
        <w:t xml:space="preserve"> and partial </w:t>
      </w:r>
      <m:oMath>
        <m:r>
          <w:rPr>
            <w:rFonts w:ascii="Cambria Math" w:hAnsi="Cambria Math" w:cs="Times New Roman"/>
            <w:color w:val="000000" w:themeColor="text1"/>
            <w:kern w:val="0"/>
            <w:sz w:val="24"/>
          </w:rPr>
          <m:t>p</m:t>
        </m:r>
      </m:oMath>
      <w:r w:rsidRPr="00EF5D5F">
        <w:rPr>
          <w:rFonts w:ascii="Times New Roman" w:hAnsi="Times New Roman" w:cs="Times New Roman"/>
          <w:color w:val="000000" w:themeColor="text1"/>
          <w:kern w:val="0"/>
          <w:sz w:val="24"/>
        </w:rPr>
        <w:t xml:space="preserve"> denote partial Spearman correlation after simultaneously controlling for </w:t>
      </w:r>
      <w:r w:rsidRPr="00EF5D5F">
        <w:rPr>
          <w:rFonts w:ascii="Cambria Math" w:hAnsi="Cambria Math" w:cs="Cambria Math"/>
          <w:color w:val="000000" w:themeColor="text1"/>
          <w:kern w:val="0"/>
          <w:sz w:val="24"/>
        </w:rPr>
        <w:t>∣</w:t>
      </w:r>
      <w:r w:rsidRPr="00EF5D5F">
        <w:rPr>
          <w:rFonts w:ascii="Times New Roman" w:hAnsi="Times New Roman" w:cs="Times New Roman"/>
          <w:color w:val="000000" w:themeColor="text1"/>
          <w:kern w:val="0"/>
          <w:sz w:val="24"/>
        </w:rPr>
        <w:t>Δpositive</w:t>
      </w:r>
      <w:r w:rsidR="00964A51">
        <w:rPr>
          <w:rFonts w:ascii="Times New Roman" w:hAnsi="Times New Roman" w:cs="Times New Roman" w:hint="eastAsia"/>
          <w:color w:val="000000" w:themeColor="text1"/>
          <w:kern w:val="0"/>
          <w:sz w:val="24"/>
        </w:rPr>
        <w:t xml:space="preserve"> </w:t>
      </w:r>
      <w:r w:rsidRPr="00EF5D5F">
        <w:rPr>
          <w:rFonts w:ascii="Times New Roman" w:hAnsi="Times New Roman" w:cs="Times New Roman"/>
          <w:color w:val="000000" w:themeColor="text1"/>
          <w:kern w:val="0"/>
          <w:sz w:val="24"/>
        </w:rPr>
        <w:t>rate</w:t>
      </w:r>
      <w:r w:rsidRPr="00EF5D5F">
        <w:rPr>
          <w:rFonts w:ascii="Cambria Math" w:hAnsi="Cambria Math" w:cs="Cambria Math"/>
          <w:color w:val="000000" w:themeColor="text1"/>
          <w:kern w:val="0"/>
          <w:sz w:val="24"/>
        </w:rPr>
        <w:t>∣</w:t>
      </w:r>
      <w:r w:rsidRPr="00EF5D5F">
        <w:rPr>
          <w:rFonts w:ascii="Times New Roman" w:hAnsi="Times New Roman" w:cs="Times New Roman"/>
          <w:color w:val="000000" w:themeColor="text1"/>
          <w:kern w:val="0"/>
          <w:sz w:val="24"/>
        </w:rPr>
        <w:t xml:space="preserve">, </w:t>
      </w:r>
      <w:proofErr w:type="spellStart"/>
      <w:r w:rsidRPr="00EF5D5F">
        <w:rPr>
          <w:rFonts w:ascii="Times New Roman" w:hAnsi="Times New Roman" w:cs="Times New Roman"/>
          <w:color w:val="000000" w:themeColor="text1"/>
          <w:kern w:val="0"/>
          <w:sz w:val="24"/>
        </w:rPr>
        <w:t>ΔBrier</w:t>
      </w:r>
      <w:proofErr w:type="spellEnd"/>
      <w:r w:rsidRPr="00EF5D5F">
        <w:rPr>
          <w:rFonts w:ascii="Times New Roman" w:hAnsi="Times New Roman" w:cs="Times New Roman"/>
          <w:color w:val="000000" w:themeColor="text1"/>
          <w:kern w:val="0"/>
          <w:sz w:val="24"/>
        </w:rPr>
        <w:t>, and ΔECE.</w:t>
      </w:r>
    </w:p>
    <w:tbl>
      <w:tblPr>
        <w:tblStyle w:val="a8"/>
        <w:tblW w:w="0" w:type="auto"/>
        <w:jc w:val="center"/>
        <w:tblLook w:val="04A0" w:firstRow="1" w:lastRow="0" w:firstColumn="1" w:lastColumn="0" w:noHBand="0" w:noVBand="1"/>
      </w:tblPr>
      <w:tblGrid>
        <w:gridCol w:w="1479"/>
        <w:gridCol w:w="2903"/>
        <w:gridCol w:w="946"/>
        <w:gridCol w:w="946"/>
        <w:gridCol w:w="1124"/>
        <w:gridCol w:w="1124"/>
      </w:tblGrid>
      <w:tr w:rsidR="0050672C" w:rsidRPr="00CB63E4" w14:paraId="438ABDD9" w14:textId="77777777" w:rsidTr="00CB63E4">
        <w:trPr>
          <w:trHeight w:val="270"/>
          <w:jc w:val="center"/>
        </w:trPr>
        <w:tc>
          <w:tcPr>
            <w:tcW w:w="1920" w:type="dxa"/>
            <w:tcBorders>
              <w:top w:val="single" w:sz="4" w:space="0" w:color="auto"/>
              <w:left w:val="single" w:sz="4" w:space="0" w:color="auto"/>
              <w:bottom w:val="single" w:sz="4" w:space="0" w:color="auto"/>
              <w:right w:val="single" w:sz="4" w:space="0" w:color="auto"/>
            </w:tcBorders>
            <w:shd w:val="clear" w:color="auto" w:fill="1F4E78"/>
            <w:vAlign w:val="center"/>
            <w:hideMark/>
          </w:tcPr>
          <w:p w14:paraId="7EBDC765" w14:textId="46020669" w:rsidR="00FE0B28" w:rsidRPr="00CB63E4" w:rsidRDefault="0050672C" w:rsidP="002F0411">
            <w:pPr>
              <w:widowControl/>
              <w:jc w:val="center"/>
              <w:rPr>
                <w:rFonts w:ascii="Times New Roman" w:hAnsi="Times New Roman" w:cs="Times New Roman"/>
                <w:b/>
                <w:bCs/>
                <w:color w:val="FFFFFF" w:themeColor="background1"/>
                <w:kern w:val="0"/>
                <w:sz w:val="18"/>
                <w:szCs w:val="18"/>
              </w:rPr>
            </w:pPr>
            <w:r w:rsidRPr="00CB63E4">
              <w:rPr>
                <w:rFonts w:ascii="Times New Roman" w:hAnsi="Times New Roman" w:cs="Times New Roman"/>
                <w:b/>
                <w:bCs/>
                <w:color w:val="FFFFFF" w:themeColor="background1"/>
                <w:kern w:val="0"/>
                <w:sz w:val="18"/>
                <w:szCs w:val="18"/>
              </w:rPr>
              <w:t>B</w:t>
            </w:r>
            <w:r w:rsidR="00FE0B28" w:rsidRPr="00CB63E4">
              <w:rPr>
                <w:rFonts w:ascii="Times New Roman" w:hAnsi="Times New Roman" w:cs="Times New Roman"/>
                <w:b/>
                <w:bCs/>
                <w:color w:val="FFFFFF" w:themeColor="background1"/>
                <w:kern w:val="0"/>
                <w:sz w:val="18"/>
                <w:szCs w:val="18"/>
              </w:rPr>
              <w:t>enchmark</w:t>
            </w:r>
          </w:p>
        </w:tc>
        <w:tc>
          <w:tcPr>
            <w:tcW w:w="3840" w:type="dxa"/>
            <w:tcBorders>
              <w:top w:val="single" w:sz="4" w:space="0" w:color="auto"/>
              <w:left w:val="single" w:sz="4" w:space="0" w:color="auto"/>
              <w:bottom w:val="single" w:sz="4" w:space="0" w:color="auto"/>
              <w:right w:val="single" w:sz="4" w:space="0" w:color="auto"/>
            </w:tcBorders>
            <w:shd w:val="clear" w:color="auto" w:fill="1F4E78"/>
            <w:vAlign w:val="center"/>
            <w:hideMark/>
          </w:tcPr>
          <w:p w14:paraId="51977037" w14:textId="2255B09E" w:rsidR="00FE0B28" w:rsidRPr="00CB63E4" w:rsidRDefault="0050672C" w:rsidP="002F0411">
            <w:pPr>
              <w:widowControl/>
              <w:jc w:val="center"/>
              <w:rPr>
                <w:rFonts w:ascii="Times New Roman" w:hAnsi="Times New Roman" w:cs="Times New Roman"/>
                <w:b/>
                <w:bCs/>
                <w:color w:val="FFFFFF" w:themeColor="background1"/>
                <w:kern w:val="0"/>
                <w:sz w:val="18"/>
                <w:szCs w:val="18"/>
              </w:rPr>
            </w:pPr>
            <w:r w:rsidRPr="00CB63E4">
              <w:rPr>
                <w:rFonts w:ascii="Times New Roman" w:hAnsi="Times New Roman" w:cs="Times New Roman"/>
                <w:b/>
                <w:bCs/>
                <w:color w:val="FFFFFF" w:themeColor="background1"/>
                <w:kern w:val="0"/>
                <w:sz w:val="18"/>
                <w:szCs w:val="18"/>
              </w:rPr>
              <w:t>M</w:t>
            </w:r>
            <w:r w:rsidR="00FE0B28" w:rsidRPr="00CB63E4">
              <w:rPr>
                <w:rFonts w:ascii="Times New Roman" w:hAnsi="Times New Roman" w:cs="Times New Roman"/>
                <w:b/>
                <w:bCs/>
                <w:color w:val="FFFFFF" w:themeColor="background1"/>
                <w:kern w:val="0"/>
                <w:sz w:val="18"/>
                <w:szCs w:val="18"/>
              </w:rPr>
              <w:t>etric</w:t>
            </w:r>
          </w:p>
        </w:tc>
        <w:tc>
          <w:tcPr>
            <w:tcW w:w="1200" w:type="dxa"/>
            <w:tcBorders>
              <w:top w:val="single" w:sz="4" w:space="0" w:color="auto"/>
              <w:left w:val="single" w:sz="4" w:space="0" w:color="auto"/>
              <w:bottom w:val="single" w:sz="4" w:space="0" w:color="auto"/>
              <w:right w:val="single" w:sz="4" w:space="0" w:color="auto"/>
            </w:tcBorders>
            <w:shd w:val="clear" w:color="auto" w:fill="1F4E78"/>
            <w:vAlign w:val="center"/>
            <w:hideMark/>
          </w:tcPr>
          <w:p w14:paraId="39B8D801" w14:textId="713EC4DD" w:rsidR="00FE0B28" w:rsidRPr="00CB63E4" w:rsidRDefault="002D2187" w:rsidP="002F0411">
            <w:pPr>
              <w:widowControl/>
              <w:jc w:val="center"/>
              <w:rPr>
                <w:rFonts w:ascii="Times New Roman" w:hAnsi="Times New Roman" w:cs="Times New Roman"/>
                <w:b/>
                <w:bCs/>
                <w:color w:val="FFFFFF" w:themeColor="background1"/>
                <w:kern w:val="0"/>
                <w:sz w:val="18"/>
                <w:szCs w:val="18"/>
              </w:rPr>
            </w:pPr>
            <m:oMathPara>
              <m:oMath>
                <m:r>
                  <m:rPr>
                    <m:sty m:val="bi"/>
                  </m:rPr>
                  <w:rPr>
                    <w:rFonts w:ascii="Cambria Math" w:hAnsi="Cambria Math" w:cs="Times New Roman"/>
                    <w:color w:val="FFFFFF" w:themeColor="background1"/>
                    <w:kern w:val="0"/>
                    <w:sz w:val="18"/>
                    <w:szCs w:val="18"/>
                  </w:rPr>
                  <m:t>ρ</m:t>
                </m:r>
              </m:oMath>
            </m:oMathPara>
          </w:p>
        </w:tc>
        <w:tc>
          <w:tcPr>
            <w:tcW w:w="1200" w:type="dxa"/>
            <w:tcBorders>
              <w:top w:val="single" w:sz="4" w:space="0" w:color="auto"/>
              <w:left w:val="single" w:sz="4" w:space="0" w:color="auto"/>
              <w:bottom w:val="single" w:sz="4" w:space="0" w:color="auto"/>
              <w:right w:val="single" w:sz="4" w:space="0" w:color="auto"/>
            </w:tcBorders>
            <w:shd w:val="clear" w:color="auto" w:fill="1F4E78"/>
            <w:vAlign w:val="center"/>
            <w:hideMark/>
          </w:tcPr>
          <w:p w14:paraId="03437908" w14:textId="50E010B1" w:rsidR="00FE0B28" w:rsidRPr="00CB63E4" w:rsidRDefault="002D2187" w:rsidP="002F0411">
            <w:pPr>
              <w:widowControl/>
              <w:jc w:val="center"/>
              <w:rPr>
                <w:rFonts w:ascii="Times New Roman" w:hAnsi="Times New Roman" w:cs="Times New Roman"/>
                <w:b/>
                <w:bCs/>
                <w:color w:val="FFFFFF" w:themeColor="background1"/>
                <w:kern w:val="0"/>
                <w:sz w:val="18"/>
                <w:szCs w:val="18"/>
              </w:rPr>
            </w:pPr>
            <m:oMathPara>
              <m:oMath>
                <m:r>
                  <m:rPr>
                    <m:sty m:val="bi"/>
                  </m:rPr>
                  <w:rPr>
                    <w:rFonts w:ascii="Cambria Math" w:hAnsi="Cambria Math" w:cs="Times New Roman"/>
                    <w:color w:val="FFFFFF" w:themeColor="background1"/>
                    <w:kern w:val="0"/>
                    <w:sz w:val="18"/>
                    <w:szCs w:val="18"/>
                  </w:rPr>
                  <m:t>p</m:t>
                </m:r>
              </m:oMath>
            </m:oMathPara>
          </w:p>
        </w:tc>
        <w:tc>
          <w:tcPr>
            <w:tcW w:w="1440" w:type="dxa"/>
            <w:tcBorders>
              <w:top w:val="single" w:sz="4" w:space="0" w:color="auto"/>
              <w:left w:val="single" w:sz="4" w:space="0" w:color="auto"/>
              <w:bottom w:val="single" w:sz="4" w:space="0" w:color="auto"/>
              <w:right w:val="single" w:sz="4" w:space="0" w:color="auto"/>
            </w:tcBorders>
            <w:shd w:val="clear" w:color="auto" w:fill="1F4E78"/>
            <w:vAlign w:val="center"/>
            <w:hideMark/>
          </w:tcPr>
          <w:p w14:paraId="4E86D324" w14:textId="2B349412" w:rsidR="00FE0B28" w:rsidRPr="00CB63E4" w:rsidRDefault="00FE0B28" w:rsidP="002F0411">
            <w:pPr>
              <w:widowControl/>
              <w:jc w:val="center"/>
              <w:rPr>
                <w:rFonts w:ascii="Times New Roman" w:hAnsi="Times New Roman" w:cs="Times New Roman"/>
                <w:b/>
                <w:bCs/>
                <w:color w:val="FFFFFF" w:themeColor="background1"/>
                <w:kern w:val="0"/>
                <w:sz w:val="18"/>
                <w:szCs w:val="18"/>
              </w:rPr>
            </w:pPr>
            <w:r w:rsidRPr="00CB63E4">
              <w:rPr>
                <w:rFonts w:ascii="Times New Roman" w:hAnsi="Times New Roman" w:cs="Times New Roman"/>
                <w:b/>
                <w:bCs/>
                <w:color w:val="FFFFFF" w:themeColor="background1"/>
                <w:kern w:val="0"/>
                <w:sz w:val="18"/>
                <w:szCs w:val="18"/>
              </w:rPr>
              <w:t xml:space="preserve">Partial </w:t>
            </w:r>
            <m:oMath>
              <m:r>
                <m:rPr>
                  <m:sty m:val="bi"/>
                </m:rPr>
                <w:rPr>
                  <w:rFonts w:ascii="Cambria Math" w:hAnsi="Cambria Math" w:cs="Times New Roman"/>
                  <w:color w:val="FFFFFF" w:themeColor="background1"/>
                  <w:kern w:val="0"/>
                  <w:sz w:val="18"/>
                  <w:szCs w:val="18"/>
                </w:rPr>
                <m:t>ρ</m:t>
              </m:r>
            </m:oMath>
          </w:p>
        </w:tc>
        <w:tc>
          <w:tcPr>
            <w:tcW w:w="1440" w:type="dxa"/>
            <w:tcBorders>
              <w:top w:val="single" w:sz="4" w:space="0" w:color="auto"/>
              <w:left w:val="single" w:sz="4" w:space="0" w:color="auto"/>
              <w:bottom w:val="single" w:sz="4" w:space="0" w:color="auto"/>
              <w:right w:val="single" w:sz="4" w:space="0" w:color="auto"/>
            </w:tcBorders>
            <w:shd w:val="clear" w:color="auto" w:fill="1F4E78"/>
            <w:vAlign w:val="center"/>
            <w:hideMark/>
          </w:tcPr>
          <w:p w14:paraId="255EDE81" w14:textId="6863076B" w:rsidR="00FE0B28" w:rsidRPr="00CB63E4" w:rsidRDefault="00FE0B28" w:rsidP="002F0411">
            <w:pPr>
              <w:widowControl/>
              <w:jc w:val="center"/>
              <w:rPr>
                <w:rFonts w:ascii="Times New Roman" w:hAnsi="Times New Roman" w:cs="Times New Roman"/>
                <w:b/>
                <w:bCs/>
                <w:color w:val="FFFFFF" w:themeColor="background1"/>
                <w:kern w:val="0"/>
                <w:sz w:val="18"/>
                <w:szCs w:val="18"/>
              </w:rPr>
            </w:pPr>
            <w:r w:rsidRPr="00CB63E4">
              <w:rPr>
                <w:rFonts w:ascii="Times New Roman" w:hAnsi="Times New Roman" w:cs="Times New Roman"/>
                <w:b/>
                <w:bCs/>
                <w:color w:val="FFFFFF" w:themeColor="background1"/>
                <w:kern w:val="0"/>
                <w:sz w:val="18"/>
                <w:szCs w:val="18"/>
              </w:rPr>
              <w:t xml:space="preserve">partial </w:t>
            </w:r>
            <m:oMath>
              <m:r>
                <m:rPr>
                  <m:sty m:val="bi"/>
                </m:rPr>
                <w:rPr>
                  <w:rFonts w:ascii="Cambria Math" w:hAnsi="Cambria Math" w:cs="Times New Roman"/>
                  <w:color w:val="FFFFFF" w:themeColor="background1"/>
                  <w:kern w:val="0"/>
                  <w:sz w:val="18"/>
                  <w:szCs w:val="18"/>
                </w:rPr>
                <m:t>p</m:t>
              </m:r>
            </m:oMath>
          </w:p>
        </w:tc>
      </w:tr>
      <w:tr w:rsidR="0050672C" w:rsidRPr="00CB63E4" w14:paraId="58D6FA68" w14:textId="77777777" w:rsidTr="002F0411">
        <w:trPr>
          <w:trHeight w:val="270"/>
          <w:jc w:val="center"/>
        </w:trPr>
        <w:tc>
          <w:tcPr>
            <w:tcW w:w="1920" w:type="dxa"/>
            <w:tcBorders>
              <w:top w:val="single" w:sz="4" w:space="0" w:color="auto"/>
              <w:left w:val="single" w:sz="4" w:space="0" w:color="auto"/>
              <w:bottom w:val="single" w:sz="4" w:space="0" w:color="auto"/>
              <w:right w:val="single" w:sz="4" w:space="0" w:color="auto"/>
            </w:tcBorders>
            <w:noWrap/>
            <w:vAlign w:val="center"/>
            <w:hideMark/>
          </w:tcPr>
          <w:p w14:paraId="3CA21682" w14:textId="698B48A0" w:rsidR="00FE0B28" w:rsidRPr="00CB63E4" w:rsidRDefault="0050672C" w:rsidP="002F0411">
            <w:pPr>
              <w:widowControl/>
              <w:jc w:val="center"/>
              <w:rPr>
                <w:rFonts w:ascii="Times New Roman" w:hAnsi="Times New Roman" w:cs="Times New Roman"/>
                <w:color w:val="000000" w:themeColor="text1"/>
                <w:kern w:val="0"/>
                <w:sz w:val="18"/>
                <w:szCs w:val="18"/>
              </w:rPr>
            </w:pPr>
            <w:proofErr w:type="spellStart"/>
            <w:r w:rsidRPr="00CB63E4">
              <w:rPr>
                <w:rFonts w:ascii="Times New Roman" w:hAnsi="Times New Roman" w:cs="Times New Roman"/>
                <w:color w:val="000000" w:themeColor="text1"/>
                <w:kern w:val="0"/>
                <w:sz w:val="18"/>
                <w:szCs w:val="18"/>
              </w:rPr>
              <w:t>M</w:t>
            </w:r>
            <w:r w:rsidR="00FE0B28" w:rsidRPr="00CB63E4">
              <w:rPr>
                <w:rFonts w:ascii="Times New Roman" w:hAnsi="Times New Roman" w:cs="Times New Roman"/>
                <w:color w:val="000000" w:themeColor="text1"/>
                <w:kern w:val="0"/>
                <w:sz w:val="18"/>
                <w:szCs w:val="18"/>
              </w:rPr>
              <w:t>oleculenet</w:t>
            </w:r>
            <w:proofErr w:type="spellEnd"/>
          </w:p>
        </w:tc>
        <w:tc>
          <w:tcPr>
            <w:tcW w:w="3840" w:type="dxa"/>
            <w:tcBorders>
              <w:top w:val="single" w:sz="4" w:space="0" w:color="auto"/>
              <w:left w:val="single" w:sz="4" w:space="0" w:color="auto"/>
              <w:bottom w:val="single" w:sz="4" w:space="0" w:color="auto"/>
              <w:right w:val="single" w:sz="4" w:space="0" w:color="auto"/>
            </w:tcBorders>
            <w:noWrap/>
            <w:vAlign w:val="center"/>
            <w:hideMark/>
          </w:tcPr>
          <w:p w14:paraId="3146498D"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Prediction collapse</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0807545"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-0.311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B1FCA1C"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0.061</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D995954"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-0.475</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F04DE74"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0.005</w:t>
            </w:r>
          </w:p>
        </w:tc>
      </w:tr>
      <w:tr w:rsidR="0050672C" w:rsidRPr="00CB63E4" w14:paraId="39C36101" w14:textId="77777777" w:rsidTr="002F0411">
        <w:trPr>
          <w:trHeight w:val="270"/>
          <w:jc w:val="center"/>
        </w:trPr>
        <w:tc>
          <w:tcPr>
            <w:tcW w:w="1920" w:type="dxa"/>
            <w:tcBorders>
              <w:top w:val="single" w:sz="4" w:space="0" w:color="auto"/>
              <w:left w:val="single" w:sz="4" w:space="0" w:color="auto"/>
              <w:bottom w:val="single" w:sz="4" w:space="0" w:color="auto"/>
              <w:right w:val="single" w:sz="4" w:space="0" w:color="auto"/>
            </w:tcBorders>
            <w:noWrap/>
            <w:vAlign w:val="center"/>
            <w:hideMark/>
          </w:tcPr>
          <w:p w14:paraId="4A5141B2" w14:textId="4CA9669A" w:rsidR="00FE0B28" w:rsidRPr="00CB63E4" w:rsidRDefault="0050672C" w:rsidP="002F0411">
            <w:pPr>
              <w:widowControl/>
              <w:jc w:val="center"/>
              <w:rPr>
                <w:rFonts w:ascii="Times New Roman" w:hAnsi="Times New Roman" w:cs="Times New Roman"/>
                <w:color w:val="000000" w:themeColor="text1"/>
                <w:kern w:val="0"/>
                <w:sz w:val="18"/>
                <w:szCs w:val="18"/>
              </w:rPr>
            </w:pPr>
            <w:proofErr w:type="spellStart"/>
            <w:r w:rsidRPr="00CB63E4">
              <w:rPr>
                <w:rFonts w:ascii="Times New Roman" w:hAnsi="Times New Roman" w:cs="Times New Roman"/>
                <w:color w:val="000000" w:themeColor="text1"/>
                <w:kern w:val="0"/>
                <w:sz w:val="18"/>
                <w:szCs w:val="18"/>
              </w:rPr>
              <w:t>M</w:t>
            </w:r>
            <w:r w:rsidR="00FE0B28" w:rsidRPr="00CB63E4">
              <w:rPr>
                <w:rFonts w:ascii="Times New Roman" w:hAnsi="Times New Roman" w:cs="Times New Roman"/>
                <w:color w:val="000000" w:themeColor="text1"/>
                <w:kern w:val="0"/>
                <w:sz w:val="18"/>
                <w:szCs w:val="18"/>
              </w:rPr>
              <w:t>oleculenet</w:t>
            </w:r>
            <w:proofErr w:type="spellEnd"/>
          </w:p>
        </w:tc>
        <w:tc>
          <w:tcPr>
            <w:tcW w:w="3840" w:type="dxa"/>
            <w:tcBorders>
              <w:top w:val="single" w:sz="4" w:space="0" w:color="auto"/>
              <w:left w:val="single" w:sz="4" w:space="0" w:color="auto"/>
              <w:bottom w:val="single" w:sz="4" w:space="0" w:color="auto"/>
              <w:right w:val="single" w:sz="4" w:space="0" w:color="auto"/>
            </w:tcBorders>
            <w:noWrap/>
            <w:vAlign w:val="center"/>
            <w:hideMark/>
          </w:tcPr>
          <w:p w14:paraId="2A52224E"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Training-support loss</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BFADF9B"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-0.085</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2610BE8"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0.617</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012B1DF"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-0.049</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83EBC1D"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0.785</w:t>
            </w:r>
          </w:p>
        </w:tc>
      </w:tr>
      <w:tr w:rsidR="0050672C" w:rsidRPr="00CB63E4" w14:paraId="0AF8616E" w14:textId="77777777" w:rsidTr="002F0411">
        <w:trPr>
          <w:trHeight w:val="270"/>
          <w:jc w:val="center"/>
        </w:trPr>
        <w:tc>
          <w:tcPr>
            <w:tcW w:w="1920" w:type="dxa"/>
            <w:tcBorders>
              <w:top w:val="single" w:sz="4" w:space="0" w:color="auto"/>
              <w:left w:val="single" w:sz="4" w:space="0" w:color="auto"/>
              <w:bottom w:val="single" w:sz="4" w:space="0" w:color="auto"/>
              <w:right w:val="single" w:sz="4" w:space="0" w:color="auto"/>
            </w:tcBorders>
            <w:noWrap/>
            <w:vAlign w:val="center"/>
            <w:hideMark/>
          </w:tcPr>
          <w:p w14:paraId="176D2D3F" w14:textId="34F2DBDE" w:rsidR="00FE0B28" w:rsidRPr="00CB63E4" w:rsidRDefault="0050672C" w:rsidP="002F0411">
            <w:pPr>
              <w:widowControl/>
              <w:jc w:val="center"/>
              <w:rPr>
                <w:rFonts w:ascii="Times New Roman" w:hAnsi="Times New Roman" w:cs="Times New Roman"/>
                <w:color w:val="000000" w:themeColor="text1"/>
                <w:kern w:val="0"/>
                <w:sz w:val="18"/>
                <w:szCs w:val="18"/>
              </w:rPr>
            </w:pPr>
            <w:proofErr w:type="spellStart"/>
            <w:r w:rsidRPr="00CB63E4">
              <w:rPr>
                <w:rFonts w:ascii="Times New Roman" w:hAnsi="Times New Roman" w:cs="Times New Roman"/>
                <w:color w:val="000000" w:themeColor="text1"/>
                <w:kern w:val="0"/>
                <w:sz w:val="18"/>
                <w:szCs w:val="18"/>
              </w:rPr>
              <w:t>M</w:t>
            </w:r>
            <w:r w:rsidR="00FE0B28" w:rsidRPr="00CB63E4">
              <w:rPr>
                <w:rFonts w:ascii="Times New Roman" w:hAnsi="Times New Roman" w:cs="Times New Roman"/>
                <w:color w:val="000000" w:themeColor="text1"/>
                <w:kern w:val="0"/>
                <w:sz w:val="18"/>
                <w:szCs w:val="18"/>
              </w:rPr>
              <w:t>oleculenet</w:t>
            </w:r>
            <w:proofErr w:type="spellEnd"/>
          </w:p>
        </w:tc>
        <w:tc>
          <w:tcPr>
            <w:tcW w:w="3840" w:type="dxa"/>
            <w:tcBorders>
              <w:top w:val="single" w:sz="4" w:space="0" w:color="auto"/>
              <w:left w:val="single" w:sz="4" w:space="0" w:color="auto"/>
              <w:bottom w:val="single" w:sz="4" w:space="0" w:color="auto"/>
              <w:right w:val="single" w:sz="4" w:space="0" w:color="auto"/>
            </w:tcBorders>
            <w:noWrap/>
            <w:vAlign w:val="center"/>
            <w:hideMark/>
          </w:tcPr>
          <w:p w14:paraId="526D811C"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Prior shift</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DFEE3FD"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-0.007</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67D526D"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0.966</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0D0008E"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6B22313"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r>
      <w:tr w:rsidR="0050672C" w:rsidRPr="00CB63E4" w14:paraId="37683044" w14:textId="77777777" w:rsidTr="002F0411">
        <w:trPr>
          <w:trHeight w:val="270"/>
          <w:jc w:val="center"/>
        </w:trPr>
        <w:tc>
          <w:tcPr>
            <w:tcW w:w="1920" w:type="dxa"/>
            <w:tcBorders>
              <w:top w:val="single" w:sz="4" w:space="0" w:color="auto"/>
              <w:left w:val="single" w:sz="4" w:space="0" w:color="auto"/>
              <w:bottom w:val="single" w:sz="4" w:space="0" w:color="auto"/>
              <w:right w:val="single" w:sz="4" w:space="0" w:color="auto"/>
            </w:tcBorders>
            <w:noWrap/>
            <w:vAlign w:val="center"/>
            <w:hideMark/>
          </w:tcPr>
          <w:p w14:paraId="75BE5E0C" w14:textId="15C1F64C" w:rsidR="00FE0B28" w:rsidRPr="00CB63E4" w:rsidRDefault="0050672C" w:rsidP="002F0411">
            <w:pPr>
              <w:widowControl/>
              <w:jc w:val="center"/>
              <w:rPr>
                <w:rFonts w:ascii="Times New Roman" w:hAnsi="Times New Roman" w:cs="Times New Roman"/>
                <w:color w:val="000000" w:themeColor="text1"/>
                <w:kern w:val="0"/>
                <w:sz w:val="18"/>
                <w:szCs w:val="18"/>
              </w:rPr>
            </w:pPr>
            <w:proofErr w:type="spellStart"/>
            <w:r w:rsidRPr="00CB63E4">
              <w:rPr>
                <w:rFonts w:ascii="Times New Roman" w:hAnsi="Times New Roman" w:cs="Times New Roman"/>
                <w:color w:val="000000" w:themeColor="text1"/>
                <w:kern w:val="0"/>
                <w:sz w:val="18"/>
                <w:szCs w:val="18"/>
              </w:rPr>
              <w:t>M</w:t>
            </w:r>
            <w:r w:rsidR="00FE0B28" w:rsidRPr="00CB63E4">
              <w:rPr>
                <w:rFonts w:ascii="Times New Roman" w:hAnsi="Times New Roman" w:cs="Times New Roman"/>
                <w:color w:val="000000" w:themeColor="text1"/>
                <w:kern w:val="0"/>
                <w:sz w:val="18"/>
                <w:szCs w:val="18"/>
              </w:rPr>
              <w:t>oleculenet</w:t>
            </w:r>
            <w:proofErr w:type="spellEnd"/>
          </w:p>
        </w:tc>
        <w:tc>
          <w:tcPr>
            <w:tcW w:w="3840" w:type="dxa"/>
            <w:tcBorders>
              <w:top w:val="single" w:sz="4" w:space="0" w:color="auto"/>
              <w:left w:val="single" w:sz="4" w:space="0" w:color="auto"/>
              <w:bottom w:val="single" w:sz="4" w:space="0" w:color="auto"/>
              <w:right w:val="single" w:sz="4" w:space="0" w:color="auto"/>
            </w:tcBorders>
            <w:noWrap/>
            <w:vAlign w:val="center"/>
            <w:hideMark/>
          </w:tcPr>
          <w:p w14:paraId="232AEF31"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Calibration drift (Brier)</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126F5F4"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0.067</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EB6729A"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0.692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08573313"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44F0B10"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r>
      <w:tr w:rsidR="0050672C" w:rsidRPr="00CB63E4" w14:paraId="579128DE" w14:textId="77777777" w:rsidTr="002F0411">
        <w:trPr>
          <w:trHeight w:val="270"/>
          <w:jc w:val="center"/>
        </w:trPr>
        <w:tc>
          <w:tcPr>
            <w:tcW w:w="1920" w:type="dxa"/>
            <w:tcBorders>
              <w:top w:val="single" w:sz="4" w:space="0" w:color="auto"/>
              <w:left w:val="single" w:sz="4" w:space="0" w:color="auto"/>
              <w:bottom w:val="single" w:sz="4" w:space="0" w:color="auto"/>
              <w:right w:val="single" w:sz="4" w:space="0" w:color="auto"/>
            </w:tcBorders>
            <w:noWrap/>
            <w:vAlign w:val="center"/>
            <w:hideMark/>
          </w:tcPr>
          <w:p w14:paraId="3310772C" w14:textId="60C373F7" w:rsidR="00FE0B28" w:rsidRPr="00CB63E4" w:rsidRDefault="0050672C" w:rsidP="002F0411">
            <w:pPr>
              <w:widowControl/>
              <w:jc w:val="center"/>
              <w:rPr>
                <w:rFonts w:ascii="Times New Roman" w:hAnsi="Times New Roman" w:cs="Times New Roman"/>
                <w:color w:val="000000" w:themeColor="text1"/>
                <w:kern w:val="0"/>
                <w:sz w:val="18"/>
                <w:szCs w:val="18"/>
              </w:rPr>
            </w:pPr>
            <w:proofErr w:type="spellStart"/>
            <w:r w:rsidRPr="00CB63E4">
              <w:rPr>
                <w:rFonts w:ascii="Times New Roman" w:hAnsi="Times New Roman" w:cs="Times New Roman"/>
                <w:color w:val="000000" w:themeColor="text1"/>
                <w:kern w:val="0"/>
                <w:sz w:val="18"/>
                <w:szCs w:val="18"/>
              </w:rPr>
              <w:t>M</w:t>
            </w:r>
            <w:r w:rsidR="00FE0B28" w:rsidRPr="00CB63E4">
              <w:rPr>
                <w:rFonts w:ascii="Times New Roman" w:hAnsi="Times New Roman" w:cs="Times New Roman"/>
                <w:color w:val="000000" w:themeColor="text1"/>
                <w:kern w:val="0"/>
                <w:sz w:val="18"/>
                <w:szCs w:val="18"/>
              </w:rPr>
              <w:t>oleculenet</w:t>
            </w:r>
            <w:proofErr w:type="spellEnd"/>
          </w:p>
        </w:tc>
        <w:tc>
          <w:tcPr>
            <w:tcW w:w="3840" w:type="dxa"/>
            <w:tcBorders>
              <w:top w:val="single" w:sz="4" w:space="0" w:color="auto"/>
              <w:left w:val="single" w:sz="4" w:space="0" w:color="auto"/>
              <w:bottom w:val="single" w:sz="4" w:space="0" w:color="auto"/>
              <w:right w:val="single" w:sz="4" w:space="0" w:color="auto"/>
            </w:tcBorders>
            <w:noWrap/>
            <w:vAlign w:val="center"/>
            <w:hideMark/>
          </w:tcPr>
          <w:p w14:paraId="19B89DFE"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Calibration drift (ECE)</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A91C5EE"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-0.153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5631F31"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0.367</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6B06B92"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91BB8E7"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r>
      <w:tr w:rsidR="0050672C" w:rsidRPr="00CB63E4" w14:paraId="33F2B1F8" w14:textId="77777777" w:rsidTr="002F0411">
        <w:trPr>
          <w:trHeight w:val="270"/>
          <w:jc w:val="center"/>
        </w:trPr>
        <w:tc>
          <w:tcPr>
            <w:tcW w:w="1920" w:type="dxa"/>
            <w:tcBorders>
              <w:top w:val="single" w:sz="4" w:space="0" w:color="auto"/>
              <w:left w:val="single" w:sz="4" w:space="0" w:color="auto"/>
              <w:bottom w:val="single" w:sz="4" w:space="0" w:color="auto"/>
              <w:right w:val="single" w:sz="4" w:space="0" w:color="auto"/>
            </w:tcBorders>
            <w:noWrap/>
            <w:vAlign w:val="center"/>
            <w:hideMark/>
          </w:tcPr>
          <w:p w14:paraId="76D9BA44" w14:textId="11943929" w:rsidR="00FE0B28" w:rsidRPr="00CB63E4" w:rsidRDefault="00122141"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ADMET</w:t>
            </w:r>
          </w:p>
        </w:tc>
        <w:tc>
          <w:tcPr>
            <w:tcW w:w="3840" w:type="dxa"/>
            <w:tcBorders>
              <w:top w:val="single" w:sz="4" w:space="0" w:color="auto"/>
              <w:left w:val="single" w:sz="4" w:space="0" w:color="auto"/>
              <w:bottom w:val="single" w:sz="4" w:space="0" w:color="auto"/>
              <w:right w:val="single" w:sz="4" w:space="0" w:color="auto"/>
            </w:tcBorders>
            <w:noWrap/>
            <w:vAlign w:val="center"/>
            <w:hideMark/>
          </w:tcPr>
          <w:p w14:paraId="19CBB8F1"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Prediction collapse</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782C14E"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-0.558</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E3E9951"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0.003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28C72F2"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-0.782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122826F" w14:textId="67C08CF2" w:rsidR="00FE0B28" w:rsidRPr="00CB63E4" w:rsidRDefault="006321D3" w:rsidP="006321D3">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&lt; 0.001</w:t>
            </w:r>
          </w:p>
        </w:tc>
      </w:tr>
      <w:tr w:rsidR="0050672C" w:rsidRPr="00CB63E4" w14:paraId="628A8062" w14:textId="77777777" w:rsidTr="002F0411">
        <w:trPr>
          <w:trHeight w:val="270"/>
          <w:jc w:val="center"/>
        </w:trPr>
        <w:tc>
          <w:tcPr>
            <w:tcW w:w="1920" w:type="dxa"/>
            <w:tcBorders>
              <w:top w:val="single" w:sz="4" w:space="0" w:color="auto"/>
              <w:left w:val="single" w:sz="4" w:space="0" w:color="auto"/>
              <w:bottom w:val="single" w:sz="4" w:space="0" w:color="auto"/>
              <w:right w:val="single" w:sz="4" w:space="0" w:color="auto"/>
            </w:tcBorders>
            <w:noWrap/>
            <w:vAlign w:val="center"/>
            <w:hideMark/>
          </w:tcPr>
          <w:p w14:paraId="00A2422D" w14:textId="1F761359" w:rsidR="00FE0B28" w:rsidRPr="00CB63E4" w:rsidRDefault="00122141"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ADMET</w:t>
            </w:r>
          </w:p>
        </w:tc>
        <w:tc>
          <w:tcPr>
            <w:tcW w:w="3840" w:type="dxa"/>
            <w:tcBorders>
              <w:top w:val="single" w:sz="4" w:space="0" w:color="auto"/>
              <w:left w:val="single" w:sz="4" w:space="0" w:color="auto"/>
              <w:bottom w:val="single" w:sz="4" w:space="0" w:color="auto"/>
              <w:right w:val="single" w:sz="4" w:space="0" w:color="auto"/>
            </w:tcBorders>
            <w:noWrap/>
            <w:vAlign w:val="center"/>
            <w:hideMark/>
          </w:tcPr>
          <w:p w14:paraId="6BD16BF9"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Training-support loss</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C280F11"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-0.464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7D6DBDE"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0.017</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8BD7B36"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-0.527</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82C9CDB"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0.010</w:t>
            </w:r>
          </w:p>
        </w:tc>
      </w:tr>
      <w:tr w:rsidR="0050672C" w:rsidRPr="00CB63E4" w14:paraId="0F2B7EC3" w14:textId="77777777" w:rsidTr="002F0411">
        <w:trPr>
          <w:trHeight w:val="270"/>
          <w:jc w:val="center"/>
        </w:trPr>
        <w:tc>
          <w:tcPr>
            <w:tcW w:w="1920" w:type="dxa"/>
            <w:tcBorders>
              <w:top w:val="single" w:sz="4" w:space="0" w:color="auto"/>
              <w:left w:val="single" w:sz="4" w:space="0" w:color="auto"/>
              <w:bottom w:val="single" w:sz="4" w:space="0" w:color="auto"/>
              <w:right w:val="single" w:sz="4" w:space="0" w:color="auto"/>
            </w:tcBorders>
            <w:noWrap/>
            <w:vAlign w:val="center"/>
            <w:hideMark/>
          </w:tcPr>
          <w:p w14:paraId="766C0F22" w14:textId="76B26AD9" w:rsidR="00FE0B28" w:rsidRPr="00CB63E4" w:rsidRDefault="00122141"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ADMET</w:t>
            </w:r>
          </w:p>
        </w:tc>
        <w:tc>
          <w:tcPr>
            <w:tcW w:w="3840" w:type="dxa"/>
            <w:tcBorders>
              <w:top w:val="single" w:sz="4" w:space="0" w:color="auto"/>
              <w:left w:val="single" w:sz="4" w:space="0" w:color="auto"/>
              <w:bottom w:val="single" w:sz="4" w:space="0" w:color="auto"/>
              <w:right w:val="single" w:sz="4" w:space="0" w:color="auto"/>
            </w:tcBorders>
            <w:noWrap/>
            <w:vAlign w:val="center"/>
            <w:hideMark/>
          </w:tcPr>
          <w:p w14:paraId="2A8D7BE5"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Prior shift</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0D6D371"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-0.072</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C7A41F6"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0.726</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9413EC8"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7122BE9"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r>
      <w:tr w:rsidR="0050672C" w:rsidRPr="00CB63E4" w14:paraId="4B913ABE" w14:textId="77777777" w:rsidTr="002F0411">
        <w:trPr>
          <w:trHeight w:val="270"/>
          <w:jc w:val="center"/>
        </w:trPr>
        <w:tc>
          <w:tcPr>
            <w:tcW w:w="1920" w:type="dxa"/>
            <w:tcBorders>
              <w:top w:val="single" w:sz="4" w:space="0" w:color="auto"/>
              <w:left w:val="single" w:sz="4" w:space="0" w:color="auto"/>
              <w:bottom w:val="single" w:sz="4" w:space="0" w:color="auto"/>
              <w:right w:val="single" w:sz="4" w:space="0" w:color="auto"/>
            </w:tcBorders>
            <w:noWrap/>
            <w:vAlign w:val="center"/>
            <w:hideMark/>
          </w:tcPr>
          <w:p w14:paraId="12AAAEB9" w14:textId="67F249BD" w:rsidR="00FE0B28" w:rsidRPr="00CB63E4" w:rsidRDefault="00122141"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ADMET</w:t>
            </w:r>
          </w:p>
        </w:tc>
        <w:tc>
          <w:tcPr>
            <w:tcW w:w="3840" w:type="dxa"/>
            <w:tcBorders>
              <w:top w:val="single" w:sz="4" w:space="0" w:color="auto"/>
              <w:left w:val="single" w:sz="4" w:space="0" w:color="auto"/>
              <w:bottom w:val="single" w:sz="4" w:space="0" w:color="auto"/>
              <w:right w:val="single" w:sz="4" w:space="0" w:color="auto"/>
            </w:tcBorders>
            <w:noWrap/>
            <w:vAlign w:val="center"/>
            <w:hideMark/>
          </w:tcPr>
          <w:p w14:paraId="38FDA54E"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Calibration drift (Brier)</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5BB80B7"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0.101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545F573"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0.624</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7E6181D"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137FA7C"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r>
      <w:tr w:rsidR="0050672C" w:rsidRPr="00CB63E4" w14:paraId="27F9897B" w14:textId="77777777" w:rsidTr="002F0411">
        <w:trPr>
          <w:trHeight w:val="270"/>
          <w:jc w:val="center"/>
        </w:trPr>
        <w:tc>
          <w:tcPr>
            <w:tcW w:w="1920" w:type="dxa"/>
            <w:tcBorders>
              <w:top w:val="single" w:sz="4" w:space="0" w:color="auto"/>
              <w:left w:val="single" w:sz="4" w:space="0" w:color="auto"/>
              <w:bottom w:val="single" w:sz="4" w:space="0" w:color="auto"/>
              <w:right w:val="single" w:sz="4" w:space="0" w:color="auto"/>
            </w:tcBorders>
            <w:noWrap/>
            <w:vAlign w:val="center"/>
            <w:hideMark/>
          </w:tcPr>
          <w:p w14:paraId="1D8760BE" w14:textId="4AA2D1FA" w:rsidR="00FE0B28" w:rsidRPr="00CB63E4" w:rsidRDefault="00122141"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ADMET</w:t>
            </w:r>
          </w:p>
        </w:tc>
        <w:tc>
          <w:tcPr>
            <w:tcW w:w="3840" w:type="dxa"/>
            <w:tcBorders>
              <w:top w:val="single" w:sz="4" w:space="0" w:color="auto"/>
              <w:left w:val="single" w:sz="4" w:space="0" w:color="auto"/>
              <w:bottom w:val="single" w:sz="4" w:space="0" w:color="auto"/>
              <w:right w:val="single" w:sz="4" w:space="0" w:color="auto"/>
            </w:tcBorders>
            <w:noWrap/>
            <w:vAlign w:val="center"/>
            <w:hideMark/>
          </w:tcPr>
          <w:p w14:paraId="6D972B11"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Calibration drift (ECE)</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B5C2768"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0.121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960A0E9"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0.557</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0B0A0C93"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B9115AF"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w:t>
            </w:r>
          </w:p>
        </w:tc>
      </w:tr>
    </w:tbl>
    <w:p w14:paraId="42C2E4BA" w14:textId="77777777" w:rsidR="0050672C" w:rsidRDefault="0050672C" w:rsidP="0050672C">
      <w:pPr>
        <w:widowControl/>
        <w:adjustRightInd w:val="0"/>
        <w:snapToGrid w:val="0"/>
        <w:spacing w:line="360" w:lineRule="auto"/>
        <w:rPr>
          <w:rFonts w:ascii="Times New Roman" w:hAnsi="Times New Roman" w:cs="Times New Roman"/>
          <w:b/>
          <w:bCs/>
          <w:color w:val="000000" w:themeColor="text1"/>
          <w:kern w:val="0"/>
          <w:sz w:val="24"/>
        </w:rPr>
      </w:pPr>
    </w:p>
    <w:p w14:paraId="2DFB6B04" w14:textId="3746A9CE" w:rsidR="00933E57" w:rsidRPr="00964A51" w:rsidRDefault="00933E57" w:rsidP="00933E57">
      <w:pPr>
        <w:keepNext/>
        <w:widowControl/>
        <w:adjustRightInd w:val="0"/>
        <w:snapToGrid w:val="0"/>
        <w:spacing w:line="360" w:lineRule="auto"/>
        <w:rPr>
          <w:rFonts w:ascii="Times New Roman" w:hAnsi="Times New Roman" w:cs="Times New Roman"/>
          <w:b/>
          <w:bCs/>
          <w:color w:val="000000" w:themeColor="text1"/>
          <w:kern w:val="0"/>
          <w:sz w:val="24"/>
        </w:rPr>
      </w:pPr>
      <w:bookmarkStart w:id="8" w:name="_Hlk230362782"/>
      <w:r w:rsidRPr="00964A51">
        <w:rPr>
          <w:rFonts w:ascii="Times New Roman" w:hAnsi="Times New Roman" w:cs="Times New Roman"/>
          <w:b/>
          <w:bCs/>
          <w:color w:val="000000" w:themeColor="text1"/>
          <w:kern w:val="0"/>
          <w:sz w:val="24"/>
        </w:rPr>
        <w:t>Supplementary Table</w:t>
      </w:r>
      <w:bookmarkEnd w:id="8"/>
      <w:r w:rsidRPr="00964A51">
        <w:rPr>
          <w:rFonts w:ascii="Times New Roman" w:hAnsi="Times New Roman" w:cs="Times New Roman"/>
          <w:b/>
          <w:bCs/>
          <w:color w:val="000000" w:themeColor="text1"/>
          <w:kern w:val="0"/>
          <w:sz w:val="24"/>
        </w:rPr>
        <w:t xml:space="preserve"> </w:t>
      </w:r>
      <w:r>
        <w:rPr>
          <w:rFonts w:ascii="Times New Roman" w:hAnsi="Times New Roman" w:cs="Times New Roman" w:hint="eastAsia"/>
          <w:b/>
          <w:bCs/>
          <w:color w:val="000000" w:themeColor="text1"/>
          <w:kern w:val="0"/>
          <w:sz w:val="24"/>
        </w:rPr>
        <w:t>14</w:t>
      </w:r>
      <w:r w:rsidRPr="00964A51">
        <w:rPr>
          <w:rFonts w:ascii="Times New Roman" w:hAnsi="Times New Roman" w:cs="Times New Roman"/>
          <w:b/>
          <w:bCs/>
          <w:color w:val="000000" w:themeColor="text1"/>
          <w:kern w:val="0"/>
          <w:sz w:val="24"/>
        </w:rPr>
        <w:t xml:space="preserve">. Training support, error decomposition, and support-loss-stratified </w:t>
      </w:r>
      <w:proofErr w:type="spellStart"/>
      <w:r w:rsidRPr="00964A51">
        <w:rPr>
          <w:rFonts w:ascii="Times New Roman" w:hAnsi="Times New Roman" w:cs="Times New Roman"/>
          <w:b/>
          <w:bCs/>
          <w:color w:val="000000" w:themeColor="text1"/>
          <w:kern w:val="0"/>
          <w:sz w:val="24"/>
        </w:rPr>
        <w:t>relMAE</w:t>
      </w:r>
      <w:proofErr w:type="spellEnd"/>
      <w:r w:rsidRPr="00964A51">
        <w:rPr>
          <w:rFonts w:ascii="Times New Roman" w:hAnsi="Times New Roman" w:cs="Times New Roman"/>
          <w:b/>
          <w:bCs/>
          <w:color w:val="000000" w:themeColor="text1"/>
          <w:kern w:val="0"/>
          <w:sz w:val="24"/>
        </w:rPr>
        <w:t xml:space="preserve"> inflation in regression tasks.</w:t>
      </w:r>
    </w:p>
    <w:tbl>
      <w:tblPr>
        <w:tblW w:w="5000" w:type="pct"/>
        <w:tblLook w:val="04A0" w:firstRow="1" w:lastRow="0" w:firstColumn="1" w:lastColumn="0" w:noHBand="0" w:noVBand="1"/>
      </w:tblPr>
      <w:tblGrid>
        <w:gridCol w:w="1145"/>
        <w:gridCol w:w="1376"/>
        <w:gridCol w:w="1423"/>
        <w:gridCol w:w="1276"/>
        <w:gridCol w:w="1571"/>
        <w:gridCol w:w="1571"/>
      </w:tblGrid>
      <w:tr w:rsidR="00933E57" w:rsidRPr="000D5731" w14:paraId="76797235" w14:textId="77777777" w:rsidTr="00A54F0D">
        <w:trPr>
          <w:trHeight w:val="300"/>
        </w:trPr>
        <w:tc>
          <w:tcPr>
            <w:tcW w:w="5000" w:type="pct"/>
            <w:gridSpan w:val="6"/>
            <w:tcBorders>
              <w:top w:val="nil"/>
              <w:left w:val="nil"/>
              <w:bottom w:val="nil"/>
              <w:right w:val="nil"/>
            </w:tcBorders>
            <w:noWrap/>
            <w:tcMar>
              <w:left w:w="28" w:type="dxa"/>
              <w:right w:w="28" w:type="dxa"/>
            </w:tcMar>
            <w:vAlign w:val="bottom"/>
            <w:hideMark/>
          </w:tcPr>
          <w:p w14:paraId="2145311A" w14:textId="77777777" w:rsidR="00933E57" w:rsidRPr="000D5731" w:rsidRDefault="00933E57" w:rsidP="00A54F0D">
            <w:pPr>
              <w:widowControl/>
              <w:jc w:val="left"/>
              <w:rPr>
                <w:rFonts w:ascii="Times New Roman" w:eastAsia="宋体" w:hAnsi="Times New Roman" w:cs="Times New Roman"/>
                <w:color w:val="000000"/>
                <w:kern w:val="0"/>
                <w:szCs w:val="21"/>
              </w:rPr>
            </w:pPr>
            <w:r w:rsidRPr="000D5731">
              <w:rPr>
                <w:rFonts w:ascii="Times New Roman" w:eastAsia="宋体" w:hAnsi="Times New Roman" w:cs="Times New Roman"/>
                <w:color w:val="000000"/>
                <w:kern w:val="0"/>
                <w:szCs w:val="21"/>
              </w:rPr>
              <w:t>Panel A</w:t>
            </w:r>
            <w:r>
              <w:rPr>
                <w:rFonts w:ascii="Times New Roman" w:eastAsia="宋体" w:hAnsi="Times New Roman" w:cs="Times New Roman" w:hint="eastAsia"/>
                <w:color w:val="000000"/>
                <w:kern w:val="0"/>
                <w:szCs w:val="21"/>
              </w:rPr>
              <w:t>.</w:t>
            </w:r>
            <w:r w:rsidRPr="000D5731">
              <w:rPr>
                <w:rFonts w:ascii="Times New Roman" w:eastAsia="宋体" w:hAnsi="Times New Roman" w:cs="Times New Roman"/>
                <w:color w:val="000000"/>
                <w:kern w:val="0"/>
                <w:szCs w:val="21"/>
              </w:rPr>
              <w:t xml:space="preserve"> </w:t>
            </w:r>
            <w:r>
              <w:rPr>
                <w:rFonts w:ascii="Times New Roman" w:eastAsia="宋体" w:hAnsi="Times New Roman" w:cs="Times New Roman" w:hint="eastAsia"/>
                <w:color w:val="000000"/>
                <w:kern w:val="0"/>
                <w:szCs w:val="21"/>
              </w:rPr>
              <w:t>T</w:t>
            </w:r>
            <w:r w:rsidRPr="000D5731">
              <w:rPr>
                <w:rFonts w:ascii="Times New Roman" w:eastAsia="宋体" w:hAnsi="Times New Roman" w:cs="Times New Roman"/>
                <w:color w:val="000000"/>
                <w:kern w:val="0"/>
                <w:szCs w:val="21"/>
              </w:rPr>
              <w:t>ask-level benchmark summaries of training support and error decomposition.</w:t>
            </w:r>
          </w:p>
        </w:tc>
      </w:tr>
      <w:tr w:rsidR="00933E57" w:rsidRPr="000D5731" w14:paraId="4AA6845C" w14:textId="77777777" w:rsidTr="00A54F0D">
        <w:trPr>
          <w:trHeight w:val="285"/>
        </w:trPr>
        <w:tc>
          <w:tcPr>
            <w:tcW w:w="1579" w:type="pct"/>
            <w:gridSpan w:val="2"/>
            <w:tcBorders>
              <w:top w:val="single" w:sz="8" w:space="0" w:color="auto"/>
              <w:left w:val="single" w:sz="8" w:space="0" w:color="auto"/>
              <w:bottom w:val="single" w:sz="8" w:space="0" w:color="auto"/>
              <w:right w:val="single" w:sz="8" w:space="0" w:color="auto"/>
            </w:tcBorders>
            <w:shd w:val="clear" w:color="000000" w:fill="1F4E78"/>
            <w:noWrap/>
            <w:tcMar>
              <w:left w:w="28" w:type="dxa"/>
              <w:right w:w="28" w:type="dxa"/>
            </w:tcMar>
            <w:vAlign w:val="center"/>
            <w:hideMark/>
          </w:tcPr>
          <w:p w14:paraId="2C1F4B33" w14:textId="77777777" w:rsidR="00933E57" w:rsidRPr="000D5731" w:rsidRDefault="00933E57" w:rsidP="00A54F0D">
            <w:pPr>
              <w:widowControl/>
              <w:jc w:val="center"/>
              <w:rPr>
                <w:rFonts w:ascii="Times New Roman" w:eastAsia="宋体" w:hAnsi="Times New Roman" w:cs="Times New Roman"/>
                <w:b/>
                <w:bCs/>
                <w:color w:val="FFFFFF"/>
                <w:kern w:val="0"/>
                <w:sz w:val="18"/>
                <w:szCs w:val="18"/>
              </w:rPr>
            </w:pPr>
            <w:r w:rsidRPr="000D5731">
              <w:rPr>
                <w:rFonts w:ascii="Times New Roman" w:eastAsia="宋体" w:hAnsi="Times New Roman" w:cs="Times New Roman"/>
                <w:b/>
                <w:bCs/>
                <w:color w:val="FFFFFF"/>
                <w:kern w:val="0"/>
                <w:sz w:val="18"/>
                <w:szCs w:val="18"/>
              </w:rPr>
              <w:t>Metric</w:t>
            </w:r>
          </w:p>
        </w:tc>
        <w:tc>
          <w:tcPr>
            <w:tcW w:w="834" w:type="pct"/>
            <w:tcBorders>
              <w:top w:val="single" w:sz="8" w:space="0" w:color="auto"/>
              <w:left w:val="nil"/>
              <w:bottom w:val="single" w:sz="8" w:space="0" w:color="auto"/>
              <w:right w:val="single" w:sz="8" w:space="0" w:color="auto"/>
            </w:tcBorders>
            <w:shd w:val="clear" w:color="000000" w:fill="1F4E78"/>
            <w:noWrap/>
            <w:tcMar>
              <w:left w:w="28" w:type="dxa"/>
              <w:right w:w="28" w:type="dxa"/>
            </w:tcMar>
            <w:vAlign w:val="center"/>
          </w:tcPr>
          <w:p w14:paraId="4794A564" w14:textId="77777777" w:rsidR="00933E57" w:rsidRPr="000D5731" w:rsidRDefault="00933E57" w:rsidP="00A54F0D">
            <w:pPr>
              <w:widowControl/>
              <w:jc w:val="center"/>
              <w:rPr>
                <w:rFonts w:ascii="Times New Roman" w:eastAsia="宋体" w:hAnsi="Times New Roman" w:cs="Times New Roman"/>
                <w:b/>
                <w:bCs/>
                <w:color w:val="FFFFFF"/>
                <w:kern w:val="0"/>
                <w:sz w:val="18"/>
                <w:szCs w:val="18"/>
              </w:rPr>
            </w:pPr>
            <w:proofErr w:type="spellStart"/>
            <w:r w:rsidRPr="000D5731">
              <w:rPr>
                <w:rFonts w:ascii="Times New Roman" w:eastAsia="宋体" w:hAnsi="Times New Roman" w:cs="Times New Roman"/>
                <w:b/>
                <w:bCs/>
                <w:color w:val="FFFFFF"/>
                <w:kern w:val="0"/>
                <w:sz w:val="18"/>
                <w:szCs w:val="18"/>
              </w:rPr>
              <w:t>MoleculeNet</w:t>
            </w:r>
            <w:proofErr w:type="spellEnd"/>
          </w:p>
        </w:tc>
        <w:tc>
          <w:tcPr>
            <w:tcW w:w="747" w:type="pct"/>
            <w:tcBorders>
              <w:top w:val="single" w:sz="8" w:space="0" w:color="auto"/>
              <w:left w:val="nil"/>
              <w:bottom w:val="single" w:sz="8" w:space="0" w:color="auto"/>
              <w:right w:val="single" w:sz="8" w:space="0" w:color="auto"/>
            </w:tcBorders>
            <w:shd w:val="clear" w:color="000000" w:fill="1F4E78"/>
            <w:noWrap/>
            <w:tcMar>
              <w:left w:w="28" w:type="dxa"/>
              <w:right w:w="28" w:type="dxa"/>
            </w:tcMar>
            <w:vAlign w:val="center"/>
            <w:hideMark/>
          </w:tcPr>
          <w:p w14:paraId="2C99BA35" w14:textId="77777777" w:rsidR="00933E57" w:rsidRPr="000D5731" w:rsidRDefault="00933E57" w:rsidP="00A54F0D">
            <w:pPr>
              <w:widowControl/>
              <w:jc w:val="center"/>
              <w:rPr>
                <w:rFonts w:ascii="Times New Roman" w:eastAsia="宋体" w:hAnsi="Times New Roman" w:cs="Times New Roman"/>
                <w:b/>
                <w:bCs/>
                <w:color w:val="FFFFFF"/>
                <w:kern w:val="0"/>
                <w:sz w:val="18"/>
                <w:szCs w:val="18"/>
              </w:rPr>
            </w:pPr>
            <w:r w:rsidRPr="000D5731">
              <w:rPr>
                <w:rFonts w:ascii="Times New Roman" w:eastAsia="宋体" w:hAnsi="Times New Roman" w:cs="Times New Roman"/>
                <w:b/>
                <w:bCs/>
                <w:color w:val="FFFFFF"/>
                <w:kern w:val="0"/>
                <w:sz w:val="18"/>
                <w:szCs w:val="18"/>
              </w:rPr>
              <w:t>ADMET</w:t>
            </w:r>
          </w:p>
        </w:tc>
        <w:tc>
          <w:tcPr>
            <w:tcW w:w="920" w:type="pct"/>
            <w:tcBorders>
              <w:top w:val="nil"/>
              <w:left w:val="nil"/>
              <w:bottom w:val="nil"/>
              <w:right w:val="nil"/>
            </w:tcBorders>
            <w:noWrap/>
            <w:tcMar>
              <w:left w:w="28" w:type="dxa"/>
              <w:right w:w="28" w:type="dxa"/>
            </w:tcMar>
            <w:vAlign w:val="bottom"/>
            <w:hideMark/>
          </w:tcPr>
          <w:p w14:paraId="208944AB" w14:textId="77777777" w:rsidR="00933E57" w:rsidRPr="000D5731" w:rsidRDefault="00933E57" w:rsidP="00A54F0D">
            <w:pPr>
              <w:widowControl/>
              <w:jc w:val="left"/>
              <w:rPr>
                <w:rFonts w:ascii="Times New Roman" w:eastAsia="Times New Roman" w:hAnsi="Times New Roman" w:cs="Times New Roman"/>
                <w:kern w:val="0"/>
                <w:sz w:val="18"/>
                <w:szCs w:val="18"/>
              </w:rPr>
            </w:pPr>
          </w:p>
        </w:tc>
        <w:tc>
          <w:tcPr>
            <w:tcW w:w="920" w:type="pct"/>
            <w:tcBorders>
              <w:top w:val="nil"/>
              <w:left w:val="nil"/>
              <w:bottom w:val="nil"/>
              <w:right w:val="nil"/>
            </w:tcBorders>
            <w:noWrap/>
            <w:tcMar>
              <w:left w:w="28" w:type="dxa"/>
              <w:right w:w="28" w:type="dxa"/>
            </w:tcMar>
            <w:vAlign w:val="bottom"/>
            <w:hideMark/>
          </w:tcPr>
          <w:p w14:paraId="4D1C1D8D" w14:textId="77777777" w:rsidR="00933E57" w:rsidRPr="000D5731" w:rsidRDefault="00933E57" w:rsidP="00A54F0D">
            <w:pPr>
              <w:widowControl/>
              <w:jc w:val="left"/>
              <w:rPr>
                <w:rFonts w:ascii="Times New Roman" w:eastAsia="Times New Roman" w:hAnsi="Times New Roman" w:cs="Times New Roman"/>
                <w:kern w:val="0"/>
                <w:sz w:val="18"/>
                <w:szCs w:val="18"/>
              </w:rPr>
            </w:pPr>
          </w:p>
        </w:tc>
      </w:tr>
      <w:tr w:rsidR="00933E57" w:rsidRPr="000D5731" w14:paraId="7B98A884" w14:textId="77777777" w:rsidTr="00A54F0D">
        <w:trPr>
          <w:trHeight w:val="285"/>
        </w:trPr>
        <w:tc>
          <w:tcPr>
            <w:tcW w:w="1579" w:type="pct"/>
            <w:gridSpan w:val="2"/>
            <w:tcBorders>
              <w:top w:val="nil"/>
              <w:left w:val="single" w:sz="8" w:space="0" w:color="auto"/>
              <w:bottom w:val="single" w:sz="8" w:space="0" w:color="auto"/>
              <w:right w:val="single" w:sz="8" w:space="0" w:color="auto"/>
            </w:tcBorders>
            <w:noWrap/>
            <w:tcMar>
              <w:left w:w="28" w:type="dxa"/>
              <w:right w:w="28" w:type="dxa"/>
            </w:tcMar>
            <w:vAlign w:val="center"/>
            <w:hideMark/>
          </w:tcPr>
          <w:p w14:paraId="7130AAF7"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Number of regression tasks</w:t>
            </w:r>
          </w:p>
        </w:tc>
        <w:tc>
          <w:tcPr>
            <w:tcW w:w="834" w:type="pct"/>
            <w:tcBorders>
              <w:top w:val="nil"/>
              <w:left w:val="nil"/>
              <w:bottom w:val="single" w:sz="8" w:space="0" w:color="auto"/>
              <w:right w:val="single" w:sz="8" w:space="0" w:color="auto"/>
            </w:tcBorders>
            <w:noWrap/>
            <w:tcMar>
              <w:left w:w="28" w:type="dxa"/>
              <w:right w:w="28" w:type="dxa"/>
            </w:tcMar>
            <w:vAlign w:val="center"/>
          </w:tcPr>
          <w:p w14:paraId="731BB4FF"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21</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08FB90CD"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16</w:t>
            </w:r>
          </w:p>
        </w:tc>
        <w:tc>
          <w:tcPr>
            <w:tcW w:w="920" w:type="pct"/>
            <w:tcBorders>
              <w:top w:val="nil"/>
              <w:left w:val="nil"/>
              <w:bottom w:val="nil"/>
              <w:right w:val="nil"/>
            </w:tcBorders>
            <w:noWrap/>
            <w:tcMar>
              <w:left w:w="28" w:type="dxa"/>
              <w:right w:w="28" w:type="dxa"/>
            </w:tcMar>
            <w:vAlign w:val="bottom"/>
            <w:hideMark/>
          </w:tcPr>
          <w:p w14:paraId="35EECD2F" w14:textId="77777777" w:rsidR="00933E57" w:rsidRPr="000D5731" w:rsidRDefault="00933E57" w:rsidP="00A54F0D">
            <w:pPr>
              <w:widowControl/>
              <w:jc w:val="left"/>
              <w:rPr>
                <w:rFonts w:ascii="Times New Roman" w:eastAsia="Times New Roman" w:hAnsi="Times New Roman" w:cs="Times New Roman"/>
                <w:kern w:val="0"/>
                <w:sz w:val="18"/>
                <w:szCs w:val="18"/>
              </w:rPr>
            </w:pPr>
          </w:p>
        </w:tc>
        <w:tc>
          <w:tcPr>
            <w:tcW w:w="920" w:type="pct"/>
            <w:tcBorders>
              <w:top w:val="nil"/>
              <w:left w:val="nil"/>
              <w:bottom w:val="nil"/>
              <w:right w:val="nil"/>
            </w:tcBorders>
            <w:noWrap/>
            <w:tcMar>
              <w:left w:w="28" w:type="dxa"/>
              <w:right w:w="28" w:type="dxa"/>
            </w:tcMar>
            <w:vAlign w:val="bottom"/>
            <w:hideMark/>
          </w:tcPr>
          <w:p w14:paraId="25424D35" w14:textId="77777777" w:rsidR="00933E57" w:rsidRPr="000D5731" w:rsidRDefault="00933E57" w:rsidP="00A54F0D">
            <w:pPr>
              <w:widowControl/>
              <w:jc w:val="left"/>
              <w:rPr>
                <w:rFonts w:ascii="Times New Roman" w:eastAsia="Times New Roman" w:hAnsi="Times New Roman" w:cs="Times New Roman"/>
                <w:kern w:val="0"/>
                <w:sz w:val="18"/>
                <w:szCs w:val="18"/>
              </w:rPr>
            </w:pPr>
          </w:p>
        </w:tc>
      </w:tr>
      <w:tr w:rsidR="00933E57" w:rsidRPr="000D5731" w14:paraId="7CF7247C" w14:textId="77777777" w:rsidTr="00A54F0D">
        <w:trPr>
          <w:trHeight w:val="285"/>
        </w:trPr>
        <w:tc>
          <w:tcPr>
            <w:tcW w:w="1579" w:type="pct"/>
            <w:gridSpan w:val="2"/>
            <w:tcBorders>
              <w:top w:val="nil"/>
              <w:left w:val="single" w:sz="8" w:space="0" w:color="auto"/>
              <w:bottom w:val="single" w:sz="8" w:space="0" w:color="auto"/>
              <w:right w:val="single" w:sz="8" w:space="0" w:color="auto"/>
            </w:tcBorders>
            <w:noWrap/>
            <w:tcMar>
              <w:left w:w="28" w:type="dxa"/>
              <w:right w:w="28" w:type="dxa"/>
            </w:tcMar>
            <w:vAlign w:val="center"/>
            <w:hideMark/>
          </w:tcPr>
          <w:p w14:paraId="2A85CDFC"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Ordinary-fold training-support similarity (median)</w:t>
            </w:r>
          </w:p>
        </w:tc>
        <w:tc>
          <w:tcPr>
            <w:tcW w:w="834" w:type="pct"/>
            <w:tcBorders>
              <w:top w:val="nil"/>
              <w:left w:val="nil"/>
              <w:bottom w:val="single" w:sz="8" w:space="0" w:color="auto"/>
              <w:right w:val="single" w:sz="8" w:space="0" w:color="auto"/>
            </w:tcBorders>
            <w:noWrap/>
            <w:tcMar>
              <w:left w:w="28" w:type="dxa"/>
              <w:right w:w="28" w:type="dxa"/>
            </w:tcMar>
            <w:vAlign w:val="center"/>
          </w:tcPr>
          <w:p w14:paraId="6A3C041A"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0.533</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1B764532"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0.429</w:t>
            </w:r>
          </w:p>
        </w:tc>
        <w:tc>
          <w:tcPr>
            <w:tcW w:w="920" w:type="pct"/>
            <w:tcBorders>
              <w:top w:val="nil"/>
              <w:left w:val="nil"/>
              <w:bottom w:val="nil"/>
              <w:right w:val="nil"/>
            </w:tcBorders>
            <w:noWrap/>
            <w:tcMar>
              <w:left w:w="28" w:type="dxa"/>
              <w:right w:w="28" w:type="dxa"/>
            </w:tcMar>
            <w:vAlign w:val="bottom"/>
            <w:hideMark/>
          </w:tcPr>
          <w:p w14:paraId="23494A49" w14:textId="77777777" w:rsidR="00933E57" w:rsidRPr="000D5731" w:rsidRDefault="00933E57" w:rsidP="00A54F0D">
            <w:pPr>
              <w:widowControl/>
              <w:jc w:val="left"/>
              <w:rPr>
                <w:rFonts w:ascii="Times New Roman" w:eastAsia="Times New Roman" w:hAnsi="Times New Roman" w:cs="Times New Roman"/>
                <w:kern w:val="0"/>
                <w:sz w:val="18"/>
                <w:szCs w:val="18"/>
              </w:rPr>
            </w:pPr>
          </w:p>
        </w:tc>
        <w:tc>
          <w:tcPr>
            <w:tcW w:w="920" w:type="pct"/>
            <w:tcBorders>
              <w:top w:val="nil"/>
              <w:left w:val="nil"/>
              <w:bottom w:val="nil"/>
              <w:right w:val="nil"/>
            </w:tcBorders>
            <w:noWrap/>
            <w:tcMar>
              <w:left w:w="28" w:type="dxa"/>
              <w:right w:w="28" w:type="dxa"/>
            </w:tcMar>
            <w:vAlign w:val="bottom"/>
            <w:hideMark/>
          </w:tcPr>
          <w:p w14:paraId="4DB3920F" w14:textId="77777777" w:rsidR="00933E57" w:rsidRPr="000D5731" w:rsidRDefault="00933E57" w:rsidP="00A54F0D">
            <w:pPr>
              <w:widowControl/>
              <w:jc w:val="left"/>
              <w:rPr>
                <w:rFonts w:ascii="Times New Roman" w:eastAsia="Times New Roman" w:hAnsi="Times New Roman" w:cs="Times New Roman"/>
                <w:kern w:val="0"/>
                <w:sz w:val="18"/>
                <w:szCs w:val="18"/>
              </w:rPr>
            </w:pPr>
          </w:p>
        </w:tc>
      </w:tr>
      <w:tr w:rsidR="00933E57" w:rsidRPr="000D5731" w14:paraId="38A14BAF" w14:textId="77777777" w:rsidTr="00A54F0D">
        <w:trPr>
          <w:trHeight w:val="285"/>
        </w:trPr>
        <w:tc>
          <w:tcPr>
            <w:tcW w:w="1579" w:type="pct"/>
            <w:gridSpan w:val="2"/>
            <w:tcBorders>
              <w:top w:val="nil"/>
              <w:left w:val="single" w:sz="8" w:space="0" w:color="auto"/>
              <w:bottom w:val="single" w:sz="8" w:space="0" w:color="auto"/>
              <w:right w:val="single" w:sz="8" w:space="0" w:color="auto"/>
            </w:tcBorders>
            <w:noWrap/>
            <w:tcMar>
              <w:left w:w="28" w:type="dxa"/>
              <w:right w:w="28" w:type="dxa"/>
            </w:tcMar>
            <w:vAlign w:val="center"/>
            <w:hideMark/>
          </w:tcPr>
          <w:p w14:paraId="303F9D7D"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 xml:space="preserve">No-scaffold-fold training-support </w:t>
            </w:r>
            <w:r w:rsidRPr="000D5731">
              <w:rPr>
                <w:rFonts w:ascii="Times New Roman" w:eastAsia="宋体" w:hAnsi="Times New Roman" w:cs="Times New Roman"/>
                <w:color w:val="000000"/>
                <w:kern w:val="0"/>
                <w:sz w:val="18"/>
                <w:szCs w:val="18"/>
              </w:rPr>
              <w:lastRenderedPageBreak/>
              <w:t>similarity (median)</w:t>
            </w:r>
          </w:p>
        </w:tc>
        <w:tc>
          <w:tcPr>
            <w:tcW w:w="834" w:type="pct"/>
            <w:tcBorders>
              <w:top w:val="nil"/>
              <w:left w:val="nil"/>
              <w:bottom w:val="single" w:sz="8" w:space="0" w:color="auto"/>
              <w:right w:val="single" w:sz="8" w:space="0" w:color="auto"/>
            </w:tcBorders>
            <w:noWrap/>
            <w:tcMar>
              <w:left w:w="28" w:type="dxa"/>
              <w:right w:w="28" w:type="dxa"/>
            </w:tcMar>
            <w:vAlign w:val="center"/>
          </w:tcPr>
          <w:p w14:paraId="13898261"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lastRenderedPageBreak/>
              <w:t>0.393</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1D5B7F09"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0.261</w:t>
            </w:r>
          </w:p>
        </w:tc>
        <w:tc>
          <w:tcPr>
            <w:tcW w:w="920" w:type="pct"/>
            <w:tcBorders>
              <w:top w:val="nil"/>
              <w:left w:val="nil"/>
              <w:bottom w:val="nil"/>
              <w:right w:val="nil"/>
            </w:tcBorders>
            <w:noWrap/>
            <w:tcMar>
              <w:left w:w="28" w:type="dxa"/>
              <w:right w:w="28" w:type="dxa"/>
            </w:tcMar>
            <w:vAlign w:val="bottom"/>
            <w:hideMark/>
          </w:tcPr>
          <w:p w14:paraId="5A252DCC" w14:textId="77777777" w:rsidR="00933E57" w:rsidRPr="000D5731" w:rsidRDefault="00933E57" w:rsidP="00A54F0D">
            <w:pPr>
              <w:widowControl/>
              <w:jc w:val="left"/>
              <w:rPr>
                <w:rFonts w:ascii="Times New Roman" w:eastAsia="Times New Roman" w:hAnsi="Times New Roman" w:cs="Times New Roman"/>
                <w:kern w:val="0"/>
                <w:sz w:val="18"/>
                <w:szCs w:val="18"/>
              </w:rPr>
            </w:pPr>
          </w:p>
        </w:tc>
        <w:tc>
          <w:tcPr>
            <w:tcW w:w="920" w:type="pct"/>
            <w:tcBorders>
              <w:top w:val="nil"/>
              <w:left w:val="nil"/>
              <w:bottom w:val="nil"/>
              <w:right w:val="nil"/>
            </w:tcBorders>
            <w:noWrap/>
            <w:tcMar>
              <w:left w:w="28" w:type="dxa"/>
              <w:right w:w="28" w:type="dxa"/>
            </w:tcMar>
            <w:vAlign w:val="bottom"/>
            <w:hideMark/>
          </w:tcPr>
          <w:p w14:paraId="5F5AC76B" w14:textId="77777777" w:rsidR="00933E57" w:rsidRPr="000D5731" w:rsidRDefault="00933E57" w:rsidP="00A54F0D">
            <w:pPr>
              <w:widowControl/>
              <w:jc w:val="left"/>
              <w:rPr>
                <w:rFonts w:ascii="Times New Roman" w:eastAsia="Times New Roman" w:hAnsi="Times New Roman" w:cs="Times New Roman"/>
                <w:kern w:val="0"/>
                <w:sz w:val="18"/>
                <w:szCs w:val="18"/>
              </w:rPr>
            </w:pPr>
          </w:p>
        </w:tc>
      </w:tr>
      <w:tr w:rsidR="00933E57" w:rsidRPr="000D5731" w14:paraId="40AE9CCD" w14:textId="77777777" w:rsidTr="00A54F0D">
        <w:trPr>
          <w:trHeight w:val="285"/>
        </w:trPr>
        <w:tc>
          <w:tcPr>
            <w:tcW w:w="1579" w:type="pct"/>
            <w:gridSpan w:val="2"/>
            <w:tcBorders>
              <w:top w:val="nil"/>
              <w:left w:val="single" w:sz="8" w:space="0" w:color="auto"/>
              <w:bottom w:val="single" w:sz="8" w:space="0" w:color="auto"/>
              <w:right w:val="single" w:sz="8" w:space="0" w:color="auto"/>
            </w:tcBorders>
            <w:noWrap/>
            <w:tcMar>
              <w:left w:w="28" w:type="dxa"/>
              <w:right w:w="28" w:type="dxa"/>
            </w:tcMar>
            <w:vAlign w:val="center"/>
            <w:hideMark/>
          </w:tcPr>
          <w:p w14:paraId="1EE13D10"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Median MAE ratio</w:t>
            </w:r>
          </w:p>
        </w:tc>
        <w:tc>
          <w:tcPr>
            <w:tcW w:w="834" w:type="pct"/>
            <w:tcBorders>
              <w:top w:val="nil"/>
              <w:left w:val="nil"/>
              <w:bottom w:val="single" w:sz="8" w:space="0" w:color="auto"/>
              <w:right w:val="single" w:sz="8" w:space="0" w:color="auto"/>
            </w:tcBorders>
            <w:noWrap/>
            <w:tcMar>
              <w:left w:w="28" w:type="dxa"/>
              <w:right w:w="28" w:type="dxa"/>
            </w:tcMar>
            <w:vAlign w:val="center"/>
          </w:tcPr>
          <w:p w14:paraId="41F0430A"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1.591</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3948A143"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1.449</w:t>
            </w:r>
          </w:p>
        </w:tc>
        <w:tc>
          <w:tcPr>
            <w:tcW w:w="920" w:type="pct"/>
            <w:tcBorders>
              <w:top w:val="nil"/>
              <w:left w:val="nil"/>
              <w:bottom w:val="nil"/>
              <w:right w:val="nil"/>
            </w:tcBorders>
            <w:noWrap/>
            <w:tcMar>
              <w:left w:w="28" w:type="dxa"/>
              <w:right w:w="28" w:type="dxa"/>
            </w:tcMar>
            <w:vAlign w:val="bottom"/>
            <w:hideMark/>
          </w:tcPr>
          <w:p w14:paraId="325F5DE2" w14:textId="77777777" w:rsidR="00933E57" w:rsidRPr="000D5731" w:rsidRDefault="00933E57" w:rsidP="00A54F0D">
            <w:pPr>
              <w:widowControl/>
              <w:jc w:val="left"/>
              <w:rPr>
                <w:rFonts w:ascii="Times New Roman" w:eastAsia="Times New Roman" w:hAnsi="Times New Roman" w:cs="Times New Roman"/>
                <w:kern w:val="0"/>
                <w:sz w:val="18"/>
                <w:szCs w:val="18"/>
              </w:rPr>
            </w:pPr>
          </w:p>
        </w:tc>
        <w:tc>
          <w:tcPr>
            <w:tcW w:w="920" w:type="pct"/>
            <w:tcBorders>
              <w:top w:val="nil"/>
              <w:left w:val="nil"/>
              <w:bottom w:val="nil"/>
              <w:right w:val="nil"/>
            </w:tcBorders>
            <w:noWrap/>
            <w:tcMar>
              <w:left w:w="28" w:type="dxa"/>
              <w:right w:w="28" w:type="dxa"/>
            </w:tcMar>
            <w:vAlign w:val="bottom"/>
            <w:hideMark/>
          </w:tcPr>
          <w:p w14:paraId="0FA17914" w14:textId="77777777" w:rsidR="00933E57" w:rsidRPr="000D5731" w:rsidRDefault="00933E57" w:rsidP="00A54F0D">
            <w:pPr>
              <w:widowControl/>
              <w:jc w:val="left"/>
              <w:rPr>
                <w:rFonts w:ascii="Times New Roman" w:eastAsia="Times New Roman" w:hAnsi="Times New Roman" w:cs="Times New Roman"/>
                <w:kern w:val="0"/>
                <w:sz w:val="18"/>
                <w:szCs w:val="18"/>
              </w:rPr>
            </w:pPr>
          </w:p>
        </w:tc>
      </w:tr>
      <w:tr w:rsidR="00933E57" w:rsidRPr="000D5731" w14:paraId="410C3340" w14:textId="77777777" w:rsidTr="00A54F0D">
        <w:trPr>
          <w:trHeight w:val="285"/>
        </w:trPr>
        <w:tc>
          <w:tcPr>
            <w:tcW w:w="1579" w:type="pct"/>
            <w:gridSpan w:val="2"/>
            <w:tcBorders>
              <w:top w:val="nil"/>
              <w:left w:val="single" w:sz="8" w:space="0" w:color="auto"/>
              <w:bottom w:val="single" w:sz="8" w:space="0" w:color="auto"/>
              <w:right w:val="single" w:sz="8" w:space="0" w:color="auto"/>
            </w:tcBorders>
            <w:noWrap/>
            <w:tcMar>
              <w:left w:w="28" w:type="dxa"/>
              <w:right w:w="28" w:type="dxa"/>
            </w:tcMar>
            <w:vAlign w:val="center"/>
            <w:hideMark/>
          </w:tcPr>
          <w:p w14:paraId="05C24895"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Median target-scale ratio</w:t>
            </w:r>
          </w:p>
        </w:tc>
        <w:tc>
          <w:tcPr>
            <w:tcW w:w="834" w:type="pct"/>
            <w:tcBorders>
              <w:top w:val="nil"/>
              <w:left w:val="nil"/>
              <w:bottom w:val="single" w:sz="8" w:space="0" w:color="auto"/>
              <w:right w:val="single" w:sz="8" w:space="0" w:color="auto"/>
            </w:tcBorders>
            <w:noWrap/>
            <w:tcMar>
              <w:left w:w="28" w:type="dxa"/>
              <w:right w:w="28" w:type="dxa"/>
            </w:tcMar>
            <w:vAlign w:val="center"/>
          </w:tcPr>
          <w:p w14:paraId="09672305"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1.009</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54B734B5"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0.758</w:t>
            </w:r>
          </w:p>
        </w:tc>
        <w:tc>
          <w:tcPr>
            <w:tcW w:w="920" w:type="pct"/>
            <w:tcBorders>
              <w:top w:val="nil"/>
              <w:left w:val="nil"/>
              <w:bottom w:val="nil"/>
              <w:right w:val="nil"/>
            </w:tcBorders>
            <w:noWrap/>
            <w:tcMar>
              <w:left w:w="28" w:type="dxa"/>
              <w:right w:w="28" w:type="dxa"/>
            </w:tcMar>
            <w:vAlign w:val="bottom"/>
            <w:hideMark/>
          </w:tcPr>
          <w:p w14:paraId="136DDEF2" w14:textId="77777777" w:rsidR="00933E57" w:rsidRPr="000D5731" w:rsidRDefault="00933E57" w:rsidP="00A54F0D">
            <w:pPr>
              <w:widowControl/>
              <w:jc w:val="left"/>
              <w:rPr>
                <w:rFonts w:ascii="Times New Roman" w:eastAsia="Times New Roman" w:hAnsi="Times New Roman" w:cs="Times New Roman"/>
                <w:kern w:val="0"/>
                <w:sz w:val="18"/>
                <w:szCs w:val="18"/>
              </w:rPr>
            </w:pPr>
          </w:p>
        </w:tc>
        <w:tc>
          <w:tcPr>
            <w:tcW w:w="920" w:type="pct"/>
            <w:tcBorders>
              <w:top w:val="nil"/>
              <w:left w:val="nil"/>
              <w:bottom w:val="nil"/>
              <w:right w:val="nil"/>
            </w:tcBorders>
            <w:noWrap/>
            <w:tcMar>
              <w:left w:w="28" w:type="dxa"/>
              <w:right w:w="28" w:type="dxa"/>
            </w:tcMar>
            <w:vAlign w:val="bottom"/>
            <w:hideMark/>
          </w:tcPr>
          <w:p w14:paraId="790E9F8F" w14:textId="77777777" w:rsidR="00933E57" w:rsidRPr="000D5731" w:rsidRDefault="00933E57" w:rsidP="00A54F0D">
            <w:pPr>
              <w:widowControl/>
              <w:jc w:val="left"/>
              <w:rPr>
                <w:rFonts w:ascii="Times New Roman" w:eastAsia="Times New Roman" w:hAnsi="Times New Roman" w:cs="Times New Roman"/>
                <w:kern w:val="0"/>
                <w:sz w:val="18"/>
                <w:szCs w:val="18"/>
              </w:rPr>
            </w:pPr>
          </w:p>
        </w:tc>
      </w:tr>
      <w:tr w:rsidR="00933E57" w:rsidRPr="000D5731" w14:paraId="49E1CC49" w14:textId="77777777" w:rsidTr="00A54F0D">
        <w:trPr>
          <w:trHeight w:val="285"/>
        </w:trPr>
        <w:tc>
          <w:tcPr>
            <w:tcW w:w="1579" w:type="pct"/>
            <w:gridSpan w:val="2"/>
            <w:tcBorders>
              <w:top w:val="nil"/>
              <w:left w:val="single" w:sz="8" w:space="0" w:color="auto"/>
              <w:bottom w:val="single" w:sz="8" w:space="0" w:color="auto"/>
              <w:right w:val="single" w:sz="8" w:space="0" w:color="auto"/>
            </w:tcBorders>
            <w:noWrap/>
            <w:tcMar>
              <w:left w:w="28" w:type="dxa"/>
              <w:right w:w="28" w:type="dxa"/>
            </w:tcMar>
            <w:vAlign w:val="center"/>
            <w:hideMark/>
          </w:tcPr>
          <w:p w14:paraId="0C16F34C"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Median output-scale change</w:t>
            </w:r>
          </w:p>
        </w:tc>
        <w:tc>
          <w:tcPr>
            <w:tcW w:w="834" w:type="pct"/>
            <w:tcBorders>
              <w:top w:val="nil"/>
              <w:left w:val="nil"/>
              <w:bottom w:val="single" w:sz="8" w:space="0" w:color="auto"/>
              <w:right w:val="single" w:sz="8" w:space="0" w:color="auto"/>
            </w:tcBorders>
            <w:noWrap/>
            <w:tcMar>
              <w:left w:w="28" w:type="dxa"/>
              <w:right w:w="28" w:type="dxa"/>
            </w:tcMar>
            <w:vAlign w:val="center"/>
          </w:tcPr>
          <w:p w14:paraId="6780644D"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1.103</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4394D8EE"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0.946</w:t>
            </w:r>
          </w:p>
        </w:tc>
        <w:tc>
          <w:tcPr>
            <w:tcW w:w="920" w:type="pct"/>
            <w:tcBorders>
              <w:top w:val="nil"/>
              <w:left w:val="nil"/>
              <w:bottom w:val="nil"/>
              <w:right w:val="nil"/>
            </w:tcBorders>
            <w:noWrap/>
            <w:tcMar>
              <w:left w:w="28" w:type="dxa"/>
              <w:right w:w="28" w:type="dxa"/>
            </w:tcMar>
            <w:vAlign w:val="bottom"/>
            <w:hideMark/>
          </w:tcPr>
          <w:p w14:paraId="4052FF13" w14:textId="77777777" w:rsidR="00933E57" w:rsidRPr="000D5731" w:rsidRDefault="00933E57" w:rsidP="00A54F0D">
            <w:pPr>
              <w:widowControl/>
              <w:jc w:val="left"/>
              <w:rPr>
                <w:rFonts w:ascii="Times New Roman" w:eastAsia="Times New Roman" w:hAnsi="Times New Roman" w:cs="Times New Roman"/>
                <w:kern w:val="0"/>
                <w:sz w:val="18"/>
                <w:szCs w:val="18"/>
              </w:rPr>
            </w:pPr>
          </w:p>
        </w:tc>
        <w:tc>
          <w:tcPr>
            <w:tcW w:w="920" w:type="pct"/>
            <w:tcBorders>
              <w:top w:val="nil"/>
              <w:left w:val="nil"/>
              <w:bottom w:val="nil"/>
              <w:right w:val="nil"/>
            </w:tcBorders>
            <w:noWrap/>
            <w:tcMar>
              <w:left w:w="28" w:type="dxa"/>
              <w:right w:w="28" w:type="dxa"/>
            </w:tcMar>
            <w:vAlign w:val="bottom"/>
            <w:hideMark/>
          </w:tcPr>
          <w:p w14:paraId="4B1042DC" w14:textId="77777777" w:rsidR="00933E57" w:rsidRPr="000D5731" w:rsidRDefault="00933E57" w:rsidP="00A54F0D">
            <w:pPr>
              <w:widowControl/>
              <w:jc w:val="left"/>
              <w:rPr>
                <w:rFonts w:ascii="Times New Roman" w:eastAsia="Times New Roman" w:hAnsi="Times New Roman" w:cs="Times New Roman"/>
                <w:kern w:val="0"/>
                <w:sz w:val="18"/>
                <w:szCs w:val="18"/>
              </w:rPr>
            </w:pPr>
          </w:p>
        </w:tc>
      </w:tr>
      <w:tr w:rsidR="00933E57" w:rsidRPr="000D5731" w14:paraId="5B95BFD4" w14:textId="77777777" w:rsidTr="00A54F0D">
        <w:trPr>
          <w:trHeight w:val="300"/>
        </w:trPr>
        <w:tc>
          <w:tcPr>
            <w:tcW w:w="5000" w:type="pct"/>
            <w:gridSpan w:val="6"/>
            <w:tcBorders>
              <w:top w:val="nil"/>
              <w:left w:val="nil"/>
              <w:bottom w:val="nil"/>
              <w:right w:val="nil"/>
            </w:tcBorders>
            <w:noWrap/>
            <w:tcMar>
              <w:left w:w="28" w:type="dxa"/>
              <w:right w:w="28" w:type="dxa"/>
            </w:tcMar>
            <w:vAlign w:val="bottom"/>
            <w:hideMark/>
          </w:tcPr>
          <w:p w14:paraId="7666E89A" w14:textId="77777777" w:rsidR="00933E57" w:rsidRDefault="00933E57" w:rsidP="00A54F0D">
            <w:pPr>
              <w:widowControl/>
              <w:jc w:val="left"/>
              <w:rPr>
                <w:rFonts w:ascii="Times New Roman" w:eastAsia="宋体" w:hAnsi="Times New Roman" w:cs="Times New Roman"/>
                <w:color w:val="000000"/>
                <w:kern w:val="0"/>
                <w:szCs w:val="21"/>
              </w:rPr>
            </w:pPr>
          </w:p>
          <w:p w14:paraId="64F66536" w14:textId="77777777" w:rsidR="00933E57" w:rsidRPr="000D5731" w:rsidRDefault="00933E57" w:rsidP="00A54F0D">
            <w:pPr>
              <w:widowControl/>
              <w:jc w:val="left"/>
              <w:rPr>
                <w:rFonts w:ascii="Times New Roman" w:eastAsia="宋体" w:hAnsi="Times New Roman" w:cs="Times New Roman"/>
                <w:color w:val="000000"/>
                <w:kern w:val="0"/>
                <w:szCs w:val="21"/>
              </w:rPr>
            </w:pPr>
            <w:r w:rsidRPr="000D5731">
              <w:rPr>
                <w:rFonts w:ascii="Times New Roman" w:eastAsia="宋体" w:hAnsi="Times New Roman" w:cs="Times New Roman"/>
                <w:color w:val="000000"/>
                <w:kern w:val="0"/>
                <w:szCs w:val="21"/>
              </w:rPr>
              <w:t>Panel B</w:t>
            </w:r>
            <w:r>
              <w:rPr>
                <w:rFonts w:ascii="Times New Roman" w:eastAsia="宋体" w:hAnsi="Times New Roman" w:cs="Times New Roman" w:hint="eastAsia"/>
                <w:color w:val="000000"/>
                <w:kern w:val="0"/>
                <w:szCs w:val="21"/>
              </w:rPr>
              <w:t>. E</w:t>
            </w:r>
            <w:r w:rsidRPr="000D5731">
              <w:rPr>
                <w:rFonts w:ascii="Times New Roman" w:eastAsia="宋体" w:hAnsi="Times New Roman" w:cs="Times New Roman"/>
                <w:color w:val="000000"/>
                <w:kern w:val="0"/>
                <w:szCs w:val="21"/>
              </w:rPr>
              <w:t xml:space="preserve">valuation-point-level </w:t>
            </w:r>
            <w:proofErr w:type="spellStart"/>
            <w:r w:rsidRPr="000D5731">
              <w:rPr>
                <w:rFonts w:ascii="Times New Roman" w:eastAsia="宋体" w:hAnsi="Times New Roman" w:cs="Times New Roman"/>
                <w:color w:val="000000"/>
                <w:kern w:val="0"/>
                <w:szCs w:val="21"/>
              </w:rPr>
              <w:t>relMAE</w:t>
            </w:r>
            <w:proofErr w:type="spellEnd"/>
            <w:r w:rsidRPr="000D5731">
              <w:rPr>
                <w:rFonts w:ascii="Times New Roman" w:eastAsia="宋体" w:hAnsi="Times New Roman" w:cs="Times New Roman"/>
                <w:color w:val="000000"/>
                <w:kern w:val="0"/>
                <w:szCs w:val="21"/>
              </w:rPr>
              <w:t xml:space="preserve"> inflation and tail-risk summaries after stratifying evaluation points by the median support loss.</w:t>
            </w:r>
          </w:p>
        </w:tc>
      </w:tr>
      <w:tr w:rsidR="00933E57" w:rsidRPr="000D5731" w14:paraId="601FCFC0" w14:textId="77777777" w:rsidTr="00A54F0D">
        <w:trPr>
          <w:trHeight w:val="285"/>
        </w:trPr>
        <w:tc>
          <w:tcPr>
            <w:tcW w:w="773" w:type="pct"/>
            <w:tcBorders>
              <w:top w:val="single" w:sz="8" w:space="0" w:color="auto"/>
              <w:left w:val="single" w:sz="8" w:space="0" w:color="auto"/>
              <w:bottom w:val="single" w:sz="8" w:space="0" w:color="auto"/>
              <w:right w:val="single" w:sz="8" w:space="0" w:color="auto"/>
            </w:tcBorders>
            <w:shd w:val="clear" w:color="000000" w:fill="1F4E78"/>
            <w:noWrap/>
            <w:tcMar>
              <w:left w:w="28" w:type="dxa"/>
              <w:right w:w="28" w:type="dxa"/>
            </w:tcMar>
            <w:vAlign w:val="center"/>
            <w:hideMark/>
          </w:tcPr>
          <w:p w14:paraId="1AED017C" w14:textId="77777777" w:rsidR="00933E57" w:rsidRPr="000D5731" w:rsidRDefault="00933E57" w:rsidP="00A54F0D">
            <w:pPr>
              <w:widowControl/>
              <w:jc w:val="center"/>
              <w:rPr>
                <w:rFonts w:ascii="Times New Roman" w:eastAsia="宋体" w:hAnsi="Times New Roman" w:cs="Times New Roman"/>
                <w:b/>
                <w:bCs/>
                <w:color w:val="FFFFFF"/>
                <w:kern w:val="0"/>
                <w:sz w:val="18"/>
                <w:szCs w:val="18"/>
              </w:rPr>
            </w:pPr>
            <w:r w:rsidRPr="000D5731">
              <w:rPr>
                <w:rFonts w:ascii="Times New Roman" w:eastAsia="宋体" w:hAnsi="Times New Roman" w:cs="Times New Roman"/>
                <w:b/>
                <w:bCs/>
                <w:color w:val="FFFFFF"/>
                <w:kern w:val="0"/>
                <w:sz w:val="18"/>
                <w:szCs w:val="18"/>
              </w:rPr>
              <w:t>Benchmark subset</w:t>
            </w:r>
          </w:p>
        </w:tc>
        <w:tc>
          <w:tcPr>
            <w:tcW w:w="806" w:type="pct"/>
            <w:tcBorders>
              <w:top w:val="single" w:sz="8" w:space="0" w:color="auto"/>
              <w:left w:val="nil"/>
              <w:bottom w:val="single" w:sz="8" w:space="0" w:color="auto"/>
              <w:right w:val="single" w:sz="8" w:space="0" w:color="auto"/>
            </w:tcBorders>
            <w:shd w:val="clear" w:color="000000" w:fill="1F4E78"/>
            <w:noWrap/>
            <w:tcMar>
              <w:left w:w="28" w:type="dxa"/>
              <w:right w:w="28" w:type="dxa"/>
            </w:tcMar>
            <w:vAlign w:val="center"/>
            <w:hideMark/>
          </w:tcPr>
          <w:p w14:paraId="115EA0E1" w14:textId="77777777" w:rsidR="00933E57" w:rsidRPr="000D5731" w:rsidRDefault="00933E57" w:rsidP="00A54F0D">
            <w:pPr>
              <w:widowControl/>
              <w:jc w:val="center"/>
              <w:rPr>
                <w:rFonts w:ascii="Times New Roman" w:eastAsia="宋体" w:hAnsi="Times New Roman" w:cs="Times New Roman"/>
                <w:b/>
                <w:bCs/>
                <w:color w:val="FFFFFF"/>
                <w:kern w:val="0"/>
                <w:sz w:val="18"/>
                <w:szCs w:val="18"/>
              </w:rPr>
            </w:pPr>
            <w:r w:rsidRPr="000D5731">
              <w:rPr>
                <w:rFonts w:ascii="Times New Roman" w:eastAsia="宋体" w:hAnsi="Times New Roman" w:cs="Times New Roman"/>
                <w:b/>
                <w:bCs/>
                <w:color w:val="FFFFFF"/>
                <w:kern w:val="0"/>
                <w:sz w:val="18"/>
                <w:szCs w:val="18"/>
              </w:rPr>
              <w:t>Support-loss severity group</w:t>
            </w:r>
          </w:p>
        </w:tc>
        <w:tc>
          <w:tcPr>
            <w:tcW w:w="834" w:type="pct"/>
            <w:tcBorders>
              <w:top w:val="single" w:sz="8" w:space="0" w:color="auto"/>
              <w:left w:val="nil"/>
              <w:bottom w:val="single" w:sz="8" w:space="0" w:color="auto"/>
              <w:right w:val="single" w:sz="8" w:space="0" w:color="auto"/>
            </w:tcBorders>
            <w:shd w:val="clear" w:color="000000" w:fill="1F4E78"/>
            <w:noWrap/>
            <w:tcMar>
              <w:left w:w="28" w:type="dxa"/>
              <w:right w:w="28" w:type="dxa"/>
            </w:tcMar>
            <w:vAlign w:val="center"/>
            <w:hideMark/>
          </w:tcPr>
          <w:p w14:paraId="764E9F5E" w14:textId="77777777" w:rsidR="00933E57" w:rsidRPr="000D5731" w:rsidRDefault="00933E57" w:rsidP="00A54F0D">
            <w:pPr>
              <w:widowControl/>
              <w:jc w:val="center"/>
              <w:rPr>
                <w:rFonts w:ascii="Times New Roman" w:eastAsia="宋体" w:hAnsi="Times New Roman" w:cs="Times New Roman"/>
                <w:b/>
                <w:bCs/>
                <w:color w:val="FFFFFF"/>
                <w:kern w:val="0"/>
                <w:sz w:val="18"/>
                <w:szCs w:val="18"/>
              </w:rPr>
            </w:pPr>
            <w:r w:rsidRPr="000D5731">
              <w:rPr>
                <w:rFonts w:ascii="Times New Roman" w:eastAsia="宋体" w:hAnsi="Times New Roman" w:cs="Times New Roman"/>
                <w:b/>
                <w:bCs/>
                <w:color w:val="FFFFFF"/>
                <w:kern w:val="0"/>
                <w:sz w:val="18"/>
                <w:szCs w:val="18"/>
              </w:rPr>
              <w:t>Number of evaluation points</w:t>
            </w:r>
          </w:p>
        </w:tc>
        <w:tc>
          <w:tcPr>
            <w:tcW w:w="747" w:type="pct"/>
            <w:tcBorders>
              <w:top w:val="single" w:sz="8" w:space="0" w:color="auto"/>
              <w:left w:val="nil"/>
              <w:bottom w:val="single" w:sz="8" w:space="0" w:color="auto"/>
              <w:right w:val="single" w:sz="8" w:space="0" w:color="auto"/>
            </w:tcBorders>
            <w:shd w:val="clear" w:color="000000" w:fill="1F4E78"/>
            <w:noWrap/>
            <w:tcMar>
              <w:left w:w="28" w:type="dxa"/>
              <w:right w:w="28" w:type="dxa"/>
            </w:tcMar>
            <w:vAlign w:val="center"/>
            <w:hideMark/>
          </w:tcPr>
          <w:p w14:paraId="4144CBDD" w14:textId="77777777" w:rsidR="00933E57" w:rsidRPr="000D5731" w:rsidRDefault="00933E57" w:rsidP="00A54F0D">
            <w:pPr>
              <w:widowControl/>
              <w:jc w:val="center"/>
              <w:rPr>
                <w:rFonts w:ascii="Times New Roman" w:eastAsia="宋体" w:hAnsi="Times New Roman" w:cs="Times New Roman"/>
                <w:b/>
                <w:bCs/>
                <w:color w:val="FFFFFF"/>
                <w:kern w:val="0"/>
                <w:sz w:val="18"/>
                <w:szCs w:val="18"/>
              </w:rPr>
            </w:pPr>
            <w:r w:rsidRPr="000D5731">
              <w:rPr>
                <w:rFonts w:ascii="Times New Roman" w:eastAsia="宋体" w:hAnsi="Times New Roman" w:cs="Times New Roman"/>
                <w:b/>
                <w:bCs/>
                <w:color w:val="FFFFFF"/>
                <w:kern w:val="0"/>
                <w:sz w:val="18"/>
                <w:szCs w:val="18"/>
              </w:rPr>
              <w:t xml:space="preserve">Median </w:t>
            </w:r>
            <w:proofErr w:type="spellStart"/>
            <w:r w:rsidRPr="000D5731">
              <w:rPr>
                <w:rFonts w:ascii="Times New Roman" w:eastAsia="宋体" w:hAnsi="Times New Roman" w:cs="Times New Roman"/>
                <w:b/>
                <w:bCs/>
                <w:color w:val="FFFFFF"/>
                <w:kern w:val="0"/>
                <w:sz w:val="18"/>
                <w:szCs w:val="18"/>
              </w:rPr>
              <w:t>relMAE</w:t>
            </w:r>
            <w:proofErr w:type="spellEnd"/>
            <w:r w:rsidRPr="000D5731">
              <w:rPr>
                <w:rFonts w:ascii="Times New Roman" w:eastAsia="宋体" w:hAnsi="Times New Roman" w:cs="Times New Roman"/>
                <w:b/>
                <w:bCs/>
                <w:color w:val="FFFFFF"/>
                <w:kern w:val="0"/>
                <w:sz w:val="18"/>
                <w:szCs w:val="18"/>
              </w:rPr>
              <w:t xml:space="preserve"> inflation</w:t>
            </w:r>
          </w:p>
        </w:tc>
        <w:tc>
          <w:tcPr>
            <w:tcW w:w="920" w:type="pct"/>
            <w:tcBorders>
              <w:top w:val="single" w:sz="8" w:space="0" w:color="auto"/>
              <w:left w:val="nil"/>
              <w:bottom w:val="single" w:sz="8" w:space="0" w:color="auto"/>
              <w:right w:val="single" w:sz="8" w:space="0" w:color="auto"/>
            </w:tcBorders>
            <w:shd w:val="clear" w:color="000000" w:fill="1F4E78"/>
            <w:noWrap/>
            <w:tcMar>
              <w:left w:w="28" w:type="dxa"/>
              <w:right w:w="28" w:type="dxa"/>
            </w:tcMar>
            <w:vAlign w:val="center"/>
            <w:hideMark/>
          </w:tcPr>
          <w:p w14:paraId="074DBAB9" w14:textId="77777777" w:rsidR="00933E57" w:rsidRPr="000D5731" w:rsidRDefault="00933E57" w:rsidP="00A54F0D">
            <w:pPr>
              <w:widowControl/>
              <w:jc w:val="center"/>
              <w:rPr>
                <w:rFonts w:ascii="Times New Roman" w:eastAsia="宋体" w:hAnsi="Times New Roman" w:cs="Times New Roman"/>
                <w:b/>
                <w:bCs/>
                <w:color w:val="FFFFFF"/>
                <w:kern w:val="0"/>
                <w:sz w:val="18"/>
                <w:szCs w:val="18"/>
              </w:rPr>
            </w:pPr>
            <w:proofErr w:type="spellStart"/>
            <w:r w:rsidRPr="000D5731">
              <w:rPr>
                <w:rFonts w:ascii="Times New Roman" w:eastAsia="宋体" w:hAnsi="Times New Roman" w:cs="Times New Roman"/>
                <w:b/>
                <w:bCs/>
                <w:color w:val="FFFFFF"/>
                <w:kern w:val="0"/>
                <w:sz w:val="18"/>
                <w:szCs w:val="18"/>
              </w:rPr>
              <w:t>RelMAE</w:t>
            </w:r>
            <w:proofErr w:type="spellEnd"/>
            <w:r w:rsidRPr="000D5731">
              <w:rPr>
                <w:rFonts w:ascii="Times New Roman" w:eastAsia="宋体" w:hAnsi="Times New Roman" w:cs="Times New Roman"/>
                <w:b/>
                <w:bCs/>
                <w:color w:val="FFFFFF"/>
                <w:kern w:val="0"/>
                <w:sz w:val="18"/>
                <w:szCs w:val="18"/>
              </w:rPr>
              <w:t xml:space="preserve"> inflation ≥ 2x risk (%)</w:t>
            </w:r>
          </w:p>
        </w:tc>
        <w:tc>
          <w:tcPr>
            <w:tcW w:w="920" w:type="pct"/>
            <w:tcBorders>
              <w:top w:val="single" w:sz="8" w:space="0" w:color="auto"/>
              <w:left w:val="nil"/>
              <w:bottom w:val="single" w:sz="8" w:space="0" w:color="auto"/>
              <w:right w:val="single" w:sz="8" w:space="0" w:color="auto"/>
            </w:tcBorders>
            <w:shd w:val="clear" w:color="000000" w:fill="1F4E78"/>
            <w:noWrap/>
            <w:tcMar>
              <w:left w:w="28" w:type="dxa"/>
              <w:right w:w="28" w:type="dxa"/>
            </w:tcMar>
            <w:vAlign w:val="center"/>
            <w:hideMark/>
          </w:tcPr>
          <w:p w14:paraId="4C011217" w14:textId="77777777" w:rsidR="00933E57" w:rsidRPr="000D5731" w:rsidRDefault="00933E57" w:rsidP="00A54F0D">
            <w:pPr>
              <w:widowControl/>
              <w:jc w:val="center"/>
              <w:rPr>
                <w:rFonts w:ascii="Times New Roman" w:eastAsia="宋体" w:hAnsi="Times New Roman" w:cs="Times New Roman"/>
                <w:b/>
                <w:bCs/>
                <w:color w:val="FFFFFF"/>
                <w:kern w:val="0"/>
                <w:sz w:val="18"/>
                <w:szCs w:val="18"/>
              </w:rPr>
            </w:pPr>
            <w:proofErr w:type="spellStart"/>
            <w:r w:rsidRPr="000D5731">
              <w:rPr>
                <w:rFonts w:ascii="Times New Roman" w:eastAsia="宋体" w:hAnsi="Times New Roman" w:cs="Times New Roman"/>
                <w:b/>
                <w:bCs/>
                <w:color w:val="FFFFFF"/>
                <w:kern w:val="0"/>
                <w:sz w:val="18"/>
                <w:szCs w:val="18"/>
              </w:rPr>
              <w:t>RelMAE</w:t>
            </w:r>
            <w:proofErr w:type="spellEnd"/>
            <w:r w:rsidRPr="000D5731">
              <w:rPr>
                <w:rFonts w:ascii="Times New Roman" w:eastAsia="宋体" w:hAnsi="Times New Roman" w:cs="Times New Roman"/>
                <w:b/>
                <w:bCs/>
                <w:color w:val="FFFFFF"/>
                <w:kern w:val="0"/>
                <w:sz w:val="18"/>
                <w:szCs w:val="18"/>
              </w:rPr>
              <w:t xml:space="preserve"> inflation ≥ 3x risk (%)</w:t>
            </w:r>
          </w:p>
        </w:tc>
      </w:tr>
      <w:tr w:rsidR="00933E57" w:rsidRPr="000D5731" w14:paraId="7362161E" w14:textId="77777777" w:rsidTr="00A54F0D">
        <w:trPr>
          <w:trHeight w:val="285"/>
        </w:trPr>
        <w:tc>
          <w:tcPr>
            <w:tcW w:w="773" w:type="pct"/>
            <w:tcBorders>
              <w:top w:val="nil"/>
              <w:left w:val="single" w:sz="8" w:space="0" w:color="auto"/>
              <w:bottom w:val="single" w:sz="8" w:space="0" w:color="auto"/>
              <w:right w:val="single" w:sz="8" w:space="0" w:color="auto"/>
            </w:tcBorders>
            <w:noWrap/>
            <w:tcMar>
              <w:left w:w="28" w:type="dxa"/>
              <w:right w:w="28" w:type="dxa"/>
            </w:tcMar>
            <w:vAlign w:val="center"/>
            <w:hideMark/>
          </w:tcPr>
          <w:p w14:paraId="3F71D8F5"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All</w:t>
            </w:r>
          </w:p>
        </w:tc>
        <w:tc>
          <w:tcPr>
            <w:tcW w:w="806" w:type="pct"/>
            <w:tcBorders>
              <w:top w:val="nil"/>
              <w:left w:val="nil"/>
              <w:bottom w:val="single" w:sz="8" w:space="0" w:color="auto"/>
              <w:right w:val="single" w:sz="8" w:space="0" w:color="auto"/>
            </w:tcBorders>
            <w:noWrap/>
            <w:tcMar>
              <w:left w:w="28" w:type="dxa"/>
              <w:right w:w="28" w:type="dxa"/>
            </w:tcMar>
            <w:vAlign w:val="center"/>
            <w:hideMark/>
          </w:tcPr>
          <w:p w14:paraId="0D9D118A"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Lighter support loss</w:t>
            </w:r>
          </w:p>
        </w:tc>
        <w:tc>
          <w:tcPr>
            <w:tcW w:w="834" w:type="pct"/>
            <w:tcBorders>
              <w:top w:val="nil"/>
              <w:left w:val="nil"/>
              <w:bottom w:val="single" w:sz="8" w:space="0" w:color="auto"/>
              <w:right w:val="single" w:sz="8" w:space="0" w:color="auto"/>
            </w:tcBorders>
            <w:noWrap/>
            <w:tcMar>
              <w:left w:w="28" w:type="dxa"/>
              <w:right w:w="28" w:type="dxa"/>
            </w:tcMar>
            <w:vAlign w:val="center"/>
            <w:hideMark/>
          </w:tcPr>
          <w:p w14:paraId="5DB68923"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168</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3EB7F1C9"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1.628</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31C37F57"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35.1</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33F905D9"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23.2</w:t>
            </w:r>
          </w:p>
        </w:tc>
      </w:tr>
      <w:tr w:rsidR="00933E57" w:rsidRPr="000D5731" w14:paraId="4C3916B8" w14:textId="77777777" w:rsidTr="00A54F0D">
        <w:trPr>
          <w:trHeight w:val="285"/>
        </w:trPr>
        <w:tc>
          <w:tcPr>
            <w:tcW w:w="773" w:type="pct"/>
            <w:tcBorders>
              <w:top w:val="nil"/>
              <w:left w:val="single" w:sz="8" w:space="0" w:color="auto"/>
              <w:bottom w:val="single" w:sz="8" w:space="0" w:color="auto"/>
              <w:right w:val="single" w:sz="8" w:space="0" w:color="auto"/>
            </w:tcBorders>
            <w:noWrap/>
            <w:tcMar>
              <w:left w:w="28" w:type="dxa"/>
              <w:right w:w="28" w:type="dxa"/>
            </w:tcMar>
            <w:vAlign w:val="center"/>
            <w:hideMark/>
          </w:tcPr>
          <w:p w14:paraId="14F77742"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All</w:t>
            </w:r>
          </w:p>
        </w:tc>
        <w:tc>
          <w:tcPr>
            <w:tcW w:w="806" w:type="pct"/>
            <w:tcBorders>
              <w:top w:val="nil"/>
              <w:left w:val="nil"/>
              <w:bottom w:val="single" w:sz="8" w:space="0" w:color="auto"/>
              <w:right w:val="single" w:sz="8" w:space="0" w:color="auto"/>
            </w:tcBorders>
            <w:noWrap/>
            <w:tcMar>
              <w:left w:w="28" w:type="dxa"/>
              <w:right w:w="28" w:type="dxa"/>
            </w:tcMar>
            <w:vAlign w:val="center"/>
            <w:hideMark/>
          </w:tcPr>
          <w:p w14:paraId="74A6EA47"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More severe support loss</w:t>
            </w:r>
          </w:p>
        </w:tc>
        <w:tc>
          <w:tcPr>
            <w:tcW w:w="834" w:type="pct"/>
            <w:tcBorders>
              <w:top w:val="nil"/>
              <w:left w:val="nil"/>
              <w:bottom w:val="single" w:sz="8" w:space="0" w:color="auto"/>
              <w:right w:val="single" w:sz="8" w:space="0" w:color="auto"/>
            </w:tcBorders>
            <w:noWrap/>
            <w:tcMar>
              <w:left w:w="28" w:type="dxa"/>
              <w:right w:w="28" w:type="dxa"/>
            </w:tcMar>
            <w:vAlign w:val="center"/>
            <w:hideMark/>
          </w:tcPr>
          <w:p w14:paraId="427694B0"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91</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5A32F72E"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2.305</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70419858"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62.6</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1F7E52BE"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20.9</w:t>
            </w:r>
          </w:p>
        </w:tc>
      </w:tr>
      <w:tr w:rsidR="00933E57" w:rsidRPr="000D5731" w14:paraId="03025AD8" w14:textId="77777777" w:rsidTr="00A54F0D">
        <w:trPr>
          <w:trHeight w:val="285"/>
        </w:trPr>
        <w:tc>
          <w:tcPr>
            <w:tcW w:w="773" w:type="pct"/>
            <w:tcBorders>
              <w:top w:val="nil"/>
              <w:left w:val="single" w:sz="8" w:space="0" w:color="auto"/>
              <w:bottom w:val="single" w:sz="8" w:space="0" w:color="auto"/>
              <w:right w:val="single" w:sz="8" w:space="0" w:color="auto"/>
            </w:tcBorders>
            <w:noWrap/>
            <w:tcMar>
              <w:left w:w="28" w:type="dxa"/>
              <w:right w:w="28" w:type="dxa"/>
            </w:tcMar>
            <w:vAlign w:val="center"/>
            <w:hideMark/>
          </w:tcPr>
          <w:p w14:paraId="45296690" w14:textId="77777777" w:rsidR="00933E57" w:rsidRPr="000D5731" w:rsidRDefault="00933E57" w:rsidP="00A54F0D">
            <w:pPr>
              <w:widowControl/>
              <w:jc w:val="center"/>
              <w:rPr>
                <w:rFonts w:ascii="Times New Roman" w:eastAsia="宋体" w:hAnsi="Times New Roman" w:cs="Times New Roman"/>
                <w:color w:val="000000"/>
                <w:kern w:val="0"/>
                <w:sz w:val="18"/>
                <w:szCs w:val="18"/>
              </w:rPr>
            </w:pPr>
            <w:proofErr w:type="spellStart"/>
            <w:r w:rsidRPr="000D5731">
              <w:rPr>
                <w:rFonts w:ascii="Times New Roman" w:eastAsia="宋体" w:hAnsi="Times New Roman" w:cs="Times New Roman"/>
                <w:color w:val="000000"/>
                <w:kern w:val="0"/>
                <w:sz w:val="18"/>
                <w:szCs w:val="18"/>
              </w:rPr>
              <w:t>MoleculeNet</w:t>
            </w:r>
            <w:proofErr w:type="spellEnd"/>
          </w:p>
        </w:tc>
        <w:tc>
          <w:tcPr>
            <w:tcW w:w="806" w:type="pct"/>
            <w:tcBorders>
              <w:top w:val="nil"/>
              <w:left w:val="nil"/>
              <w:bottom w:val="single" w:sz="8" w:space="0" w:color="auto"/>
              <w:right w:val="single" w:sz="8" w:space="0" w:color="auto"/>
            </w:tcBorders>
            <w:noWrap/>
            <w:tcMar>
              <w:left w:w="28" w:type="dxa"/>
              <w:right w:w="28" w:type="dxa"/>
            </w:tcMar>
            <w:vAlign w:val="center"/>
            <w:hideMark/>
          </w:tcPr>
          <w:p w14:paraId="6050745B"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Lighter support loss</w:t>
            </w:r>
          </w:p>
        </w:tc>
        <w:tc>
          <w:tcPr>
            <w:tcW w:w="834" w:type="pct"/>
            <w:tcBorders>
              <w:top w:val="nil"/>
              <w:left w:val="nil"/>
              <w:bottom w:val="single" w:sz="8" w:space="0" w:color="auto"/>
              <w:right w:val="single" w:sz="8" w:space="0" w:color="auto"/>
            </w:tcBorders>
            <w:noWrap/>
            <w:tcMar>
              <w:left w:w="28" w:type="dxa"/>
              <w:right w:w="28" w:type="dxa"/>
            </w:tcMar>
            <w:vAlign w:val="center"/>
            <w:hideMark/>
          </w:tcPr>
          <w:p w14:paraId="098CC34B"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126</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782CCDDD"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1.77</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69E28B46"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42.1</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3305DD2A"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31</w:t>
            </w:r>
          </w:p>
        </w:tc>
      </w:tr>
      <w:tr w:rsidR="00933E57" w:rsidRPr="000D5731" w14:paraId="334A80E9" w14:textId="77777777" w:rsidTr="00A54F0D">
        <w:trPr>
          <w:trHeight w:val="285"/>
        </w:trPr>
        <w:tc>
          <w:tcPr>
            <w:tcW w:w="773" w:type="pct"/>
            <w:tcBorders>
              <w:top w:val="nil"/>
              <w:left w:val="single" w:sz="8" w:space="0" w:color="auto"/>
              <w:bottom w:val="single" w:sz="8" w:space="0" w:color="auto"/>
              <w:right w:val="single" w:sz="8" w:space="0" w:color="auto"/>
            </w:tcBorders>
            <w:noWrap/>
            <w:tcMar>
              <w:left w:w="28" w:type="dxa"/>
              <w:right w:w="28" w:type="dxa"/>
            </w:tcMar>
            <w:vAlign w:val="center"/>
            <w:hideMark/>
          </w:tcPr>
          <w:p w14:paraId="0C63C7FE" w14:textId="77777777" w:rsidR="00933E57" w:rsidRPr="000D5731" w:rsidRDefault="00933E57" w:rsidP="00A54F0D">
            <w:pPr>
              <w:widowControl/>
              <w:jc w:val="center"/>
              <w:rPr>
                <w:rFonts w:ascii="Times New Roman" w:eastAsia="宋体" w:hAnsi="Times New Roman" w:cs="Times New Roman"/>
                <w:color w:val="000000"/>
                <w:kern w:val="0"/>
                <w:sz w:val="18"/>
                <w:szCs w:val="18"/>
              </w:rPr>
            </w:pPr>
            <w:proofErr w:type="spellStart"/>
            <w:r w:rsidRPr="000D5731">
              <w:rPr>
                <w:rFonts w:ascii="Times New Roman" w:eastAsia="宋体" w:hAnsi="Times New Roman" w:cs="Times New Roman"/>
                <w:color w:val="000000"/>
                <w:kern w:val="0"/>
                <w:sz w:val="18"/>
                <w:szCs w:val="18"/>
              </w:rPr>
              <w:t>MoleculeNet</w:t>
            </w:r>
            <w:proofErr w:type="spellEnd"/>
          </w:p>
        </w:tc>
        <w:tc>
          <w:tcPr>
            <w:tcW w:w="806" w:type="pct"/>
            <w:tcBorders>
              <w:top w:val="nil"/>
              <w:left w:val="nil"/>
              <w:bottom w:val="single" w:sz="8" w:space="0" w:color="auto"/>
              <w:right w:val="single" w:sz="8" w:space="0" w:color="auto"/>
            </w:tcBorders>
            <w:noWrap/>
            <w:tcMar>
              <w:left w:w="28" w:type="dxa"/>
              <w:right w:w="28" w:type="dxa"/>
            </w:tcMar>
            <w:vAlign w:val="center"/>
            <w:hideMark/>
          </w:tcPr>
          <w:p w14:paraId="6AFC259A"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More severe support loss</w:t>
            </w:r>
          </w:p>
        </w:tc>
        <w:tc>
          <w:tcPr>
            <w:tcW w:w="834" w:type="pct"/>
            <w:tcBorders>
              <w:top w:val="nil"/>
              <w:left w:val="nil"/>
              <w:bottom w:val="single" w:sz="8" w:space="0" w:color="auto"/>
              <w:right w:val="single" w:sz="8" w:space="0" w:color="auto"/>
            </w:tcBorders>
            <w:noWrap/>
            <w:tcMar>
              <w:left w:w="28" w:type="dxa"/>
              <w:right w:w="28" w:type="dxa"/>
            </w:tcMar>
            <w:vAlign w:val="center"/>
            <w:hideMark/>
          </w:tcPr>
          <w:p w14:paraId="663B7CF8"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21</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133626B7"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2.558</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1F77EE2F"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66.7</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56F94149"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28.6</w:t>
            </w:r>
          </w:p>
        </w:tc>
      </w:tr>
      <w:tr w:rsidR="00933E57" w:rsidRPr="000D5731" w14:paraId="6AD44299" w14:textId="77777777" w:rsidTr="00A54F0D">
        <w:trPr>
          <w:trHeight w:val="285"/>
        </w:trPr>
        <w:tc>
          <w:tcPr>
            <w:tcW w:w="773" w:type="pct"/>
            <w:tcBorders>
              <w:top w:val="nil"/>
              <w:left w:val="single" w:sz="8" w:space="0" w:color="auto"/>
              <w:bottom w:val="single" w:sz="8" w:space="0" w:color="auto"/>
              <w:right w:val="single" w:sz="8" w:space="0" w:color="auto"/>
            </w:tcBorders>
            <w:noWrap/>
            <w:tcMar>
              <w:left w:w="28" w:type="dxa"/>
              <w:right w:w="28" w:type="dxa"/>
            </w:tcMar>
            <w:vAlign w:val="center"/>
            <w:hideMark/>
          </w:tcPr>
          <w:p w14:paraId="4C4039FE"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ADMET</w:t>
            </w:r>
          </w:p>
        </w:tc>
        <w:tc>
          <w:tcPr>
            <w:tcW w:w="806" w:type="pct"/>
            <w:tcBorders>
              <w:top w:val="nil"/>
              <w:left w:val="nil"/>
              <w:bottom w:val="single" w:sz="8" w:space="0" w:color="auto"/>
              <w:right w:val="single" w:sz="8" w:space="0" w:color="auto"/>
            </w:tcBorders>
            <w:noWrap/>
            <w:tcMar>
              <w:left w:w="28" w:type="dxa"/>
              <w:right w:w="28" w:type="dxa"/>
            </w:tcMar>
            <w:vAlign w:val="center"/>
            <w:hideMark/>
          </w:tcPr>
          <w:p w14:paraId="56FDACD3"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Lighter support loss</w:t>
            </w:r>
          </w:p>
        </w:tc>
        <w:tc>
          <w:tcPr>
            <w:tcW w:w="834" w:type="pct"/>
            <w:tcBorders>
              <w:top w:val="nil"/>
              <w:left w:val="nil"/>
              <w:bottom w:val="single" w:sz="8" w:space="0" w:color="auto"/>
              <w:right w:val="single" w:sz="8" w:space="0" w:color="auto"/>
            </w:tcBorders>
            <w:noWrap/>
            <w:tcMar>
              <w:left w:w="28" w:type="dxa"/>
              <w:right w:w="28" w:type="dxa"/>
            </w:tcMar>
            <w:vAlign w:val="center"/>
            <w:hideMark/>
          </w:tcPr>
          <w:p w14:paraId="5CDBF58A"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42</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7D6795A2"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1.327</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09E45447"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14.3</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1781D4FA"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0</w:t>
            </w:r>
          </w:p>
        </w:tc>
      </w:tr>
      <w:tr w:rsidR="00933E57" w:rsidRPr="000D5731" w14:paraId="2E40963A" w14:textId="77777777" w:rsidTr="00A54F0D">
        <w:trPr>
          <w:trHeight w:val="285"/>
        </w:trPr>
        <w:tc>
          <w:tcPr>
            <w:tcW w:w="773" w:type="pct"/>
            <w:tcBorders>
              <w:top w:val="nil"/>
              <w:left w:val="single" w:sz="8" w:space="0" w:color="auto"/>
              <w:bottom w:val="single" w:sz="8" w:space="0" w:color="auto"/>
              <w:right w:val="single" w:sz="8" w:space="0" w:color="auto"/>
            </w:tcBorders>
            <w:noWrap/>
            <w:tcMar>
              <w:left w:w="28" w:type="dxa"/>
              <w:right w:w="28" w:type="dxa"/>
            </w:tcMar>
            <w:vAlign w:val="center"/>
            <w:hideMark/>
          </w:tcPr>
          <w:p w14:paraId="6C0BE83B"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ADMET</w:t>
            </w:r>
          </w:p>
        </w:tc>
        <w:tc>
          <w:tcPr>
            <w:tcW w:w="806" w:type="pct"/>
            <w:tcBorders>
              <w:top w:val="nil"/>
              <w:left w:val="nil"/>
              <w:bottom w:val="single" w:sz="8" w:space="0" w:color="auto"/>
              <w:right w:val="single" w:sz="8" w:space="0" w:color="auto"/>
            </w:tcBorders>
            <w:noWrap/>
            <w:tcMar>
              <w:left w:w="28" w:type="dxa"/>
              <w:right w:w="28" w:type="dxa"/>
            </w:tcMar>
            <w:vAlign w:val="center"/>
            <w:hideMark/>
          </w:tcPr>
          <w:p w14:paraId="1FD91AFE"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More severe support loss</w:t>
            </w:r>
          </w:p>
        </w:tc>
        <w:tc>
          <w:tcPr>
            <w:tcW w:w="834" w:type="pct"/>
            <w:tcBorders>
              <w:top w:val="nil"/>
              <w:left w:val="nil"/>
              <w:bottom w:val="single" w:sz="8" w:space="0" w:color="auto"/>
              <w:right w:val="single" w:sz="8" w:space="0" w:color="auto"/>
            </w:tcBorders>
            <w:noWrap/>
            <w:tcMar>
              <w:left w:w="28" w:type="dxa"/>
              <w:right w:w="28" w:type="dxa"/>
            </w:tcMar>
            <w:vAlign w:val="center"/>
            <w:hideMark/>
          </w:tcPr>
          <w:p w14:paraId="66ED49FA"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70</w:t>
            </w:r>
          </w:p>
        </w:tc>
        <w:tc>
          <w:tcPr>
            <w:tcW w:w="747" w:type="pct"/>
            <w:tcBorders>
              <w:top w:val="nil"/>
              <w:left w:val="nil"/>
              <w:bottom w:val="single" w:sz="8" w:space="0" w:color="auto"/>
              <w:right w:val="single" w:sz="8" w:space="0" w:color="auto"/>
            </w:tcBorders>
            <w:noWrap/>
            <w:tcMar>
              <w:left w:w="28" w:type="dxa"/>
              <w:right w:w="28" w:type="dxa"/>
            </w:tcMar>
            <w:vAlign w:val="center"/>
            <w:hideMark/>
          </w:tcPr>
          <w:p w14:paraId="383BF581"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2.227</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6F462F1A"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61.4</w:t>
            </w:r>
          </w:p>
        </w:tc>
        <w:tc>
          <w:tcPr>
            <w:tcW w:w="920" w:type="pct"/>
            <w:tcBorders>
              <w:top w:val="nil"/>
              <w:left w:val="nil"/>
              <w:bottom w:val="single" w:sz="8" w:space="0" w:color="auto"/>
              <w:right w:val="single" w:sz="8" w:space="0" w:color="auto"/>
            </w:tcBorders>
            <w:noWrap/>
            <w:tcMar>
              <w:left w:w="28" w:type="dxa"/>
              <w:right w:w="28" w:type="dxa"/>
            </w:tcMar>
            <w:vAlign w:val="center"/>
            <w:hideMark/>
          </w:tcPr>
          <w:p w14:paraId="7289DF18" w14:textId="77777777" w:rsidR="00933E57" w:rsidRPr="000D5731" w:rsidRDefault="00933E57" w:rsidP="00A54F0D">
            <w:pPr>
              <w:widowControl/>
              <w:jc w:val="center"/>
              <w:rPr>
                <w:rFonts w:ascii="Times New Roman" w:eastAsia="宋体" w:hAnsi="Times New Roman" w:cs="Times New Roman"/>
                <w:color w:val="000000"/>
                <w:kern w:val="0"/>
                <w:sz w:val="18"/>
                <w:szCs w:val="18"/>
              </w:rPr>
            </w:pPr>
            <w:r w:rsidRPr="000D5731">
              <w:rPr>
                <w:rFonts w:ascii="Times New Roman" w:eastAsia="宋体" w:hAnsi="Times New Roman" w:cs="Times New Roman"/>
                <w:color w:val="000000"/>
                <w:kern w:val="0"/>
                <w:sz w:val="18"/>
                <w:szCs w:val="18"/>
              </w:rPr>
              <w:t>18.6</w:t>
            </w:r>
          </w:p>
        </w:tc>
      </w:tr>
    </w:tbl>
    <w:p w14:paraId="60797146" w14:textId="77777777" w:rsidR="00933E57" w:rsidRPr="00CB63E4" w:rsidRDefault="00933E57" w:rsidP="0050672C">
      <w:pPr>
        <w:widowControl/>
        <w:adjustRightInd w:val="0"/>
        <w:snapToGrid w:val="0"/>
        <w:spacing w:line="360" w:lineRule="auto"/>
        <w:rPr>
          <w:rFonts w:ascii="Times New Roman" w:hAnsi="Times New Roman" w:cs="Times New Roman"/>
          <w:b/>
          <w:bCs/>
          <w:color w:val="000000" w:themeColor="text1"/>
          <w:kern w:val="0"/>
          <w:sz w:val="24"/>
        </w:rPr>
      </w:pPr>
    </w:p>
    <w:p w14:paraId="5D82F88D" w14:textId="0268A115" w:rsidR="00FE0B28" w:rsidRPr="00964A51" w:rsidRDefault="00152E43" w:rsidP="00152E43">
      <w:pPr>
        <w:keepNext/>
        <w:widowControl/>
        <w:adjustRightInd w:val="0"/>
        <w:snapToGrid w:val="0"/>
        <w:spacing w:line="360" w:lineRule="auto"/>
        <w:rPr>
          <w:rFonts w:ascii="Times New Roman" w:hAnsi="Times New Roman" w:cs="Times New Roman"/>
          <w:color w:val="000000" w:themeColor="text1"/>
          <w:kern w:val="0"/>
          <w:sz w:val="24"/>
        </w:rPr>
      </w:pPr>
      <w:r w:rsidRPr="00964A51">
        <w:rPr>
          <w:rFonts w:ascii="Times New Roman" w:hAnsi="Times New Roman" w:cs="Times New Roman"/>
          <w:b/>
          <w:bCs/>
          <w:color w:val="000000" w:themeColor="text1"/>
          <w:kern w:val="0"/>
          <w:sz w:val="24"/>
        </w:rPr>
        <w:t xml:space="preserve">Supplementary Table </w:t>
      </w:r>
      <w:r w:rsidR="00933E57">
        <w:rPr>
          <w:rFonts w:ascii="Times New Roman" w:hAnsi="Times New Roman" w:cs="Times New Roman" w:hint="eastAsia"/>
          <w:b/>
          <w:bCs/>
          <w:color w:val="000000" w:themeColor="text1"/>
          <w:kern w:val="0"/>
          <w:sz w:val="24"/>
        </w:rPr>
        <w:t>15</w:t>
      </w:r>
      <w:r w:rsidRPr="00964A51">
        <w:rPr>
          <w:rFonts w:ascii="Times New Roman" w:hAnsi="Times New Roman" w:cs="Times New Roman"/>
          <w:b/>
          <w:bCs/>
          <w:color w:val="000000" w:themeColor="text1"/>
          <w:kern w:val="0"/>
          <w:sz w:val="24"/>
        </w:rPr>
        <w:t xml:space="preserve">. Task-level correlations between candidate diagnostic variables and </w:t>
      </w:r>
      <w:proofErr w:type="spellStart"/>
      <w:r w:rsidRPr="00964A51">
        <w:rPr>
          <w:rFonts w:ascii="Times New Roman" w:hAnsi="Times New Roman" w:cs="Times New Roman"/>
          <w:b/>
          <w:bCs/>
          <w:color w:val="000000" w:themeColor="text1"/>
          <w:kern w:val="0"/>
          <w:sz w:val="24"/>
        </w:rPr>
        <w:t>relMAE</w:t>
      </w:r>
      <w:proofErr w:type="spellEnd"/>
      <w:r w:rsidRPr="00964A51">
        <w:rPr>
          <w:rFonts w:ascii="Times New Roman" w:hAnsi="Times New Roman" w:cs="Times New Roman"/>
          <w:b/>
          <w:bCs/>
          <w:color w:val="000000" w:themeColor="text1"/>
          <w:kern w:val="0"/>
          <w:sz w:val="24"/>
        </w:rPr>
        <w:t xml:space="preserve"> inflation in regression tasks. </w:t>
      </w:r>
      <m:oMath>
        <m:r>
          <w:rPr>
            <w:rFonts w:ascii="Cambria Math" w:hAnsi="Cambria Math" w:cs="Times New Roman"/>
            <w:color w:val="000000" w:themeColor="text1"/>
            <w:kern w:val="0"/>
            <w:sz w:val="24"/>
          </w:rPr>
          <m:t>ρ</m:t>
        </m:r>
      </m:oMath>
      <w:r w:rsidRPr="00964A51">
        <w:rPr>
          <w:rFonts w:ascii="Times New Roman" w:hAnsi="Times New Roman" w:cs="Times New Roman"/>
          <w:color w:val="000000" w:themeColor="text1"/>
          <w:kern w:val="0"/>
          <w:sz w:val="24"/>
        </w:rPr>
        <w:t xml:space="preserve"> and </w:t>
      </w:r>
      <m:oMath>
        <m:r>
          <w:rPr>
            <w:rFonts w:ascii="Cambria Math" w:hAnsi="Cambria Math" w:cs="Times New Roman"/>
            <w:color w:val="000000" w:themeColor="text1"/>
            <w:kern w:val="0"/>
            <w:sz w:val="24"/>
          </w:rPr>
          <m:t>p</m:t>
        </m:r>
      </m:oMath>
      <w:r w:rsidRPr="00964A51">
        <w:rPr>
          <w:rFonts w:ascii="Times New Roman" w:hAnsi="Times New Roman" w:cs="Times New Roman"/>
          <w:color w:val="000000" w:themeColor="text1"/>
          <w:kern w:val="0"/>
          <w:sz w:val="24"/>
        </w:rPr>
        <w:t xml:space="preserve"> denote Spearman correlation and the corresponding </w:t>
      </w:r>
      <m:oMath>
        <m:r>
          <w:rPr>
            <w:rFonts w:ascii="Cambria Math" w:hAnsi="Cambria Math" w:cs="Times New Roman"/>
            <w:color w:val="000000" w:themeColor="text1"/>
            <w:kern w:val="0"/>
            <w:sz w:val="24"/>
          </w:rPr>
          <m:t>p</m:t>
        </m:r>
      </m:oMath>
      <w:r w:rsidRPr="00964A51">
        <w:rPr>
          <w:rFonts w:ascii="Times New Roman" w:hAnsi="Times New Roman" w:cs="Times New Roman"/>
          <w:color w:val="000000" w:themeColor="text1"/>
          <w:kern w:val="0"/>
          <w:sz w:val="24"/>
        </w:rPr>
        <w:t>-value. The ΔMAE correlation is included to assess the association between support loss and absolute error growth.</w:t>
      </w:r>
    </w:p>
    <w:tbl>
      <w:tblPr>
        <w:tblStyle w:val="a8"/>
        <w:tblW w:w="0" w:type="auto"/>
        <w:tblInd w:w="250" w:type="dxa"/>
        <w:tblLook w:val="04A0" w:firstRow="1" w:lastRow="0" w:firstColumn="1" w:lastColumn="0" w:noHBand="0" w:noVBand="1"/>
      </w:tblPr>
      <w:tblGrid>
        <w:gridCol w:w="1274"/>
        <w:gridCol w:w="757"/>
        <w:gridCol w:w="3853"/>
        <w:gridCol w:w="1101"/>
        <w:gridCol w:w="953"/>
      </w:tblGrid>
      <w:tr w:rsidR="0050672C" w:rsidRPr="00CB63E4" w14:paraId="50C19DB9" w14:textId="77777777" w:rsidTr="00CB63E4">
        <w:trPr>
          <w:trHeight w:val="285"/>
        </w:trPr>
        <w:tc>
          <w:tcPr>
            <w:tcW w:w="1274" w:type="dxa"/>
            <w:shd w:val="clear" w:color="auto" w:fill="1F4E78"/>
            <w:vAlign w:val="center"/>
            <w:hideMark/>
          </w:tcPr>
          <w:p w14:paraId="04861324" w14:textId="415DC98B" w:rsidR="00FE0B28" w:rsidRPr="00CB63E4" w:rsidRDefault="00FF59DA" w:rsidP="002F0411">
            <w:pPr>
              <w:widowControl/>
              <w:jc w:val="center"/>
              <w:rPr>
                <w:rFonts w:ascii="Times New Roman" w:hAnsi="Times New Roman" w:cs="Times New Roman"/>
                <w:b/>
                <w:bCs/>
                <w:color w:val="FFFFFF" w:themeColor="background1"/>
                <w:kern w:val="0"/>
                <w:sz w:val="18"/>
                <w:szCs w:val="18"/>
              </w:rPr>
            </w:pPr>
            <w:r w:rsidRPr="00CB63E4">
              <w:rPr>
                <w:rFonts w:ascii="Times New Roman" w:hAnsi="Times New Roman" w:cs="Times New Roman"/>
                <w:b/>
                <w:bCs/>
                <w:color w:val="FFFFFF" w:themeColor="background1"/>
                <w:kern w:val="0"/>
                <w:sz w:val="18"/>
                <w:szCs w:val="18"/>
              </w:rPr>
              <w:t>B</w:t>
            </w:r>
            <w:r w:rsidR="00FE0B28" w:rsidRPr="00CB63E4">
              <w:rPr>
                <w:rFonts w:ascii="Times New Roman" w:hAnsi="Times New Roman" w:cs="Times New Roman"/>
                <w:b/>
                <w:bCs/>
                <w:color w:val="FFFFFF" w:themeColor="background1"/>
                <w:kern w:val="0"/>
                <w:sz w:val="18"/>
                <w:szCs w:val="18"/>
              </w:rPr>
              <w:t>enchmark</w:t>
            </w:r>
          </w:p>
        </w:tc>
        <w:tc>
          <w:tcPr>
            <w:tcW w:w="757" w:type="dxa"/>
            <w:shd w:val="clear" w:color="auto" w:fill="1F4E78"/>
            <w:vAlign w:val="center"/>
            <w:hideMark/>
          </w:tcPr>
          <w:p w14:paraId="2698FE5B" w14:textId="212AA860" w:rsidR="00FE0B28" w:rsidRPr="00CB63E4" w:rsidRDefault="000F2083" w:rsidP="002F0411">
            <w:pPr>
              <w:widowControl/>
              <w:jc w:val="center"/>
              <w:rPr>
                <w:rFonts w:ascii="Times New Roman" w:hAnsi="Times New Roman" w:cs="Times New Roman"/>
                <w:b/>
                <w:bCs/>
                <w:color w:val="FFFFFF" w:themeColor="background1"/>
                <w:kern w:val="0"/>
                <w:sz w:val="18"/>
                <w:szCs w:val="18"/>
              </w:rPr>
            </w:pPr>
            <w:r w:rsidRPr="00CB63E4">
              <w:rPr>
                <w:rFonts w:ascii="Times New Roman" w:hAnsi="Times New Roman" w:cs="Times New Roman"/>
                <w:b/>
                <w:bCs/>
                <w:color w:val="FFFFFF" w:themeColor="background1"/>
                <w:kern w:val="0"/>
                <w:sz w:val="18"/>
                <w:szCs w:val="18"/>
              </w:rPr>
              <w:t>T</w:t>
            </w:r>
            <w:r w:rsidR="00FE0B28" w:rsidRPr="00CB63E4">
              <w:rPr>
                <w:rFonts w:ascii="Times New Roman" w:hAnsi="Times New Roman" w:cs="Times New Roman"/>
                <w:b/>
                <w:bCs/>
                <w:color w:val="FFFFFF" w:themeColor="background1"/>
                <w:kern w:val="0"/>
                <w:sz w:val="18"/>
                <w:szCs w:val="18"/>
              </w:rPr>
              <w:t>asks</w:t>
            </w:r>
          </w:p>
        </w:tc>
        <w:tc>
          <w:tcPr>
            <w:tcW w:w="3853" w:type="dxa"/>
            <w:shd w:val="clear" w:color="auto" w:fill="1F4E78"/>
            <w:vAlign w:val="center"/>
            <w:hideMark/>
          </w:tcPr>
          <w:p w14:paraId="5662BE53" w14:textId="5E80DD67" w:rsidR="00FE0B28" w:rsidRPr="00CB63E4" w:rsidRDefault="000F2083" w:rsidP="002F0411">
            <w:pPr>
              <w:widowControl/>
              <w:jc w:val="center"/>
              <w:rPr>
                <w:rFonts w:ascii="Times New Roman" w:hAnsi="Times New Roman" w:cs="Times New Roman"/>
                <w:b/>
                <w:bCs/>
                <w:color w:val="FFFFFF" w:themeColor="background1"/>
                <w:kern w:val="0"/>
                <w:sz w:val="18"/>
                <w:szCs w:val="18"/>
              </w:rPr>
            </w:pPr>
            <w:r w:rsidRPr="00CB63E4">
              <w:rPr>
                <w:rFonts w:ascii="Times New Roman" w:hAnsi="Times New Roman" w:cs="Times New Roman"/>
                <w:b/>
                <w:bCs/>
                <w:color w:val="FFFFFF" w:themeColor="background1"/>
                <w:kern w:val="0"/>
                <w:sz w:val="18"/>
                <w:szCs w:val="18"/>
              </w:rPr>
              <w:t>M</w:t>
            </w:r>
            <w:r w:rsidR="00FE0B28" w:rsidRPr="00CB63E4">
              <w:rPr>
                <w:rFonts w:ascii="Times New Roman" w:hAnsi="Times New Roman" w:cs="Times New Roman"/>
                <w:b/>
                <w:bCs/>
                <w:color w:val="FFFFFF" w:themeColor="background1"/>
                <w:kern w:val="0"/>
                <w:sz w:val="18"/>
                <w:szCs w:val="18"/>
              </w:rPr>
              <w:t>etric</w:t>
            </w:r>
          </w:p>
        </w:tc>
        <w:tc>
          <w:tcPr>
            <w:tcW w:w="1101" w:type="dxa"/>
            <w:shd w:val="clear" w:color="auto" w:fill="1F4E78"/>
            <w:vAlign w:val="center"/>
            <w:hideMark/>
          </w:tcPr>
          <w:p w14:paraId="252C6B1E" w14:textId="53389CD2" w:rsidR="00FE0B28" w:rsidRPr="00CB63E4" w:rsidRDefault="002D2187" w:rsidP="002F0411">
            <w:pPr>
              <w:widowControl/>
              <w:jc w:val="center"/>
              <w:rPr>
                <w:rFonts w:ascii="Times New Roman" w:hAnsi="Times New Roman" w:cs="Times New Roman"/>
                <w:b/>
                <w:bCs/>
                <w:color w:val="FFFFFF" w:themeColor="background1"/>
                <w:kern w:val="0"/>
                <w:sz w:val="18"/>
                <w:szCs w:val="18"/>
              </w:rPr>
            </w:pPr>
            <m:oMathPara>
              <m:oMath>
                <m:r>
                  <m:rPr>
                    <m:sty m:val="bi"/>
                  </m:rPr>
                  <w:rPr>
                    <w:rFonts w:ascii="Cambria Math" w:hAnsi="Cambria Math" w:cs="Times New Roman"/>
                    <w:color w:val="FFFFFF" w:themeColor="background1"/>
                    <w:kern w:val="0"/>
                    <w:sz w:val="18"/>
                    <w:szCs w:val="18"/>
                  </w:rPr>
                  <m:t>ρ</m:t>
                </m:r>
              </m:oMath>
            </m:oMathPara>
          </w:p>
        </w:tc>
        <w:tc>
          <w:tcPr>
            <w:tcW w:w="953" w:type="dxa"/>
            <w:shd w:val="clear" w:color="auto" w:fill="1F4E78"/>
            <w:vAlign w:val="center"/>
            <w:hideMark/>
          </w:tcPr>
          <w:p w14:paraId="34162621" w14:textId="159FA208" w:rsidR="00FE0B28" w:rsidRPr="00CB63E4" w:rsidRDefault="002D2187" w:rsidP="002F0411">
            <w:pPr>
              <w:widowControl/>
              <w:jc w:val="center"/>
              <w:rPr>
                <w:rFonts w:ascii="Times New Roman" w:hAnsi="Times New Roman" w:cs="Times New Roman"/>
                <w:b/>
                <w:bCs/>
                <w:color w:val="FFFFFF" w:themeColor="background1"/>
                <w:kern w:val="0"/>
                <w:sz w:val="18"/>
                <w:szCs w:val="18"/>
              </w:rPr>
            </w:pPr>
            <m:oMathPara>
              <m:oMath>
                <m:r>
                  <m:rPr>
                    <m:sty m:val="bi"/>
                  </m:rPr>
                  <w:rPr>
                    <w:rFonts w:ascii="Cambria Math" w:hAnsi="Cambria Math" w:cs="Times New Roman"/>
                    <w:color w:val="FFFFFF" w:themeColor="background1"/>
                    <w:kern w:val="0"/>
                    <w:sz w:val="18"/>
                    <w:szCs w:val="18"/>
                  </w:rPr>
                  <m:t>p</m:t>
                </m:r>
              </m:oMath>
            </m:oMathPara>
          </w:p>
        </w:tc>
      </w:tr>
      <w:tr w:rsidR="0050672C" w:rsidRPr="00CB63E4" w14:paraId="371255FB" w14:textId="77777777" w:rsidTr="002F0411">
        <w:trPr>
          <w:trHeight w:val="300"/>
        </w:trPr>
        <w:tc>
          <w:tcPr>
            <w:tcW w:w="1274" w:type="dxa"/>
            <w:vAlign w:val="center"/>
            <w:hideMark/>
          </w:tcPr>
          <w:p w14:paraId="2ECCA4F7"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proofErr w:type="spellStart"/>
            <w:r w:rsidRPr="00CB63E4">
              <w:rPr>
                <w:rFonts w:ascii="Times New Roman" w:hAnsi="Times New Roman" w:cs="Times New Roman"/>
                <w:color w:val="000000" w:themeColor="text1"/>
                <w:kern w:val="0"/>
                <w:sz w:val="18"/>
                <w:szCs w:val="18"/>
              </w:rPr>
              <w:t>MoleculeNet</w:t>
            </w:r>
            <w:proofErr w:type="spellEnd"/>
          </w:p>
        </w:tc>
        <w:tc>
          <w:tcPr>
            <w:tcW w:w="757" w:type="dxa"/>
            <w:vAlign w:val="center"/>
            <w:hideMark/>
          </w:tcPr>
          <w:p w14:paraId="7BE15AA3"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21</w:t>
            </w:r>
          </w:p>
        </w:tc>
        <w:tc>
          <w:tcPr>
            <w:tcW w:w="3853" w:type="dxa"/>
            <w:vAlign w:val="center"/>
            <w:hideMark/>
          </w:tcPr>
          <w:p w14:paraId="0F5F274A"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 xml:space="preserve">Support loss vs </w:t>
            </w:r>
            <w:proofErr w:type="spellStart"/>
            <w:r w:rsidRPr="00CB63E4">
              <w:rPr>
                <w:rFonts w:ascii="Times New Roman" w:hAnsi="Times New Roman" w:cs="Times New Roman"/>
                <w:color w:val="000000" w:themeColor="text1"/>
                <w:kern w:val="0"/>
                <w:sz w:val="18"/>
                <w:szCs w:val="18"/>
              </w:rPr>
              <w:t>relMAE</w:t>
            </w:r>
            <w:proofErr w:type="spellEnd"/>
            <w:r w:rsidRPr="00CB63E4">
              <w:rPr>
                <w:rFonts w:ascii="Times New Roman" w:hAnsi="Times New Roman" w:cs="Times New Roman"/>
                <w:color w:val="000000" w:themeColor="text1"/>
                <w:kern w:val="0"/>
                <w:sz w:val="18"/>
                <w:szCs w:val="18"/>
              </w:rPr>
              <w:t xml:space="preserve"> inflation</w:t>
            </w:r>
          </w:p>
        </w:tc>
        <w:tc>
          <w:tcPr>
            <w:tcW w:w="1101" w:type="dxa"/>
            <w:vAlign w:val="center"/>
            <w:hideMark/>
          </w:tcPr>
          <w:p w14:paraId="5072EFF7"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0.351</w:t>
            </w:r>
          </w:p>
        </w:tc>
        <w:tc>
          <w:tcPr>
            <w:tcW w:w="953" w:type="dxa"/>
            <w:vAlign w:val="center"/>
            <w:hideMark/>
          </w:tcPr>
          <w:p w14:paraId="646CA567"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0.1187</w:t>
            </w:r>
          </w:p>
        </w:tc>
      </w:tr>
      <w:tr w:rsidR="0050672C" w:rsidRPr="00CB63E4" w14:paraId="1C3811D8" w14:textId="77777777" w:rsidTr="002F0411">
        <w:trPr>
          <w:trHeight w:val="300"/>
        </w:trPr>
        <w:tc>
          <w:tcPr>
            <w:tcW w:w="1274" w:type="dxa"/>
            <w:vAlign w:val="center"/>
            <w:hideMark/>
          </w:tcPr>
          <w:p w14:paraId="557957CC"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proofErr w:type="spellStart"/>
            <w:r w:rsidRPr="00CB63E4">
              <w:rPr>
                <w:rFonts w:ascii="Times New Roman" w:hAnsi="Times New Roman" w:cs="Times New Roman"/>
                <w:color w:val="000000" w:themeColor="text1"/>
                <w:kern w:val="0"/>
                <w:sz w:val="18"/>
                <w:szCs w:val="18"/>
              </w:rPr>
              <w:t>MoleculeNet</w:t>
            </w:r>
            <w:proofErr w:type="spellEnd"/>
          </w:p>
        </w:tc>
        <w:tc>
          <w:tcPr>
            <w:tcW w:w="757" w:type="dxa"/>
            <w:vAlign w:val="center"/>
            <w:hideMark/>
          </w:tcPr>
          <w:p w14:paraId="2B2A103E"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21</w:t>
            </w:r>
          </w:p>
        </w:tc>
        <w:tc>
          <w:tcPr>
            <w:tcW w:w="3853" w:type="dxa"/>
            <w:vAlign w:val="center"/>
            <w:hideMark/>
          </w:tcPr>
          <w:p w14:paraId="07BDD9EB"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Support loss vs ΔMAE</w:t>
            </w:r>
          </w:p>
        </w:tc>
        <w:tc>
          <w:tcPr>
            <w:tcW w:w="1101" w:type="dxa"/>
            <w:vAlign w:val="center"/>
            <w:hideMark/>
          </w:tcPr>
          <w:p w14:paraId="195DB31D"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0.538</w:t>
            </w:r>
          </w:p>
        </w:tc>
        <w:tc>
          <w:tcPr>
            <w:tcW w:w="953" w:type="dxa"/>
            <w:vAlign w:val="center"/>
            <w:hideMark/>
          </w:tcPr>
          <w:p w14:paraId="3AAD0F7D"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0.0119</w:t>
            </w:r>
          </w:p>
        </w:tc>
      </w:tr>
      <w:tr w:rsidR="0050672C" w:rsidRPr="00CB63E4" w14:paraId="479FEA44" w14:textId="77777777" w:rsidTr="002F0411">
        <w:trPr>
          <w:trHeight w:val="300"/>
        </w:trPr>
        <w:tc>
          <w:tcPr>
            <w:tcW w:w="1274" w:type="dxa"/>
            <w:vAlign w:val="center"/>
            <w:hideMark/>
          </w:tcPr>
          <w:p w14:paraId="2E11405F"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proofErr w:type="spellStart"/>
            <w:r w:rsidRPr="00CB63E4">
              <w:rPr>
                <w:rFonts w:ascii="Times New Roman" w:hAnsi="Times New Roman" w:cs="Times New Roman"/>
                <w:color w:val="000000" w:themeColor="text1"/>
                <w:kern w:val="0"/>
                <w:sz w:val="18"/>
                <w:szCs w:val="18"/>
              </w:rPr>
              <w:t>MoleculeNet</w:t>
            </w:r>
            <w:proofErr w:type="spellEnd"/>
          </w:p>
        </w:tc>
        <w:tc>
          <w:tcPr>
            <w:tcW w:w="757" w:type="dxa"/>
            <w:vAlign w:val="center"/>
            <w:hideMark/>
          </w:tcPr>
          <w:p w14:paraId="66DF3920"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21</w:t>
            </w:r>
          </w:p>
        </w:tc>
        <w:tc>
          <w:tcPr>
            <w:tcW w:w="3853" w:type="dxa"/>
            <w:vAlign w:val="center"/>
            <w:hideMark/>
          </w:tcPr>
          <w:p w14:paraId="1C9F7ECF"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 xml:space="preserve">|Hedges' g| vs </w:t>
            </w:r>
            <w:proofErr w:type="spellStart"/>
            <w:r w:rsidRPr="00CB63E4">
              <w:rPr>
                <w:rFonts w:ascii="Times New Roman" w:hAnsi="Times New Roman" w:cs="Times New Roman"/>
                <w:color w:val="000000" w:themeColor="text1"/>
                <w:kern w:val="0"/>
                <w:sz w:val="18"/>
                <w:szCs w:val="18"/>
              </w:rPr>
              <w:t>relMAE</w:t>
            </w:r>
            <w:proofErr w:type="spellEnd"/>
            <w:r w:rsidRPr="00CB63E4">
              <w:rPr>
                <w:rFonts w:ascii="Times New Roman" w:hAnsi="Times New Roman" w:cs="Times New Roman"/>
                <w:color w:val="000000" w:themeColor="text1"/>
                <w:kern w:val="0"/>
                <w:sz w:val="18"/>
                <w:szCs w:val="18"/>
              </w:rPr>
              <w:t xml:space="preserve"> inflation</w:t>
            </w:r>
          </w:p>
        </w:tc>
        <w:tc>
          <w:tcPr>
            <w:tcW w:w="1101" w:type="dxa"/>
            <w:vAlign w:val="center"/>
            <w:hideMark/>
          </w:tcPr>
          <w:p w14:paraId="2DD07A2E"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0.023</w:t>
            </w:r>
          </w:p>
        </w:tc>
        <w:tc>
          <w:tcPr>
            <w:tcW w:w="953" w:type="dxa"/>
            <w:vAlign w:val="center"/>
            <w:hideMark/>
          </w:tcPr>
          <w:p w14:paraId="31EC0C48"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0.9199</w:t>
            </w:r>
          </w:p>
        </w:tc>
      </w:tr>
      <w:tr w:rsidR="0050672C" w:rsidRPr="00CB63E4" w14:paraId="706E6B39" w14:textId="77777777" w:rsidTr="002F0411">
        <w:trPr>
          <w:trHeight w:val="300"/>
        </w:trPr>
        <w:tc>
          <w:tcPr>
            <w:tcW w:w="1274" w:type="dxa"/>
            <w:vAlign w:val="center"/>
            <w:hideMark/>
          </w:tcPr>
          <w:p w14:paraId="5CEB10D0"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proofErr w:type="spellStart"/>
            <w:r w:rsidRPr="00CB63E4">
              <w:rPr>
                <w:rFonts w:ascii="Times New Roman" w:hAnsi="Times New Roman" w:cs="Times New Roman"/>
                <w:color w:val="000000" w:themeColor="text1"/>
                <w:kern w:val="0"/>
                <w:sz w:val="18"/>
                <w:szCs w:val="18"/>
              </w:rPr>
              <w:t>MoleculeNet</w:t>
            </w:r>
            <w:proofErr w:type="spellEnd"/>
          </w:p>
        </w:tc>
        <w:tc>
          <w:tcPr>
            <w:tcW w:w="757" w:type="dxa"/>
            <w:vAlign w:val="center"/>
            <w:hideMark/>
          </w:tcPr>
          <w:p w14:paraId="40F0DACC"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21</w:t>
            </w:r>
          </w:p>
        </w:tc>
        <w:tc>
          <w:tcPr>
            <w:tcW w:w="3853" w:type="dxa"/>
            <w:vAlign w:val="center"/>
            <w:hideMark/>
          </w:tcPr>
          <w:p w14:paraId="730698C7"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 xml:space="preserve">KS vs </w:t>
            </w:r>
            <w:proofErr w:type="spellStart"/>
            <w:r w:rsidRPr="00CB63E4">
              <w:rPr>
                <w:rFonts w:ascii="Times New Roman" w:hAnsi="Times New Roman" w:cs="Times New Roman"/>
                <w:color w:val="000000" w:themeColor="text1"/>
                <w:kern w:val="0"/>
                <w:sz w:val="18"/>
                <w:szCs w:val="18"/>
              </w:rPr>
              <w:t>relMAE</w:t>
            </w:r>
            <w:proofErr w:type="spellEnd"/>
            <w:r w:rsidRPr="00CB63E4">
              <w:rPr>
                <w:rFonts w:ascii="Times New Roman" w:hAnsi="Times New Roman" w:cs="Times New Roman"/>
                <w:color w:val="000000" w:themeColor="text1"/>
                <w:kern w:val="0"/>
                <w:sz w:val="18"/>
                <w:szCs w:val="18"/>
              </w:rPr>
              <w:t xml:space="preserve"> inflation</w:t>
            </w:r>
          </w:p>
        </w:tc>
        <w:tc>
          <w:tcPr>
            <w:tcW w:w="1101" w:type="dxa"/>
            <w:vAlign w:val="center"/>
            <w:hideMark/>
          </w:tcPr>
          <w:p w14:paraId="5F1FEDDF"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0.194</w:t>
            </w:r>
          </w:p>
        </w:tc>
        <w:tc>
          <w:tcPr>
            <w:tcW w:w="953" w:type="dxa"/>
            <w:vAlign w:val="center"/>
            <w:hideMark/>
          </w:tcPr>
          <w:p w14:paraId="66F56D49"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0.3989</w:t>
            </w:r>
          </w:p>
        </w:tc>
      </w:tr>
      <w:tr w:rsidR="0050672C" w:rsidRPr="00CB63E4" w14:paraId="484523D1" w14:textId="77777777" w:rsidTr="002F0411">
        <w:trPr>
          <w:trHeight w:val="300"/>
        </w:trPr>
        <w:tc>
          <w:tcPr>
            <w:tcW w:w="1274" w:type="dxa"/>
            <w:vAlign w:val="center"/>
            <w:hideMark/>
          </w:tcPr>
          <w:p w14:paraId="57146483"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proofErr w:type="spellStart"/>
            <w:r w:rsidRPr="00CB63E4">
              <w:rPr>
                <w:rFonts w:ascii="Times New Roman" w:hAnsi="Times New Roman" w:cs="Times New Roman"/>
                <w:color w:val="000000" w:themeColor="text1"/>
                <w:kern w:val="0"/>
                <w:sz w:val="18"/>
                <w:szCs w:val="18"/>
              </w:rPr>
              <w:t>MoleculeNet</w:t>
            </w:r>
            <w:proofErr w:type="spellEnd"/>
          </w:p>
        </w:tc>
        <w:tc>
          <w:tcPr>
            <w:tcW w:w="757" w:type="dxa"/>
            <w:vAlign w:val="center"/>
            <w:hideMark/>
          </w:tcPr>
          <w:p w14:paraId="4460EAB4"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21</w:t>
            </w:r>
          </w:p>
        </w:tc>
        <w:tc>
          <w:tcPr>
            <w:tcW w:w="3853" w:type="dxa"/>
            <w:vAlign w:val="center"/>
            <w:hideMark/>
          </w:tcPr>
          <w:p w14:paraId="5518D18F"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 xml:space="preserve">Output-scale change vs </w:t>
            </w:r>
            <w:proofErr w:type="spellStart"/>
            <w:r w:rsidRPr="00CB63E4">
              <w:rPr>
                <w:rFonts w:ascii="Times New Roman" w:hAnsi="Times New Roman" w:cs="Times New Roman"/>
                <w:color w:val="000000" w:themeColor="text1"/>
                <w:kern w:val="0"/>
                <w:sz w:val="18"/>
                <w:szCs w:val="18"/>
              </w:rPr>
              <w:t>relMAE</w:t>
            </w:r>
            <w:proofErr w:type="spellEnd"/>
            <w:r w:rsidRPr="00CB63E4">
              <w:rPr>
                <w:rFonts w:ascii="Times New Roman" w:hAnsi="Times New Roman" w:cs="Times New Roman"/>
                <w:color w:val="000000" w:themeColor="text1"/>
                <w:kern w:val="0"/>
                <w:sz w:val="18"/>
                <w:szCs w:val="18"/>
              </w:rPr>
              <w:t xml:space="preserve"> inflation</w:t>
            </w:r>
          </w:p>
        </w:tc>
        <w:tc>
          <w:tcPr>
            <w:tcW w:w="1101" w:type="dxa"/>
            <w:vAlign w:val="center"/>
            <w:hideMark/>
          </w:tcPr>
          <w:p w14:paraId="342C3072"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0.548</w:t>
            </w:r>
          </w:p>
        </w:tc>
        <w:tc>
          <w:tcPr>
            <w:tcW w:w="953" w:type="dxa"/>
            <w:vAlign w:val="center"/>
            <w:hideMark/>
          </w:tcPr>
          <w:p w14:paraId="1E4B428F"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0.0101</w:t>
            </w:r>
          </w:p>
        </w:tc>
      </w:tr>
      <w:tr w:rsidR="0050672C" w:rsidRPr="00CB63E4" w14:paraId="55905730" w14:textId="77777777" w:rsidTr="002F0411">
        <w:trPr>
          <w:trHeight w:val="300"/>
        </w:trPr>
        <w:tc>
          <w:tcPr>
            <w:tcW w:w="1274" w:type="dxa"/>
            <w:vAlign w:val="center"/>
            <w:hideMark/>
          </w:tcPr>
          <w:p w14:paraId="1F7BE7CA"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ADMET</w:t>
            </w:r>
          </w:p>
        </w:tc>
        <w:tc>
          <w:tcPr>
            <w:tcW w:w="757" w:type="dxa"/>
            <w:vAlign w:val="center"/>
            <w:hideMark/>
          </w:tcPr>
          <w:p w14:paraId="6F77E235"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16</w:t>
            </w:r>
          </w:p>
        </w:tc>
        <w:tc>
          <w:tcPr>
            <w:tcW w:w="3853" w:type="dxa"/>
            <w:vAlign w:val="center"/>
            <w:hideMark/>
          </w:tcPr>
          <w:p w14:paraId="652E0370"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 xml:space="preserve">Support loss vs </w:t>
            </w:r>
            <w:proofErr w:type="spellStart"/>
            <w:r w:rsidRPr="00CB63E4">
              <w:rPr>
                <w:rFonts w:ascii="Times New Roman" w:hAnsi="Times New Roman" w:cs="Times New Roman"/>
                <w:color w:val="000000" w:themeColor="text1"/>
                <w:kern w:val="0"/>
                <w:sz w:val="18"/>
                <w:szCs w:val="18"/>
              </w:rPr>
              <w:t>relMAE</w:t>
            </w:r>
            <w:proofErr w:type="spellEnd"/>
            <w:r w:rsidRPr="00CB63E4">
              <w:rPr>
                <w:rFonts w:ascii="Times New Roman" w:hAnsi="Times New Roman" w:cs="Times New Roman"/>
                <w:color w:val="000000" w:themeColor="text1"/>
                <w:kern w:val="0"/>
                <w:sz w:val="18"/>
                <w:szCs w:val="18"/>
              </w:rPr>
              <w:t xml:space="preserve"> inflation</w:t>
            </w:r>
          </w:p>
        </w:tc>
        <w:tc>
          <w:tcPr>
            <w:tcW w:w="1101" w:type="dxa"/>
            <w:vAlign w:val="center"/>
            <w:hideMark/>
          </w:tcPr>
          <w:p w14:paraId="3146C704"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0.782</w:t>
            </w:r>
          </w:p>
        </w:tc>
        <w:tc>
          <w:tcPr>
            <w:tcW w:w="953" w:type="dxa"/>
            <w:vAlign w:val="center"/>
            <w:hideMark/>
          </w:tcPr>
          <w:p w14:paraId="034DAA71"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0.0003</w:t>
            </w:r>
          </w:p>
        </w:tc>
      </w:tr>
      <w:tr w:rsidR="0050672C" w:rsidRPr="00CB63E4" w14:paraId="05323439" w14:textId="77777777" w:rsidTr="002F0411">
        <w:trPr>
          <w:trHeight w:val="300"/>
        </w:trPr>
        <w:tc>
          <w:tcPr>
            <w:tcW w:w="1274" w:type="dxa"/>
            <w:vAlign w:val="center"/>
            <w:hideMark/>
          </w:tcPr>
          <w:p w14:paraId="1D6DB7BD"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ADMET</w:t>
            </w:r>
          </w:p>
        </w:tc>
        <w:tc>
          <w:tcPr>
            <w:tcW w:w="757" w:type="dxa"/>
            <w:vAlign w:val="center"/>
            <w:hideMark/>
          </w:tcPr>
          <w:p w14:paraId="152E9C56"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16</w:t>
            </w:r>
          </w:p>
        </w:tc>
        <w:tc>
          <w:tcPr>
            <w:tcW w:w="3853" w:type="dxa"/>
            <w:vAlign w:val="center"/>
            <w:hideMark/>
          </w:tcPr>
          <w:p w14:paraId="38305E71"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Support loss vs ΔMAE</w:t>
            </w:r>
          </w:p>
        </w:tc>
        <w:tc>
          <w:tcPr>
            <w:tcW w:w="1101" w:type="dxa"/>
            <w:vAlign w:val="center"/>
            <w:hideMark/>
          </w:tcPr>
          <w:p w14:paraId="32A3EEAB"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0.732</w:t>
            </w:r>
          </w:p>
        </w:tc>
        <w:tc>
          <w:tcPr>
            <w:tcW w:w="953" w:type="dxa"/>
            <w:vAlign w:val="center"/>
            <w:hideMark/>
          </w:tcPr>
          <w:p w14:paraId="5607D2E3"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0.0013</w:t>
            </w:r>
          </w:p>
        </w:tc>
      </w:tr>
      <w:tr w:rsidR="0050672C" w:rsidRPr="00CB63E4" w14:paraId="78E1B06B" w14:textId="77777777" w:rsidTr="002F0411">
        <w:trPr>
          <w:trHeight w:val="300"/>
        </w:trPr>
        <w:tc>
          <w:tcPr>
            <w:tcW w:w="1274" w:type="dxa"/>
            <w:vAlign w:val="center"/>
            <w:hideMark/>
          </w:tcPr>
          <w:p w14:paraId="720A1571"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ADMET</w:t>
            </w:r>
          </w:p>
        </w:tc>
        <w:tc>
          <w:tcPr>
            <w:tcW w:w="757" w:type="dxa"/>
            <w:vAlign w:val="center"/>
            <w:hideMark/>
          </w:tcPr>
          <w:p w14:paraId="07E58CBC"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16</w:t>
            </w:r>
          </w:p>
        </w:tc>
        <w:tc>
          <w:tcPr>
            <w:tcW w:w="3853" w:type="dxa"/>
            <w:vAlign w:val="center"/>
            <w:hideMark/>
          </w:tcPr>
          <w:p w14:paraId="0C54C55E"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 xml:space="preserve">|Hedges' g| vs </w:t>
            </w:r>
            <w:proofErr w:type="spellStart"/>
            <w:r w:rsidRPr="00CB63E4">
              <w:rPr>
                <w:rFonts w:ascii="Times New Roman" w:hAnsi="Times New Roman" w:cs="Times New Roman"/>
                <w:color w:val="000000" w:themeColor="text1"/>
                <w:kern w:val="0"/>
                <w:sz w:val="18"/>
                <w:szCs w:val="18"/>
              </w:rPr>
              <w:t>relMAE</w:t>
            </w:r>
            <w:proofErr w:type="spellEnd"/>
            <w:r w:rsidRPr="00CB63E4">
              <w:rPr>
                <w:rFonts w:ascii="Times New Roman" w:hAnsi="Times New Roman" w:cs="Times New Roman"/>
                <w:color w:val="000000" w:themeColor="text1"/>
                <w:kern w:val="0"/>
                <w:sz w:val="18"/>
                <w:szCs w:val="18"/>
              </w:rPr>
              <w:t xml:space="preserve"> inflation</w:t>
            </w:r>
          </w:p>
        </w:tc>
        <w:tc>
          <w:tcPr>
            <w:tcW w:w="1101" w:type="dxa"/>
            <w:vAlign w:val="center"/>
            <w:hideMark/>
          </w:tcPr>
          <w:p w14:paraId="2B245C0D"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0.609</w:t>
            </w:r>
          </w:p>
        </w:tc>
        <w:tc>
          <w:tcPr>
            <w:tcW w:w="953" w:type="dxa"/>
            <w:vAlign w:val="center"/>
            <w:hideMark/>
          </w:tcPr>
          <w:p w14:paraId="2CEC1B57"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0.0123</w:t>
            </w:r>
          </w:p>
        </w:tc>
      </w:tr>
      <w:tr w:rsidR="0050672C" w:rsidRPr="00CB63E4" w14:paraId="7384A893" w14:textId="77777777" w:rsidTr="002F0411">
        <w:trPr>
          <w:trHeight w:val="300"/>
        </w:trPr>
        <w:tc>
          <w:tcPr>
            <w:tcW w:w="1274" w:type="dxa"/>
            <w:vAlign w:val="center"/>
            <w:hideMark/>
          </w:tcPr>
          <w:p w14:paraId="0539F495"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ADMET</w:t>
            </w:r>
          </w:p>
        </w:tc>
        <w:tc>
          <w:tcPr>
            <w:tcW w:w="757" w:type="dxa"/>
            <w:vAlign w:val="center"/>
            <w:hideMark/>
          </w:tcPr>
          <w:p w14:paraId="1B68A769"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16</w:t>
            </w:r>
          </w:p>
        </w:tc>
        <w:tc>
          <w:tcPr>
            <w:tcW w:w="3853" w:type="dxa"/>
            <w:vAlign w:val="center"/>
            <w:hideMark/>
          </w:tcPr>
          <w:p w14:paraId="18EB323A"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 xml:space="preserve">KS vs </w:t>
            </w:r>
            <w:proofErr w:type="spellStart"/>
            <w:r w:rsidRPr="00CB63E4">
              <w:rPr>
                <w:rFonts w:ascii="Times New Roman" w:hAnsi="Times New Roman" w:cs="Times New Roman"/>
                <w:color w:val="000000" w:themeColor="text1"/>
                <w:kern w:val="0"/>
                <w:sz w:val="18"/>
                <w:szCs w:val="18"/>
              </w:rPr>
              <w:t>relMAE</w:t>
            </w:r>
            <w:proofErr w:type="spellEnd"/>
            <w:r w:rsidRPr="00CB63E4">
              <w:rPr>
                <w:rFonts w:ascii="Times New Roman" w:hAnsi="Times New Roman" w:cs="Times New Roman"/>
                <w:color w:val="000000" w:themeColor="text1"/>
                <w:kern w:val="0"/>
                <w:sz w:val="18"/>
                <w:szCs w:val="18"/>
              </w:rPr>
              <w:t xml:space="preserve"> inflation</w:t>
            </w:r>
          </w:p>
        </w:tc>
        <w:tc>
          <w:tcPr>
            <w:tcW w:w="1101" w:type="dxa"/>
            <w:vAlign w:val="center"/>
            <w:hideMark/>
          </w:tcPr>
          <w:p w14:paraId="11F28EB3"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0.544</w:t>
            </w:r>
          </w:p>
        </w:tc>
        <w:tc>
          <w:tcPr>
            <w:tcW w:w="953" w:type="dxa"/>
            <w:vAlign w:val="center"/>
            <w:hideMark/>
          </w:tcPr>
          <w:p w14:paraId="21592246"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0.0293</w:t>
            </w:r>
          </w:p>
        </w:tc>
      </w:tr>
      <w:tr w:rsidR="0050672C" w:rsidRPr="00CB63E4" w14:paraId="208404CF" w14:textId="77777777" w:rsidTr="002F0411">
        <w:trPr>
          <w:trHeight w:val="300"/>
        </w:trPr>
        <w:tc>
          <w:tcPr>
            <w:tcW w:w="1274" w:type="dxa"/>
            <w:vAlign w:val="center"/>
            <w:hideMark/>
          </w:tcPr>
          <w:p w14:paraId="434404BD"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ADMET</w:t>
            </w:r>
          </w:p>
        </w:tc>
        <w:tc>
          <w:tcPr>
            <w:tcW w:w="757" w:type="dxa"/>
            <w:vAlign w:val="center"/>
            <w:hideMark/>
          </w:tcPr>
          <w:p w14:paraId="2376B1E2"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16</w:t>
            </w:r>
          </w:p>
        </w:tc>
        <w:tc>
          <w:tcPr>
            <w:tcW w:w="3853" w:type="dxa"/>
            <w:vAlign w:val="center"/>
            <w:hideMark/>
          </w:tcPr>
          <w:p w14:paraId="1B93022C"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 xml:space="preserve">Output-scale change vs </w:t>
            </w:r>
            <w:proofErr w:type="spellStart"/>
            <w:r w:rsidRPr="00CB63E4">
              <w:rPr>
                <w:rFonts w:ascii="Times New Roman" w:hAnsi="Times New Roman" w:cs="Times New Roman"/>
                <w:color w:val="000000" w:themeColor="text1"/>
                <w:kern w:val="0"/>
                <w:sz w:val="18"/>
                <w:szCs w:val="18"/>
              </w:rPr>
              <w:t>relMAE</w:t>
            </w:r>
            <w:proofErr w:type="spellEnd"/>
            <w:r w:rsidRPr="00CB63E4">
              <w:rPr>
                <w:rFonts w:ascii="Times New Roman" w:hAnsi="Times New Roman" w:cs="Times New Roman"/>
                <w:color w:val="000000" w:themeColor="text1"/>
                <w:kern w:val="0"/>
                <w:sz w:val="18"/>
                <w:szCs w:val="18"/>
              </w:rPr>
              <w:t xml:space="preserve"> inflation</w:t>
            </w:r>
          </w:p>
        </w:tc>
        <w:tc>
          <w:tcPr>
            <w:tcW w:w="1101" w:type="dxa"/>
            <w:vAlign w:val="center"/>
            <w:hideMark/>
          </w:tcPr>
          <w:p w14:paraId="71C70801"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0.041</w:t>
            </w:r>
          </w:p>
        </w:tc>
        <w:tc>
          <w:tcPr>
            <w:tcW w:w="953" w:type="dxa"/>
            <w:vAlign w:val="center"/>
            <w:hideMark/>
          </w:tcPr>
          <w:p w14:paraId="7B8B0D23" w14:textId="77777777" w:rsidR="00FE0B28" w:rsidRPr="00CB63E4" w:rsidRDefault="00FE0B28" w:rsidP="002F0411">
            <w:pPr>
              <w:widowControl/>
              <w:jc w:val="center"/>
              <w:rPr>
                <w:rFonts w:ascii="Times New Roman" w:hAnsi="Times New Roman" w:cs="Times New Roman"/>
                <w:color w:val="000000" w:themeColor="text1"/>
                <w:kern w:val="0"/>
                <w:sz w:val="18"/>
                <w:szCs w:val="18"/>
              </w:rPr>
            </w:pPr>
            <w:r w:rsidRPr="00CB63E4">
              <w:rPr>
                <w:rFonts w:ascii="Times New Roman" w:hAnsi="Times New Roman" w:cs="Times New Roman"/>
                <w:color w:val="000000" w:themeColor="text1"/>
                <w:kern w:val="0"/>
                <w:sz w:val="18"/>
                <w:szCs w:val="18"/>
              </w:rPr>
              <w:t>0.8797</w:t>
            </w:r>
          </w:p>
        </w:tc>
      </w:tr>
    </w:tbl>
    <w:p w14:paraId="6BE23BE5" w14:textId="77777777" w:rsidR="0050672C" w:rsidRPr="00CB63E4" w:rsidRDefault="0050672C" w:rsidP="0050672C">
      <w:pPr>
        <w:widowControl/>
        <w:adjustRightInd w:val="0"/>
        <w:snapToGrid w:val="0"/>
        <w:spacing w:line="360" w:lineRule="auto"/>
        <w:rPr>
          <w:rFonts w:ascii="Times New Roman" w:hAnsi="Times New Roman" w:cs="Times New Roman"/>
          <w:b/>
          <w:bCs/>
          <w:color w:val="000000" w:themeColor="text1"/>
          <w:kern w:val="0"/>
          <w:sz w:val="24"/>
        </w:rPr>
      </w:pPr>
    </w:p>
    <w:p w14:paraId="72F1266C" w14:textId="5CD6E8B0" w:rsidR="003E4025" w:rsidRPr="003E4025" w:rsidRDefault="003E4025" w:rsidP="003E4025">
      <w:pPr>
        <w:widowControl/>
        <w:adjustRightInd w:val="0"/>
        <w:snapToGrid w:val="0"/>
        <w:spacing w:line="360" w:lineRule="auto"/>
        <w:rPr>
          <w:rFonts w:ascii="Times New Roman" w:hAnsi="Times New Roman" w:cs="Times New Roman"/>
          <w:b/>
          <w:bCs/>
          <w:color w:val="000000" w:themeColor="text1"/>
          <w:kern w:val="0"/>
          <w:sz w:val="24"/>
        </w:rPr>
      </w:pPr>
      <w:r w:rsidRPr="003E4025">
        <w:rPr>
          <w:rFonts w:ascii="Times New Roman" w:hAnsi="Times New Roman" w:cs="Times New Roman"/>
          <w:b/>
          <w:bCs/>
          <w:color w:val="000000" w:themeColor="text1"/>
          <w:kern w:val="0"/>
          <w:sz w:val="24"/>
        </w:rPr>
        <w:t xml:space="preserve">Supplementary Note </w:t>
      </w:r>
      <w:r>
        <w:rPr>
          <w:rFonts w:ascii="Times New Roman" w:hAnsi="Times New Roman" w:cs="Times New Roman" w:hint="eastAsia"/>
          <w:b/>
          <w:bCs/>
          <w:color w:val="000000" w:themeColor="text1"/>
          <w:kern w:val="0"/>
          <w:sz w:val="24"/>
        </w:rPr>
        <w:t>3</w:t>
      </w:r>
      <w:r w:rsidRPr="003E4025">
        <w:rPr>
          <w:rFonts w:ascii="Times New Roman" w:hAnsi="Times New Roman" w:cs="Times New Roman"/>
          <w:b/>
          <w:bCs/>
          <w:color w:val="000000" w:themeColor="text1"/>
          <w:kern w:val="0"/>
          <w:sz w:val="24"/>
        </w:rPr>
        <w:t>. Empty-Scaffold-Aware repair procedure</w:t>
      </w:r>
    </w:p>
    <w:p w14:paraId="285BE383" w14:textId="4ED7EC6D" w:rsidR="003E4025" w:rsidRPr="003E4025" w:rsidRDefault="003E4025" w:rsidP="003E4025">
      <w:pPr>
        <w:widowControl/>
        <w:adjustRightInd w:val="0"/>
        <w:snapToGrid w:val="0"/>
        <w:spacing w:line="360" w:lineRule="auto"/>
        <w:rPr>
          <w:rFonts w:ascii="Times New Roman" w:hAnsi="Times New Roman" w:cs="Times New Roman"/>
          <w:color w:val="000000" w:themeColor="text1"/>
          <w:kern w:val="0"/>
          <w:sz w:val="24"/>
        </w:rPr>
      </w:pPr>
      <w:r w:rsidRPr="003E4025">
        <w:rPr>
          <w:rFonts w:ascii="Times New Roman" w:hAnsi="Times New Roman" w:cs="Times New Roman"/>
          <w:color w:val="000000" w:themeColor="text1"/>
          <w:kern w:val="0"/>
          <w:sz w:val="24"/>
        </w:rPr>
        <w:lastRenderedPageBreak/>
        <w:t xml:space="preserve">This note describes the Empty-Scaffold-Aware repair procedure used to adjust no-scaffold allocation after an initial leakage-aware split. ESA is a post-split repair layer targeted specifically at no-scaffold molecules. It does not reconstruct the full split or replace leakage-aware splitters such as </w:t>
      </w:r>
      <w:proofErr w:type="spellStart"/>
      <w:r w:rsidRPr="003E4025">
        <w:rPr>
          <w:rFonts w:ascii="Times New Roman" w:hAnsi="Times New Roman" w:cs="Times New Roman"/>
          <w:color w:val="000000" w:themeColor="text1"/>
          <w:kern w:val="0"/>
          <w:sz w:val="24"/>
        </w:rPr>
        <w:t>DataSAIL</w:t>
      </w:r>
      <w:proofErr w:type="spellEnd"/>
      <w:r w:rsidRPr="003E4025">
        <w:rPr>
          <w:rFonts w:ascii="Times New Roman" w:hAnsi="Times New Roman" w:cs="Times New Roman"/>
          <w:color w:val="000000" w:themeColor="text1"/>
          <w:kern w:val="0"/>
          <w:sz w:val="24"/>
        </w:rPr>
        <w:t>. Instead, it keeps the scaffold-bearing split backbone fixed and reassigns only no-scaffold molecules</w:t>
      </w:r>
      <w:r w:rsidR="005E7E72">
        <w:rPr>
          <w:rFonts w:ascii="Times New Roman" w:hAnsi="Times New Roman" w:cs="Times New Roman" w:hint="eastAsia"/>
          <w:color w:val="000000" w:themeColor="text1"/>
          <w:kern w:val="0"/>
          <w:sz w:val="24"/>
        </w:rPr>
        <w:t xml:space="preserve"> (</w:t>
      </w:r>
      <w:r w:rsidR="005E7E72" w:rsidRPr="005E7E72">
        <w:rPr>
          <w:rFonts w:ascii="Times New Roman" w:hAnsi="Times New Roman" w:cs="Times New Roman"/>
          <w:color w:val="000000" w:themeColor="text1"/>
          <w:kern w:val="0"/>
          <w:sz w:val="24"/>
        </w:rPr>
        <w:t>Supplementary Algorithm 1</w:t>
      </w:r>
      <w:r w:rsidR="005E7E72">
        <w:rPr>
          <w:rFonts w:ascii="Times New Roman" w:hAnsi="Times New Roman" w:cs="Times New Roman" w:hint="eastAsia"/>
          <w:color w:val="000000" w:themeColor="text1"/>
          <w:kern w:val="0"/>
          <w:sz w:val="24"/>
        </w:rPr>
        <w:t>)</w:t>
      </w:r>
      <w:r w:rsidRPr="003E4025">
        <w:rPr>
          <w:rFonts w:ascii="Times New Roman" w:hAnsi="Times New Roman" w:cs="Times New Roman"/>
          <w:color w:val="000000" w:themeColor="text1"/>
          <w:kern w:val="0"/>
          <w:sz w:val="24"/>
        </w:rPr>
        <w:t>.</w:t>
      </w:r>
    </w:p>
    <w:p w14:paraId="6833F02E" w14:textId="77777777" w:rsidR="003E4025" w:rsidRPr="003E4025" w:rsidRDefault="003E4025" w:rsidP="00911029">
      <w:pPr>
        <w:widowControl/>
        <w:adjustRightInd w:val="0"/>
        <w:snapToGrid w:val="0"/>
        <w:spacing w:line="360" w:lineRule="auto"/>
        <w:ind w:firstLineChars="200" w:firstLine="480"/>
        <w:rPr>
          <w:rFonts w:ascii="Times New Roman" w:hAnsi="Times New Roman" w:cs="Times New Roman"/>
          <w:color w:val="000000" w:themeColor="text1"/>
          <w:kern w:val="0"/>
          <w:sz w:val="24"/>
        </w:rPr>
      </w:pPr>
      <w:r w:rsidRPr="003E4025">
        <w:rPr>
          <w:rFonts w:ascii="Times New Roman" w:hAnsi="Times New Roman" w:cs="Times New Roman"/>
          <w:color w:val="000000" w:themeColor="text1"/>
          <w:kern w:val="0"/>
          <w:sz w:val="24"/>
        </w:rPr>
        <w:t xml:space="preserve">For each dataset, scaffold-bearing molecules were first assigned to training, validation, and test branches using </w:t>
      </w:r>
      <w:proofErr w:type="spellStart"/>
      <w:r w:rsidRPr="003E4025">
        <w:rPr>
          <w:rFonts w:ascii="Times New Roman" w:hAnsi="Times New Roman" w:cs="Times New Roman"/>
          <w:color w:val="000000" w:themeColor="text1"/>
          <w:kern w:val="0"/>
          <w:sz w:val="24"/>
        </w:rPr>
        <w:t>DataSAIL</w:t>
      </w:r>
      <w:proofErr w:type="spellEnd"/>
      <w:r w:rsidRPr="003E4025">
        <w:rPr>
          <w:rFonts w:ascii="Times New Roman" w:hAnsi="Times New Roman" w:cs="Times New Roman"/>
          <w:color w:val="000000" w:themeColor="text1"/>
          <w:kern w:val="0"/>
          <w:sz w:val="24"/>
        </w:rPr>
        <w:t>. These assignments were fixed throughout ESA repair. No-scaffold molecules were represented by 2048-bit Morgan fingerprints and partitioned into local micro-clusters using a Tanimoto similarity threshold of 0.40. Molecules without valid fingerprints were assigned as singleton groups.</w:t>
      </w:r>
    </w:p>
    <w:p w14:paraId="2B91FB84" w14:textId="77777777" w:rsidR="003E4025" w:rsidRPr="003E4025" w:rsidRDefault="003E4025" w:rsidP="00911029">
      <w:pPr>
        <w:widowControl/>
        <w:adjustRightInd w:val="0"/>
        <w:snapToGrid w:val="0"/>
        <w:spacing w:line="360" w:lineRule="auto"/>
        <w:ind w:firstLineChars="200" w:firstLine="480"/>
        <w:rPr>
          <w:rFonts w:ascii="Times New Roman" w:hAnsi="Times New Roman" w:cs="Times New Roman"/>
          <w:color w:val="000000" w:themeColor="text1"/>
          <w:kern w:val="0"/>
          <w:sz w:val="24"/>
        </w:rPr>
      </w:pPr>
      <w:r w:rsidRPr="003E4025">
        <w:rPr>
          <w:rFonts w:ascii="Times New Roman" w:hAnsi="Times New Roman" w:cs="Times New Roman"/>
          <w:color w:val="000000" w:themeColor="text1"/>
          <w:kern w:val="0"/>
          <w:sz w:val="24"/>
        </w:rPr>
        <w:t>ESA assigns no-scaffold micro-clusters to the training, validation, test, or drop branch using a coupled greedy scoring procedure. The assignment score considers train-facing similarity exposure, cross-branch similarity among no-scaffold micro-clusters, split-size imbalance, lower-bound deficits, and drop penalty. If validation or test lower bounds remain unmet after greedy assignment, small low-train-similarity micro-clusters are moved from the no-scaffold training branch to the underfilled branch without violating the training lower bound.</w:t>
      </w:r>
    </w:p>
    <w:p w14:paraId="1A6AB286" w14:textId="77777777" w:rsidR="003E4025" w:rsidRPr="003E4025" w:rsidRDefault="003E4025" w:rsidP="00911029">
      <w:pPr>
        <w:widowControl/>
        <w:adjustRightInd w:val="0"/>
        <w:snapToGrid w:val="0"/>
        <w:spacing w:line="360" w:lineRule="auto"/>
        <w:ind w:firstLineChars="200" w:firstLine="480"/>
        <w:rPr>
          <w:rFonts w:ascii="Times New Roman" w:hAnsi="Times New Roman" w:cs="Times New Roman"/>
          <w:color w:val="000000" w:themeColor="text1"/>
          <w:kern w:val="0"/>
          <w:sz w:val="24"/>
        </w:rPr>
      </w:pPr>
      <w:r w:rsidRPr="003E4025">
        <w:rPr>
          <w:rFonts w:ascii="Times New Roman" w:hAnsi="Times New Roman" w:cs="Times New Roman"/>
          <w:color w:val="000000" w:themeColor="text1"/>
          <w:kern w:val="0"/>
          <w:sz w:val="24"/>
        </w:rPr>
        <w:t>The repaired no-scaffold assignments are then merged with the fixed scaffold-bearing backbone. The final outputs include repaired train/validation/test assignments, dropped molecules if any, assignment audits, micro-cluster summaries, and split-level diagnostics.</w:t>
      </w:r>
    </w:p>
    <w:p w14:paraId="3D811DD1" w14:textId="54990418" w:rsidR="00013B1F" w:rsidRPr="003E4025" w:rsidRDefault="00013B1F" w:rsidP="00013B1F">
      <w:pPr>
        <w:widowControl/>
        <w:adjustRightInd w:val="0"/>
        <w:snapToGrid w:val="0"/>
        <w:spacing w:line="360" w:lineRule="auto"/>
        <w:rPr>
          <w:rFonts w:ascii="Times New Roman" w:hAnsi="Times New Roman" w:cs="Times New Roman"/>
          <w:color w:val="000000" w:themeColor="text1"/>
          <w:kern w:val="0"/>
          <w:sz w:val="24"/>
        </w:rPr>
      </w:pPr>
    </w:p>
    <w:tbl>
      <w:tblPr>
        <w:tblW w:w="0" w:type="auto"/>
        <w:jc w:val="center"/>
        <w:tblBorders>
          <w:top w:val="single" w:sz="8" w:space="0" w:color="000000"/>
          <w:bottom w:val="single" w:sz="8" w:space="0" w:color="000000"/>
          <w:insideH w:val="single" w:sz="6" w:space="0" w:color="000000"/>
          <w:insideV w:val="nil"/>
        </w:tblBorders>
        <w:tblLook w:val="04A0" w:firstRow="1" w:lastRow="0" w:firstColumn="1" w:lastColumn="0" w:noHBand="0" w:noVBand="1"/>
      </w:tblPr>
      <w:tblGrid>
        <w:gridCol w:w="7938"/>
      </w:tblGrid>
      <w:tr w:rsidR="0050672C" w:rsidRPr="00CB63E4" w14:paraId="2AB2B4EE" w14:textId="77777777" w:rsidTr="0050672C">
        <w:trPr>
          <w:jc w:val="center"/>
        </w:trPr>
        <w:tc>
          <w:tcPr>
            <w:tcW w:w="7938" w:type="dxa"/>
            <w:tcBorders>
              <w:top w:val="single" w:sz="8" w:space="0" w:color="000000"/>
              <w:left w:val="nil"/>
              <w:bottom w:val="single" w:sz="6" w:space="0" w:color="000000"/>
              <w:right w:val="nil"/>
            </w:tcBorders>
            <w:shd w:val="clear" w:color="auto" w:fill="F2F2F2"/>
            <w:tcMar>
              <w:top w:w="70" w:type="dxa"/>
              <w:left w:w="110" w:type="dxa"/>
              <w:bottom w:w="70" w:type="dxa"/>
              <w:right w:w="110" w:type="dxa"/>
            </w:tcMar>
            <w:hideMark/>
          </w:tcPr>
          <w:p w14:paraId="303CE1E4" w14:textId="152A07BF" w:rsidR="00720C27" w:rsidRPr="00CB63E4" w:rsidRDefault="00013B1F" w:rsidP="00013B1F">
            <w:pPr>
              <w:widowControl/>
              <w:jc w:val="left"/>
              <w:rPr>
                <w:rFonts w:ascii="Times New Roman" w:hAnsi="Times New Roman" w:cs="Times New Roman"/>
                <w:color w:val="000000" w:themeColor="text1"/>
                <w:kern w:val="0"/>
                <w:sz w:val="19"/>
                <w:szCs w:val="22"/>
              </w:rPr>
            </w:pPr>
            <w:r w:rsidRPr="00CB63E4">
              <w:rPr>
                <w:rFonts w:ascii="Times New Roman" w:eastAsia="Times New Roman" w:hAnsi="Times New Roman" w:cs="Times New Roman"/>
                <w:b/>
                <w:color w:val="000000" w:themeColor="text1"/>
                <w:kern w:val="0"/>
                <w:sz w:val="20"/>
                <w:szCs w:val="22"/>
                <w:lang w:eastAsia="en-US"/>
              </w:rPr>
              <w:t>Supplementary Algorithm 1. Empty-Scaffold-Aware repair with a fixed scaffold-bearing backbone.</w:t>
            </w:r>
          </w:p>
        </w:tc>
      </w:tr>
      <w:tr w:rsidR="0050672C" w:rsidRPr="00CB63E4" w14:paraId="6A6C3186" w14:textId="77777777" w:rsidTr="0050672C">
        <w:trPr>
          <w:jc w:val="center"/>
        </w:trPr>
        <w:tc>
          <w:tcPr>
            <w:tcW w:w="7938" w:type="dxa"/>
            <w:tcBorders>
              <w:top w:val="single" w:sz="6" w:space="0" w:color="000000"/>
              <w:left w:val="nil"/>
              <w:bottom w:val="single" w:sz="8" w:space="0" w:color="000000"/>
              <w:right w:val="nil"/>
            </w:tcBorders>
            <w:tcMar>
              <w:top w:w="70" w:type="dxa"/>
              <w:left w:w="110" w:type="dxa"/>
              <w:bottom w:w="70" w:type="dxa"/>
              <w:right w:w="110" w:type="dxa"/>
            </w:tcMar>
            <w:hideMark/>
          </w:tcPr>
          <w:p w14:paraId="24D3E4C8" w14:textId="77777777" w:rsidR="00720C27" w:rsidRPr="00CB63E4" w:rsidRDefault="00720C27" w:rsidP="0050672C">
            <w:pPr>
              <w:widowControl/>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b/>
                <w:color w:val="000000" w:themeColor="text1"/>
                <w:kern w:val="0"/>
                <w:sz w:val="19"/>
                <w:szCs w:val="22"/>
                <w:lang w:eastAsia="en-US"/>
              </w:rPr>
              <w:t xml:space="preserve">Input: </w:t>
            </w:r>
            <w:r w:rsidRPr="00CB63E4">
              <w:rPr>
                <w:rFonts w:ascii="Times New Roman" w:eastAsia="Times New Roman" w:hAnsi="Times New Roman" w:cs="Times New Roman"/>
                <w:color w:val="000000" w:themeColor="text1"/>
                <w:kern w:val="0"/>
                <w:sz w:val="19"/>
                <w:szCs w:val="22"/>
                <w:lang w:eastAsia="en-US"/>
              </w:rPr>
              <w:t xml:space="preserve">Dataset </w:t>
            </w:r>
            <w:r w:rsidRPr="00CB63E4">
              <w:rPr>
                <w:rFonts w:ascii="Times New Roman" w:eastAsia="Times New Roman" w:hAnsi="Times New Roman" w:cs="Times New Roman"/>
                <w:i/>
                <w:color w:val="000000" w:themeColor="text1"/>
                <w:kern w:val="0"/>
                <w:sz w:val="19"/>
                <w:szCs w:val="22"/>
                <w:lang w:eastAsia="en-US"/>
              </w:rPr>
              <w:t>D</w:t>
            </w:r>
            <w:r w:rsidRPr="00CB63E4">
              <w:rPr>
                <w:rFonts w:ascii="Times New Roman" w:eastAsia="Times New Roman" w:hAnsi="Times New Roman" w:cs="Times New Roman"/>
                <w:color w:val="000000" w:themeColor="text1"/>
                <w:kern w:val="0"/>
                <w:sz w:val="19"/>
                <w:szCs w:val="22"/>
                <w:lang w:eastAsia="en-US"/>
              </w:rPr>
              <w:t xml:space="preserve"> with SMILES, target split ratios </w:t>
            </w:r>
            <w:r w:rsidRPr="00CB63E4">
              <w:rPr>
                <w:rFonts w:ascii="Times New Roman" w:eastAsia="Times New Roman" w:hAnsi="Times New Roman" w:cs="Times New Roman"/>
                <w:i/>
                <w:color w:val="000000" w:themeColor="text1"/>
                <w:kern w:val="0"/>
                <w:sz w:val="19"/>
                <w:szCs w:val="22"/>
                <w:lang w:eastAsia="en-US"/>
              </w:rPr>
              <w:t>r</w:t>
            </w:r>
            <w:r w:rsidRPr="00CB63E4">
              <w:rPr>
                <w:rFonts w:ascii="Times New Roman" w:eastAsia="Times New Roman" w:hAnsi="Times New Roman" w:cs="Times New Roman"/>
                <w:color w:val="000000" w:themeColor="text1"/>
                <w:kern w:val="0"/>
                <w:sz w:val="19"/>
                <w:szCs w:val="22"/>
                <w:lang w:eastAsia="en-US"/>
              </w:rPr>
              <w:t xml:space="preserve">, ESA condition </w:t>
            </w:r>
            <w:r w:rsidRPr="00CB63E4">
              <w:rPr>
                <w:rFonts w:ascii="Times New Roman" w:eastAsia="Times New Roman" w:hAnsi="Times New Roman" w:cs="Times New Roman"/>
                <w:i/>
                <w:color w:val="000000" w:themeColor="text1"/>
                <w:kern w:val="0"/>
                <w:sz w:val="19"/>
                <w:szCs w:val="22"/>
                <w:lang w:eastAsia="en-US"/>
              </w:rPr>
              <w:t>c</w:t>
            </w:r>
            <w:r w:rsidRPr="00CB63E4">
              <w:rPr>
                <w:rFonts w:ascii="Times New Roman" w:eastAsia="Times New Roman" w:hAnsi="Times New Roman" w:cs="Times New Roman"/>
                <w:color w:val="000000" w:themeColor="text1"/>
                <w:kern w:val="0"/>
                <w:sz w:val="19"/>
                <w:szCs w:val="22"/>
                <w:lang w:eastAsia="en-US"/>
              </w:rPr>
              <w:t>, random seed, and fingerprint parameters.</w:t>
            </w:r>
          </w:p>
          <w:p w14:paraId="6FFC89B8" w14:textId="2594738C" w:rsidR="00720C27" w:rsidRPr="00CB63E4" w:rsidRDefault="00720C27" w:rsidP="0050672C">
            <w:pPr>
              <w:widowControl/>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b/>
                <w:color w:val="000000" w:themeColor="text1"/>
                <w:kern w:val="0"/>
                <w:sz w:val="19"/>
                <w:szCs w:val="22"/>
                <w:lang w:eastAsia="en-US"/>
              </w:rPr>
              <w:t xml:space="preserve">Output: </w:t>
            </w:r>
            <w:r w:rsidRPr="00CB63E4">
              <w:rPr>
                <w:rFonts w:ascii="Times New Roman" w:eastAsia="Times New Roman" w:hAnsi="Times New Roman" w:cs="Times New Roman"/>
                <w:color w:val="000000" w:themeColor="text1"/>
                <w:kern w:val="0"/>
                <w:sz w:val="19"/>
                <w:szCs w:val="22"/>
                <w:lang w:eastAsia="en-US"/>
              </w:rPr>
              <w:t>ESA-repaired train/va</w:t>
            </w:r>
            <w:r w:rsidRPr="008B0D99">
              <w:rPr>
                <w:rFonts w:asciiTheme="majorBidi" w:eastAsia="Times New Roman" w:hAnsiTheme="majorBidi" w:cstheme="majorBidi"/>
                <w:color w:val="000000" w:themeColor="text1"/>
                <w:kern w:val="0"/>
                <w:sz w:val="19"/>
                <w:szCs w:val="22"/>
                <w:lang w:eastAsia="en-US"/>
              </w:rPr>
              <w:t>lid</w:t>
            </w:r>
            <w:r w:rsidR="008B0D99" w:rsidRPr="008B0D99">
              <w:rPr>
                <w:rFonts w:asciiTheme="majorBidi" w:hAnsiTheme="majorBidi" w:cstheme="majorBidi"/>
                <w:color w:val="000000" w:themeColor="text1"/>
                <w:kern w:val="0"/>
                <w:sz w:val="19"/>
                <w:szCs w:val="22"/>
              </w:rPr>
              <w:t>ation</w:t>
            </w:r>
            <w:r w:rsidRPr="008B0D99">
              <w:rPr>
                <w:rFonts w:asciiTheme="majorBidi" w:eastAsia="Times New Roman" w:hAnsiTheme="majorBidi" w:cstheme="majorBidi"/>
                <w:color w:val="000000" w:themeColor="text1"/>
                <w:kern w:val="0"/>
                <w:sz w:val="19"/>
                <w:szCs w:val="22"/>
                <w:lang w:eastAsia="en-US"/>
              </w:rPr>
              <w:t>/test</w:t>
            </w:r>
            <w:r w:rsidRPr="00CB63E4">
              <w:rPr>
                <w:rFonts w:ascii="Times New Roman" w:eastAsia="Times New Roman" w:hAnsi="Times New Roman" w:cs="Times New Roman"/>
                <w:color w:val="000000" w:themeColor="text1"/>
                <w:kern w:val="0"/>
                <w:sz w:val="19"/>
                <w:szCs w:val="22"/>
                <w:lang w:eastAsia="en-US"/>
              </w:rPr>
              <w:t xml:space="preserve"> assignments and split-level diagnostics.</w:t>
            </w:r>
          </w:p>
          <w:p w14:paraId="463C5978"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 1. </w:t>
            </w:r>
            <w:r w:rsidRPr="00CB63E4">
              <w:rPr>
                <w:rFonts w:ascii="Times New Roman" w:eastAsia="Times New Roman" w:hAnsi="Times New Roman" w:cs="Times New Roman"/>
                <w:b/>
                <w:color w:val="000000" w:themeColor="text1"/>
                <w:kern w:val="0"/>
                <w:sz w:val="19"/>
                <w:szCs w:val="22"/>
                <w:lang w:eastAsia="en-US"/>
              </w:rPr>
              <w:t>Preprocess molecules.</w:t>
            </w:r>
          </w:p>
          <w:p w14:paraId="144133BA"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Standardize SMILES, remove </w:t>
            </w:r>
            <w:proofErr w:type="spellStart"/>
            <w:r w:rsidRPr="00CB63E4">
              <w:rPr>
                <w:rFonts w:ascii="Times New Roman" w:eastAsia="Times New Roman" w:hAnsi="Times New Roman" w:cs="Times New Roman"/>
                <w:color w:val="000000" w:themeColor="text1"/>
                <w:kern w:val="0"/>
                <w:sz w:val="19"/>
                <w:szCs w:val="22"/>
                <w:lang w:eastAsia="en-US"/>
              </w:rPr>
              <w:t>unparsable</w:t>
            </w:r>
            <w:proofErr w:type="spellEnd"/>
            <w:r w:rsidRPr="00CB63E4">
              <w:rPr>
                <w:rFonts w:ascii="Times New Roman" w:eastAsia="Times New Roman" w:hAnsi="Times New Roman" w:cs="Times New Roman"/>
                <w:color w:val="000000" w:themeColor="text1"/>
                <w:kern w:val="0"/>
                <w:sz w:val="19"/>
                <w:szCs w:val="22"/>
                <w:lang w:eastAsia="en-US"/>
              </w:rPr>
              <w:t xml:space="preserve"> molecules, and extract Bemis-Murcko scaffolds.</w:t>
            </w:r>
          </w:p>
          <w:p w14:paraId="246A25F6"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 2. </w:t>
            </w:r>
            <w:r w:rsidRPr="00CB63E4">
              <w:rPr>
                <w:rFonts w:ascii="Times New Roman" w:eastAsia="Times New Roman" w:hAnsi="Times New Roman" w:cs="Times New Roman"/>
                <w:b/>
                <w:color w:val="000000" w:themeColor="text1"/>
                <w:kern w:val="0"/>
                <w:sz w:val="19"/>
                <w:szCs w:val="22"/>
                <w:lang w:eastAsia="en-US"/>
              </w:rPr>
              <w:t>Separate scaffold classes.</w:t>
            </w:r>
          </w:p>
          <w:p w14:paraId="173F1B79"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Partition </w:t>
            </w:r>
            <w:r w:rsidRPr="00CB63E4">
              <w:rPr>
                <w:rFonts w:ascii="Times New Roman" w:eastAsia="Times New Roman" w:hAnsi="Times New Roman" w:cs="Times New Roman"/>
                <w:i/>
                <w:iCs/>
                <w:color w:val="000000" w:themeColor="text1"/>
                <w:kern w:val="0"/>
                <w:sz w:val="19"/>
                <w:szCs w:val="22"/>
                <w:lang w:eastAsia="en-US"/>
              </w:rPr>
              <w:t>D</w:t>
            </w:r>
            <w:r w:rsidRPr="00CB63E4">
              <w:rPr>
                <w:rFonts w:ascii="Times New Roman" w:eastAsia="Times New Roman" w:hAnsi="Times New Roman" w:cs="Times New Roman"/>
                <w:color w:val="000000" w:themeColor="text1"/>
                <w:kern w:val="0"/>
                <w:sz w:val="19"/>
                <w:szCs w:val="22"/>
                <w:lang w:eastAsia="en-US"/>
              </w:rPr>
              <w:t xml:space="preserve"> into scaffold-bearing molecules </w:t>
            </w:r>
            <w:r w:rsidRPr="00CB63E4">
              <w:rPr>
                <w:rFonts w:ascii="Times New Roman" w:eastAsia="Times New Roman" w:hAnsi="Times New Roman" w:cs="Times New Roman"/>
                <w:i/>
                <w:iCs/>
                <w:color w:val="000000" w:themeColor="text1"/>
                <w:kern w:val="0"/>
                <w:sz w:val="19"/>
                <w:szCs w:val="22"/>
                <w:lang w:eastAsia="en-US"/>
              </w:rPr>
              <w:t>B</w:t>
            </w:r>
            <w:r w:rsidRPr="00CB63E4">
              <w:rPr>
                <w:rFonts w:ascii="Times New Roman" w:eastAsia="Times New Roman" w:hAnsi="Times New Roman" w:cs="Times New Roman"/>
                <w:color w:val="000000" w:themeColor="text1"/>
                <w:kern w:val="0"/>
                <w:sz w:val="19"/>
                <w:szCs w:val="22"/>
                <w:lang w:eastAsia="en-US"/>
              </w:rPr>
              <w:t xml:space="preserve"> and no-scaffold molecules </w:t>
            </w:r>
            <w:r w:rsidRPr="00CB63E4">
              <w:rPr>
                <w:rFonts w:ascii="Times New Roman" w:eastAsia="Times New Roman" w:hAnsi="Times New Roman" w:cs="Times New Roman"/>
                <w:i/>
                <w:iCs/>
                <w:color w:val="000000" w:themeColor="text1"/>
                <w:kern w:val="0"/>
                <w:sz w:val="19"/>
                <w:szCs w:val="22"/>
                <w:lang w:eastAsia="en-US"/>
              </w:rPr>
              <w:t>N</w:t>
            </w:r>
            <w:r w:rsidRPr="00CB63E4">
              <w:rPr>
                <w:rFonts w:ascii="Times New Roman" w:eastAsia="Times New Roman" w:hAnsi="Times New Roman" w:cs="Times New Roman"/>
                <w:color w:val="000000" w:themeColor="text1"/>
                <w:kern w:val="0"/>
                <w:sz w:val="19"/>
                <w:szCs w:val="22"/>
                <w:lang w:eastAsia="en-US"/>
              </w:rPr>
              <w:t>.</w:t>
            </w:r>
          </w:p>
          <w:p w14:paraId="6B0DA0E9"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 3. </w:t>
            </w:r>
            <w:r w:rsidRPr="00CB63E4">
              <w:rPr>
                <w:rFonts w:ascii="Times New Roman" w:eastAsia="Times New Roman" w:hAnsi="Times New Roman" w:cs="Times New Roman"/>
                <w:b/>
                <w:color w:val="000000" w:themeColor="text1"/>
                <w:kern w:val="0"/>
                <w:sz w:val="19"/>
                <w:szCs w:val="22"/>
                <w:lang w:eastAsia="en-US"/>
              </w:rPr>
              <w:t>Set split targets.</w:t>
            </w:r>
          </w:p>
          <w:p w14:paraId="04E2EE14" w14:textId="23F66FCD"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Determine dataset-size-dependent train/valid</w:t>
            </w:r>
            <w:r w:rsidR="008B0D99">
              <w:rPr>
                <w:rFonts w:ascii="Times New Roman" w:hAnsi="Times New Roman" w:cs="Times New Roman" w:hint="eastAsia"/>
                <w:color w:val="000000" w:themeColor="text1"/>
                <w:kern w:val="0"/>
                <w:sz w:val="19"/>
                <w:szCs w:val="22"/>
              </w:rPr>
              <w:t>ation</w:t>
            </w:r>
            <w:r w:rsidRPr="00CB63E4">
              <w:rPr>
                <w:rFonts w:ascii="Times New Roman" w:eastAsia="Times New Roman" w:hAnsi="Times New Roman" w:cs="Times New Roman"/>
                <w:color w:val="000000" w:themeColor="text1"/>
                <w:kern w:val="0"/>
                <w:sz w:val="19"/>
                <w:szCs w:val="22"/>
                <w:lang w:eastAsia="en-US"/>
              </w:rPr>
              <w:t>/test ratios and split weights.</w:t>
            </w:r>
          </w:p>
          <w:p w14:paraId="10D42A3E"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lastRenderedPageBreak/>
              <w:t xml:space="preserve"> 4. </w:t>
            </w:r>
            <w:r w:rsidRPr="00CB63E4">
              <w:rPr>
                <w:rFonts w:ascii="Times New Roman" w:eastAsia="Times New Roman" w:hAnsi="Times New Roman" w:cs="Times New Roman"/>
                <w:b/>
                <w:color w:val="000000" w:themeColor="text1"/>
                <w:kern w:val="0"/>
                <w:sz w:val="19"/>
                <w:szCs w:val="22"/>
                <w:lang w:eastAsia="en-US"/>
              </w:rPr>
              <w:t>Build the scaffold-bearing backbone.</w:t>
            </w:r>
          </w:p>
          <w:p w14:paraId="3665501C" w14:textId="55082B6A" w:rsidR="00720C27" w:rsidRPr="00CB63E4" w:rsidRDefault="00720C27" w:rsidP="0050672C">
            <w:pPr>
              <w:widowControl/>
              <w:ind w:left="425"/>
              <w:jc w:val="left"/>
              <w:rPr>
                <w:rFonts w:ascii="Times New Roman" w:hAnsi="Times New Roman" w:cs="Times New Roman"/>
                <w:color w:val="000000" w:themeColor="text1"/>
                <w:kern w:val="0"/>
                <w:sz w:val="19"/>
                <w:szCs w:val="22"/>
              </w:rPr>
            </w:pPr>
            <w:r w:rsidRPr="00CB63E4">
              <w:rPr>
                <w:rFonts w:ascii="Times New Roman" w:eastAsia="Times New Roman" w:hAnsi="Times New Roman" w:cs="Times New Roman"/>
                <w:color w:val="000000" w:themeColor="text1"/>
                <w:kern w:val="0"/>
                <w:sz w:val="19"/>
                <w:szCs w:val="22"/>
                <w:lang w:eastAsia="en-US"/>
              </w:rPr>
              <w:t xml:space="preserve">Split </w:t>
            </w:r>
            <w:r w:rsidRPr="00CB63E4">
              <w:rPr>
                <w:rFonts w:ascii="Times New Roman" w:eastAsia="Times New Roman" w:hAnsi="Times New Roman" w:cs="Times New Roman"/>
                <w:i/>
                <w:iCs/>
                <w:color w:val="000000" w:themeColor="text1"/>
                <w:kern w:val="0"/>
                <w:sz w:val="19"/>
                <w:szCs w:val="22"/>
                <w:lang w:eastAsia="en-US"/>
              </w:rPr>
              <w:t>B</w:t>
            </w:r>
            <w:r w:rsidRPr="00CB63E4">
              <w:rPr>
                <w:rFonts w:ascii="Times New Roman" w:eastAsia="Times New Roman" w:hAnsi="Times New Roman" w:cs="Times New Roman"/>
                <w:color w:val="000000" w:themeColor="text1"/>
                <w:kern w:val="0"/>
                <w:sz w:val="19"/>
                <w:szCs w:val="22"/>
                <w:lang w:eastAsia="en-US"/>
              </w:rPr>
              <w:t xml:space="preserve"> using </w:t>
            </w:r>
            <w:proofErr w:type="spellStart"/>
            <w:r w:rsidRPr="00CB63E4">
              <w:rPr>
                <w:rFonts w:ascii="Times New Roman" w:eastAsia="Times New Roman" w:hAnsi="Times New Roman" w:cs="Times New Roman"/>
                <w:color w:val="000000" w:themeColor="text1"/>
                <w:kern w:val="0"/>
                <w:sz w:val="19"/>
                <w:szCs w:val="22"/>
                <w:lang w:eastAsia="en-US"/>
              </w:rPr>
              <w:t>DataSAIL</w:t>
            </w:r>
            <w:proofErr w:type="spellEnd"/>
            <w:r w:rsidRPr="00CB63E4">
              <w:rPr>
                <w:rFonts w:ascii="Times New Roman" w:eastAsia="Times New Roman" w:hAnsi="Times New Roman" w:cs="Times New Roman"/>
                <w:color w:val="000000" w:themeColor="text1"/>
                <w:kern w:val="0"/>
                <w:sz w:val="19"/>
                <w:szCs w:val="22"/>
                <w:lang w:eastAsia="en-US"/>
              </w:rPr>
              <w:t xml:space="preserve"> with C1e, molecule mode M, SCIP solver, and the selected split weights.</w:t>
            </w:r>
          </w:p>
          <w:p w14:paraId="67BF15DD"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 5. </w:t>
            </w:r>
            <w:r w:rsidRPr="00CB63E4">
              <w:rPr>
                <w:rFonts w:ascii="Times New Roman" w:eastAsia="Times New Roman" w:hAnsi="Times New Roman" w:cs="Times New Roman"/>
                <w:b/>
                <w:color w:val="000000" w:themeColor="text1"/>
                <w:kern w:val="0"/>
                <w:sz w:val="19"/>
                <w:szCs w:val="22"/>
                <w:lang w:eastAsia="en-US"/>
              </w:rPr>
              <w:t>Freeze the backbone.</w:t>
            </w:r>
          </w:p>
          <w:p w14:paraId="28B6BB5E"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Keep the resulting assignments of </w:t>
            </w:r>
            <w:r w:rsidRPr="008B0D99">
              <w:rPr>
                <w:rFonts w:ascii="Times New Roman" w:eastAsia="Times New Roman" w:hAnsi="Times New Roman" w:cs="Times New Roman"/>
                <w:i/>
                <w:iCs/>
                <w:color w:val="000000" w:themeColor="text1"/>
                <w:kern w:val="0"/>
                <w:sz w:val="19"/>
                <w:szCs w:val="22"/>
                <w:lang w:eastAsia="en-US"/>
              </w:rPr>
              <w:t>B</w:t>
            </w:r>
            <w:r w:rsidRPr="00CB63E4">
              <w:rPr>
                <w:rFonts w:ascii="Times New Roman" w:eastAsia="Times New Roman" w:hAnsi="Times New Roman" w:cs="Times New Roman"/>
                <w:color w:val="000000" w:themeColor="text1"/>
                <w:kern w:val="0"/>
                <w:sz w:val="19"/>
                <w:szCs w:val="22"/>
                <w:lang w:eastAsia="en-US"/>
              </w:rPr>
              <w:t xml:space="preserve"> fixed throughout ESA repair.</w:t>
            </w:r>
          </w:p>
          <w:p w14:paraId="053ED733"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b/>
                <w:i/>
                <w:color w:val="000000" w:themeColor="text1"/>
                <w:kern w:val="0"/>
                <w:sz w:val="19"/>
                <w:szCs w:val="22"/>
                <w:lang w:eastAsia="en-US"/>
              </w:rPr>
              <w:t xml:space="preserve">Comment: </w:t>
            </w:r>
            <w:r w:rsidRPr="00CB63E4">
              <w:rPr>
                <w:rFonts w:ascii="Times New Roman" w:eastAsia="Times New Roman" w:hAnsi="Times New Roman" w:cs="Times New Roman"/>
                <w:i/>
                <w:color w:val="000000" w:themeColor="text1"/>
                <w:kern w:val="0"/>
                <w:sz w:val="19"/>
                <w:szCs w:val="22"/>
                <w:lang w:eastAsia="en-US"/>
              </w:rPr>
              <w:t>This preserves the leakage-aware structure of the scaffold-bearing molecules and restricts repair to the no-scaffold residual group.</w:t>
            </w:r>
          </w:p>
          <w:p w14:paraId="56D26F08"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 6. </w:t>
            </w:r>
            <w:r w:rsidRPr="00CB63E4">
              <w:rPr>
                <w:rFonts w:ascii="Times New Roman" w:eastAsia="Times New Roman" w:hAnsi="Times New Roman" w:cs="Times New Roman"/>
                <w:b/>
                <w:color w:val="000000" w:themeColor="text1"/>
                <w:kern w:val="0"/>
                <w:sz w:val="19"/>
                <w:szCs w:val="22"/>
                <w:lang w:eastAsia="en-US"/>
              </w:rPr>
              <w:t>Represent no-scaffold molecules.</w:t>
            </w:r>
          </w:p>
          <w:p w14:paraId="61FA65E3"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Compute Morgan fingerprints for molecules in </w:t>
            </w:r>
            <w:r w:rsidRPr="00CB63E4">
              <w:rPr>
                <w:rFonts w:ascii="Times New Roman" w:eastAsia="Times New Roman" w:hAnsi="Times New Roman" w:cs="Times New Roman"/>
                <w:i/>
                <w:iCs/>
                <w:color w:val="000000" w:themeColor="text1"/>
                <w:kern w:val="0"/>
                <w:sz w:val="19"/>
                <w:szCs w:val="22"/>
                <w:lang w:eastAsia="en-US"/>
              </w:rPr>
              <w:t>N</w:t>
            </w:r>
            <w:r w:rsidRPr="00CB63E4">
              <w:rPr>
                <w:rFonts w:ascii="Times New Roman" w:eastAsia="Times New Roman" w:hAnsi="Times New Roman" w:cs="Times New Roman"/>
                <w:color w:val="000000" w:themeColor="text1"/>
                <w:kern w:val="0"/>
                <w:sz w:val="19"/>
                <w:szCs w:val="22"/>
                <w:lang w:eastAsia="en-US"/>
              </w:rPr>
              <w:t>.</w:t>
            </w:r>
          </w:p>
          <w:p w14:paraId="5E23A974"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 7. </w:t>
            </w:r>
            <w:r w:rsidRPr="00CB63E4">
              <w:rPr>
                <w:rFonts w:ascii="Times New Roman" w:eastAsia="Times New Roman" w:hAnsi="Times New Roman" w:cs="Times New Roman"/>
                <w:b/>
                <w:color w:val="000000" w:themeColor="text1"/>
                <w:kern w:val="0"/>
                <w:sz w:val="19"/>
                <w:szCs w:val="22"/>
                <w:lang w:eastAsia="en-US"/>
              </w:rPr>
              <w:t>Construct ESA micro-clusters.</w:t>
            </w:r>
          </w:p>
          <w:p w14:paraId="1928A7E0"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Build micro-clusters among valid-fingerprint no-scaffold molecules using leader picking at Tanimoto similarity threshold 0.40. Molecules without valid fingerprints are assigned as singleton groups.</w:t>
            </w:r>
          </w:p>
          <w:p w14:paraId="47BD02F5"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 8. </w:t>
            </w:r>
            <w:r w:rsidRPr="00CB63E4">
              <w:rPr>
                <w:rFonts w:ascii="Times New Roman" w:eastAsia="Times New Roman" w:hAnsi="Times New Roman" w:cs="Times New Roman"/>
                <w:b/>
                <w:color w:val="000000" w:themeColor="text1"/>
                <w:kern w:val="0"/>
                <w:sz w:val="19"/>
                <w:szCs w:val="22"/>
                <w:lang w:eastAsia="en-US"/>
              </w:rPr>
              <w:t>Refine oversized clusters.</w:t>
            </w:r>
          </w:p>
          <w:p w14:paraId="39274EE4"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Split oversized micro-clusters according to the condition-specific maximum cluster size.</w:t>
            </w:r>
          </w:p>
          <w:p w14:paraId="340A4B28"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b/>
                <w:i/>
                <w:color w:val="000000" w:themeColor="text1"/>
                <w:kern w:val="0"/>
                <w:sz w:val="19"/>
                <w:szCs w:val="22"/>
                <w:lang w:eastAsia="en-US"/>
              </w:rPr>
              <w:t xml:space="preserve">Comment: </w:t>
            </w:r>
            <w:r w:rsidRPr="00CB63E4">
              <w:rPr>
                <w:rFonts w:ascii="Times New Roman" w:eastAsia="Times New Roman" w:hAnsi="Times New Roman" w:cs="Times New Roman"/>
                <w:i/>
                <w:color w:val="000000" w:themeColor="text1"/>
                <w:kern w:val="0"/>
                <w:sz w:val="19"/>
                <w:szCs w:val="22"/>
                <w:lang w:eastAsia="en-US"/>
              </w:rPr>
              <w:t>This prevents a large no-scaffold cluster from dominating one split branch.</w:t>
            </w:r>
          </w:p>
          <w:p w14:paraId="09F21E91"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 9. </w:t>
            </w:r>
            <w:r w:rsidRPr="00CB63E4">
              <w:rPr>
                <w:rFonts w:ascii="Times New Roman" w:eastAsia="Times New Roman" w:hAnsi="Times New Roman" w:cs="Times New Roman"/>
                <w:b/>
                <w:color w:val="000000" w:themeColor="text1"/>
                <w:kern w:val="0"/>
                <w:sz w:val="19"/>
                <w:szCs w:val="22"/>
                <w:lang w:eastAsia="en-US"/>
              </w:rPr>
              <w:t>Estimate similarity costs.</w:t>
            </w:r>
          </w:p>
          <w:p w14:paraId="288B5CC5"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For each no-scaffold micro-cluster, estimate similarity to the scaffold-bearing training branch and to other no-scaffold micro-clusters.</w:t>
            </w:r>
          </w:p>
          <w:p w14:paraId="0572BEF9"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10. </w:t>
            </w:r>
            <w:r w:rsidRPr="00CB63E4">
              <w:rPr>
                <w:rFonts w:ascii="Times New Roman" w:eastAsia="Times New Roman" w:hAnsi="Times New Roman" w:cs="Times New Roman"/>
                <w:b/>
                <w:color w:val="000000" w:themeColor="text1"/>
                <w:kern w:val="0"/>
                <w:sz w:val="19"/>
                <w:szCs w:val="22"/>
                <w:lang w:eastAsia="en-US"/>
              </w:rPr>
              <w:t>Order repair units.</w:t>
            </w:r>
          </w:p>
          <w:p w14:paraId="1E14FBEC"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Sort no-scaffold micro-clusters by decreasing cluster size and decreasing similarity to the scaffold-bearing training branch.</w:t>
            </w:r>
          </w:p>
          <w:p w14:paraId="26115FAF"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11. </w:t>
            </w:r>
            <w:r w:rsidRPr="00CB63E4">
              <w:rPr>
                <w:rFonts w:ascii="Times New Roman" w:eastAsia="Times New Roman" w:hAnsi="Times New Roman" w:cs="Times New Roman"/>
                <w:b/>
                <w:color w:val="000000" w:themeColor="text1"/>
                <w:kern w:val="0"/>
                <w:sz w:val="19"/>
                <w:szCs w:val="22"/>
                <w:lang w:eastAsia="en-US"/>
              </w:rPr>
              <w:t>Assign no-scaffold micro-clusters.</w:t>
            </w:r>
          </w:p>
          <w:p w14:paraId="39CA4E43" w14:textId="27B1FA08"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Assign each no-scaffold micro-cluster to train, valid, test, or drop using coupled greedy scoring over</w:t>
            </w:r>
            <w:r w:rsidR="003521E1" w:rsidRPr="00CB63E4">
              <w:rPr>
                <w:rFonts w:ascii="Times New Roman" w:hAnsi="Times New Roman" w:cs="Times New Roman"/>
                <w:color w:val="000000" w:themeColor="text1"/>
                <w:kern w:val="0"/>
                <w:sz w:val="19"/>
                <w:szCs w:val="22"/>
              </w:rPr>
              <w:t xml:space="preserve"> </w:t>
            </w:r>
            <w:r w:rsidRPr="00CB63E4">
              <w:rPr>
                <w:rFonts w:ascii="Times New Roman" w:eastAsia="Times New Roman" w:hAnsi="Times New Roman" w:cs="Times New Roman"/>
                <w:color w:val="000000" w:themeColor="text1"/>
                <w:kern w:val="0"/>
                <w:sz w:val="19"/>
                <w:szCs w:val="22"/>
                <w:lang w:eastAsia="en-US"/>
              </w:rPr>
              <w:t>train-facing similarity exposure</w:t>
            </w:r>
            <w:r w:rsidR="003521E1" w:rsidRPr="00CB63E4">
              <w:rPr>
                <w:rFonts w:ascii="Times New Roman" w:hAnsi="Times New Roman" w:cs="Times New Roman"/>
                <w:color w:val="000000" w:themeColor="text1"/>
                <w:kern w:val="0"/>
                <w:sz w:val="19"/>
                <w:szCs w:val="22"/>
              </w:rPr>
              <w:t xml:space="preserve">, </w:t>
            </w:r>
            <w:r w:rsidRPr="00CB63E4">
              <w:rPr>
                <w:rFonts w:ascii="Times New Roman" w:eastAsia="Times New Roman" w:hAnsi="Times New Roman" w:cs="Times New Roman"/>
                <w:color w:val="000000" w:themeColor="text1"/>
                <w:kern w:val="0"/>
                <w:sz w:val="19"/>
                <w:szCs w:val="22"/>
                <w:lang w:eastAsia="en-US"/>
              </w:rPr>
              <w:t>cross-branch no-scaffold similarity</w:t>
            </w:r>
            <w:r w:rsidR="003521E1" w:rsidRPr="00CB63E4">
              <w:rPr>
                <w:rFonts w:ascii="Times New Roman" w:hAnsi="Times New Roman" w:cs="Times New Roman"/>
                <w:color w:val="000000" w:themeColor="text1"/>
                <w:kern w:val="0"/>
                <w:sz w:val="19"/>
                <w:szCs w:val="22"/>
              </w:rPr>
              <w:t xml:space="preserve">, </w:t>
            </w:r>
            <w:r w:rsidRPr="00CB63E4">
              <w:rPr>
                <w:rFonts w:ascii="Times New Roman" w:eastAsia="Times New Roman" w:hAnsi="Times New Roman" w:cs="Times New Roman"/>
                <w:color w:val="000000" w:themeColor="text1"/>
                <w:kern w:val="0"/>
                <w:sz w:val="19"/>
                <w:szCs w:val="22"/>
                <w:lang w:eastAsia="en-US"/>
              </w:rPr>
              <w:t>split-size imbalance</w:t>
            </w:r>
            <w:r w:rsidR="003521E1" w:rsidRPr="00CB63E4">
              <w:rPr>
                <w:rFonts w:ascii="Times New Roman" w:hAnsi="Times New Roman" w:cs="Times New Roman"/>
                <w:color w:val="000000" w:themeColor="text1"/>
                <w:kern w:val="0"/>
                <w:sz w:val="19"/>
                <w:szCs w:val="22"/>
              </w:rPr>
              <w:t xml:space="preserve">, </w:t>
            </w:r>
            <w:r w:rsidRPr="00CB63E4">
              <w:rPr>
                <w:rFonts w:ascii="Times New Roman" w:eastAsia="Times New Roman" w:hAnsi="Times New Roman" w:cs="Times New Roman"/>
                <w:color w:val="000000" w:themeColor="text1"/>
                <w:kern w:val="0"/>
                <w:sz w:val="19"/>
                <w:szCs w:val="22"/>
                <w:lang w:eastAsia="en-US"/>
              </w:rPr>
              <w:t>lower-bound deficit</w:t>
            </w:r>
            <w:r w:rsidR="003521E1" w:rsidRPr="00CB63E4">
              <w:rPr>
                <w:rFonts w:ascii="Times New Roman" w:hAnsi="Times New Roman" w:cs="Times New Roman"/>
                <w:color w:val="000000" w:themeColor="text1"/>
                <w:kern w:val="0"/>
                <w:sz w:val="19"/>
                <w:szCs w:val="22"/>
              </w:rPr>
              <w:t xml:space="preserve"> and </w:t>
            </w:r>
            <w:r w:rsidRPr="00CB63E4">
              <w:rPr>
                <w:rFonts w:ascii="Times New Roman" w:eastAsia="Times New Roman" w:hAnsi="Times New Roman" w:cs="Times New Roman"/>
                <w:color w:val="000000" w:themeColor="text1"/>
                <w:kern w:val="0"/>
                <w:sz w:val="19"/>
                <w:szCs w:val="22"/>
                <w:lang w:eastAsia="en-US"/>
              </w:rPr>
              <w:t>drop penalty.</w:t>
            </w:r>
          </w:p>
          <w:p w14:paraId="2129396F"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12. </w:t>
            </w:r>
            <w:r w:rsidRPr="00CB63E4">
              <w:rPr>
                <w:rFonts w:ascii="Times New Roman" w:eastAsia="Times New Roman" w:hAnsi="Times New Roman" w:cs="Times New Roman"/>
                <w:b/>
                <w:color w:val="000000" w:themeColor="text1"/>
                <w:kern w:val="0"/>
                <w:sz w:val="19"/>
                <w:szCs w:val="22"/>
                <w:lang w:eastAsia="en-US"/>
              </w:rPr>
              <w:t>Repair unmet evaluation lower bounds.</w:t>
            </w:r>
          </w:p>
          <w:p w14:paraId="458D09AD" w14:textId="05262219"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If valid or test lower bounds remain unmet, move small low-train-similarity clusters from train to the underfilled branch without violating the train lower bound.</w:t>
            </w:r>
          </w:p>
          <w:p w14:paraId="4EB90E15"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b/>
                <w:i/>
                <w:color w:val="000000" w:themeColor="text1"/>
                <w:kern w:val="0"/>
                <w:sz w:val="19"/>
                <w:szCs w:val="22"/>
                <w:lang w:eastAsia="en-US"/>
              </w:rPr>
              <w:t xml:space="preserve">Comment: </w:t>
            </w:r>
            <w:r w:rsidRPr="00CB63E4">
              <w:rPr>
                <w:rFonts w:ascii="Times New Roman" w:eastAsia="Times New Roman" w:hAnsi="Times New Roman" w:cs="Times New Roman"/>
                <w:i/>
                <w:color w:val="000000" w:themeColor="text1"/>
                <w:kern w:val="0"/>
                <w:sz w:val="19"/>
                <w:szCs w:val="22"/>
                <w:lang w:eastAsia="en-US"/>
              </w:rPr>
              <w:t>This step ensures that ESA does not simply move all no-scaffold molecules into training.</w:t>
            </w:r>
          </w:p>
          <w:p w14:paraId="2C5E2C79"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13. </w:t>
            </w:r>
            <w:r w:rsidRPr="00CB63E4">
              <w:rPr>
                <w:rFonts w:ascii="Times New Roman" w:eastAsia="Times New Roman" w:hAnsi="Times New Roman" w:cs="Times New Roman"/>
                <w:b/>
                <w:color w:val="000000" w:themeColor="text1"/>
                <w:kern w:val="0"/>
                <w:sz w:val="19"/>
                <w:szCs w:val="22"/>
                <w:lang w:eastAsia="en-US"/>
              </w:rPr>
              <w:t>Merge repaired assignments.</w:t>
            </w:r>
          </w:p>
          <w:p w14:paraId="33DCE690" w14:textId="77777777"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Merge the fixed scaffold-bearing backbone with the repaired no-scaffold assignments.</w:t>
            </w:r>
          </w:p>
          <w:p w14:paraId="3C85FC87" w14:textId="77777777" w:rsidR="00720C27" w:rsidRPr="00CB63E4" w:rsidRDefault="00720C27" w:rsidP="0050672C">
            <w:pPr>
              <w:widowControl/>
              <w:ind w:left="255" w:hanging="25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 xml:space="preserve">14. </w:t>
            </w:r>
            <w:r w:rsidRPr="00CB63E4">
              <w:rPr>
                <w:rFonts w:ascii="Times New Roman" w:eastAsia="Times New Roman" w:hAnsi="Times New Roman" w:cs="Times New Roman"/>
                <w:b/>
                <w:color w:val="000000" w:themeColor="text1"/>
                <w:kern w:val="0"/>
                <w:sz w:val="19"/>
                <w:szCs w:val="22"/>
                <w:lang w:eastAsia="en-US"/>
              </w:rPr>
              <w:t>Export outputs and diagnostics.</w:t>
            </w:r>
          </w:p>
          <w:p w14:paraId="7B359531" w14:textId="32D7438F" w:rsidR="00720C27" w:rsidRPr="00CB63E4" w:rsidRDefault="00720C27" w:rsidP="0050672C">
            <w:pPr>
              <w:widowControl/>
              <w:ind w:left="425"/>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color w:val="000000" w:themeColor="text1"/>
                <w:kern w:val="0"/>
                <w:sz w:val="19"/>
                <w:szCs w:val="22"/>
                <w:lang w:eastAsia="en-US"/>
              </w:rPr>
              <w:t>Output train, valid</w:t>
            </w:r>
            <w:r w:rsidR="00A123A2">
              <w:rPr>
                <w:rFonts w:ascii="Times New Roman" w:hAnsi="Times New Roman" w:cs="Times New Roman" w:hint="eastAsia"/>
                <w:color w:val="000000" w:themeColor="text1"/>
                <w:kern w:val="0"/>
                <w:sz w:val="19"/>
                <w:szCs w:val="22"/>
              </w:rPr>
              <w:t>ation</w:t>
            </w:r>
            <w:r w:rsidRPr="00CB63E4">
              <w:rPr>
                <w:rFonts w:ascii="Times New Roman" w:eastAsia="Times New Roman" w:hAnsi="Times New Roman" w:cs="Times New Roman"/>
                <w:color w:val="000000" w:themeColor="text1"/>
                <w:kern w:val="0"/>
                <w:sz w:val="19"/>
                <w:szCs w:val="22"/>
                <w:lang w:eastAsia="en-US"/>
              </w:rPr>
              <w:t>, and test splits, dropped molecules if any, assignment audit, ESA cluster summary, and split-level diagnostics.</w:t>
            </w:r>
          </w:p>
          <w:p w14:paraId="51A963F3" w14:textId="5953D4BF" w:rsidR="00720C27" w:rsidRPr="00CB63E4" w:rsidRDefault="00720C27" w:rsidP="0050672C">
            <w:pPr>
              <w:widowControl/>
              <w:jc w:val="left"/>
              <w:rPr>
                <w:rFonts w:ascii="Times New Roman" w:eastAsia="Times New Roman" w:hAnsi="Times New Roman" w:cs="Times New Roman"/>
                <w:color w:val="000000" w:themeColor="text1"/>
                <w:kern w:val="0"/>
                <w:sz w:val="19"/>
                <w:szCs w:val="22"/>
                <w:lang w:eastAsia="en-US"/>
              </w:rPr>
            </w:pPr>
            <w:r w:rsidRPr="00CB63E4">
              <w:rPr>
                <w:rFonts w:ascii="Times New Roman" w:eastAsia="Times New Roman" w:hAnsi="Times New Roman" w:cs="Times New Roman"/>
                <w:b/>
                <w:i/>
                <w:color w:val="000000" w:themeColor="text1"/>
                <w:kern w:val="0"/>
                <w:sz w:val="19"/>
                <w:szCs w:val="22"/>
                <w:lang w:eastAsia="en-US"/>
              </w:rPr>
              <w:t xml:space="preserve">Note: </w:t>
            </w:r>
            <w:r w:rsidRPr="00CB63E4">
              <w:rPr>
                <w:rFonts w:ascii="Times New Roman" w:eastAsia="Times New Roman" w:hAnsi="Times New Roman" w:cs="Times New Roman"/>
                <w:i/>
                <w:color w:val="000000" w:themeColor="text1"/>
                <w:kern w:val="0"/>
                <w:sz w:val="19"/>
                <w:szCs w:val="22"/>
                <w:lang w:eastAsia="en-US"/>
              </w:rPr>
              <w:t>The ESA conditions used in</w:t>
            </w:r>
            <w:r w:rsidRPr="004D5213">
              <w:rPr>
                <w:rFonts w:ascii="Times New Roman" w:eastAsia="Times New Roman" w:hAnsi="Times New Roman" w:cs="Times New Roman"/>
                <w:i/>
                <w:color w:val="000000" w:themeColor="text1"/>
                <w:kern w:val="0"/>
                <w:sz w:val="19"/>
                <w:szCs w:val="22"/>
                <w:lang w:eastAsia="en-US"/>
              </w:rPr>
              <w:t xml:space="preserve"> </w:t>
            </w:r>
            <w:r w:rsidR="004D5213" w:rsidRPr="004D5213">
              <w:rPr>
                <w:rFonts w:ascii="Times New Roman" w:eastAsia="Times New Roman" w:hAnsi="Times New Roman" w:cs="Times New Roman"/>
                <w:i/>
                <w:color w:val="000000" w:themeColor="text1"/>
                <w:kern w:val="0"/>
                <w:sz w:val="19"/>
                <w:szCs w:val="22"/>
                <w:lang w:eastAsia="en-US"/>
              </w:rPr>
              <w:t>Supplementary Fig. 6</w:t>
            </w:r>
            <w:r w:rsidRPr="00CB63E4">
              <w:rPr>
                <w:rFonts w:ascii="Times New Roman" w:eastAsia="Times New Roman" w:hAnsi="Times New Roman" w:cs="Times New Roman"/>
                <w:i/>
                <w:color w:val="000000" w:themeColor="text1"/>
                <w:kern w:val="0"/>
                <w:sz w:val="19"/>
                <w:szCs w:val="22"/>
                <w:lang w:eastAsia="en-US"/>
              </w:rPr>
              <w:t xml:space="preserve"> differ only in the micro-cluster size limit, split lower bounds, and coupled-greedy scoring weights.</w:t>
            </w:r>
          </w:p>
        </w:tc>
      </w:tr>
    </w:tbl>
    <w:p w14:paraId="0DAC0B8A" w14:textId="77777777" w:rsidR="00C658D2" w:rsidRDefault="00C658D2" w:rsidP="0050672C">
      <w:pPr>
        <w:widowControl/>
        <w:adjustRightInd w:val="0"/>
        <w:snapToGrid w:val="0"/>
        <w:spacing w:line="360" w:lineRule="auto"/>
        <w:rPr>
          <w:rFonts w:ascii="Times New Roman" w:eastAsia="宋体" w:hAnsi="Times New Roman" w:cs="Times New Roman"/>
          <w:color w:val="000000" w:themeColor="text1"/>
          <w:kern w:val="0"/>
          <w:sz w:val="24"/>
        </w:rPr>
      </w:pPr>
    </w:p>
    <w:p w14:paraId="7FA06978" w14:textId="0DC3FC0C" w:rsidR="00EB5034" w:rsidRPr="00EB5034" w:rsidRDefault="00EB5034" w:rsidP="00EB5034">
      <w:pPr>
        <w:widowControl/>
        <w:adjustRightInd w:val="0"/>
        <w:snapToGrid w:val="0"/>
        <w:spacing w:line="360" w:lineRule="auto"/>
        <w:rPr>
          <w:rFonts w:ascii="Times New Roman" w:eastAsia="宋体" w:hAnsi="Times New Roman" w:cs="Times New Roman"/>
          <w:b/>
          <w:bCs/>
          <w:color w:val="000000" w:themeColor="text1"/>
          <w:kern w:val="0"/>
          <w:sz w:val="24"/>
        </w:rPr>
      </w:pPr>
      <w:r w:rsidRPr="00EB5034">
        <w:rPr>
          <w:rFonts w:ascii="Times New Roman" w:eastAsia="宋体" w:hAnsi="Times New Roman" w:cs="Times New Roman"/>
          <w:b/>
          <w:bCs/>
          <w:color w:val="000000" w:themeColor="text1"/>
          <w:kern w:val="0"/>
          <w:sz w:val="24"/>
        </w:rPr>
        <w:t xml:space="preserve">Supplementary Note </w:t>
      </w:r>
      <w:r>
        <w:rPr>
          <w:rFonts w:ascii="Times New Roman" w:eastAsia="宋体" w:hAnsi="Times New Roman" w:cs="Times New Roman" w:hint="eastAsia"/>
          <w:b/>
          <w:bCs/>
          <w:color w:val="000000" w:themeColor="text1"/>
          <w:kern w:val="0"/>
          <w:sz w:val="24"/>
        </w:rPr>
        <w:t>4</w:t>
      </w:r>
      <w:r w:rsidRPr="00EB5034">
        <w:rPr>
          <w:rFonts w:ascii="Times New Roman" w:eastAsia="宋体" w:hAnsi="Times New Roman" w:cs="Times New Roman"/>
          <w:b/>
          <w:bCs/>
          <w:color w:val="000000" w:themeColor="text1"/>
          <w:kern w:val="0"/>
          <w:sz w:val="24"/>
        </w:rPr>
        <w:t>. ESA configuration selection and split-level diagnostics</w:t>
      </w:r>
    </w:p>
    <w:p w14:paraId="47FB1B40" w14:textId="77777777" w:rsidR="00EB5034" w:rsidRPr="00EB5034" w:rsidRDefault="00EB5034" w:rsidP="00EB5034">
      <w:pPr>
        <w:widowControl/>
        <w:adjustRightInd w:val="0"/>
        <w:snapToGrid w:val="0"/>
        <w:spacing w:line="360" w:lineRule="auto"/>
        <w:rPr>
          <w:rFonts w:ascii="Times New Roman" w:eastAsia="宋体" w:hAnsi="Times New Roman" w:cs="Times New Roman"/>
          <w:color w:val="000000" w:themeColor="text1"/>
          <w:kern w:val="0"/>
          <w:sz w:val="24"/>
        </w:rPr>
      </w:pPr>
      <w:r w:rsidRPr="00EB5034">
        <w:rPr>
          <w:rFonts w:ascii="Times New Roman" w:eastAsia="宋体" w:hAnsi="Times New Roman" w:cs="Times New Roman"/>
          <w:color w:val="000000" w:themeColor="text1"/>
          <w:kern w:val="0"/>
          <w:sz w:val="24"/>
        </w:rPr>
        <w:t xml:space="preserve">This note summarizes the preliminary ESA configuration sweep and the supplementary split-level diagnostics for the selected repair configuration. </w:t>
      </w:r>
      <w:r w:rsidRPr="00EB5034">
        <w:rPr>
          <w:rFonts w:ascii="Times New Roman" w:eastAsia="宋体" w:hAnsi="Times New Roman" w:cs="Times New Roman"/>
          <w:color w:val="000000" w:themeColor="text1"/>
          <w:kern w:val="0"/>
          <w:sz w:val="24"/>
        </w:rPr>
        <w:lastRenderedPageBreak/>
        <w:t>Configuration selection was based only on split-composition and similarity-exposure diagnostics, not on downstream model performance.</w:t>
      </w:r>
    </w:p>
    <w:p w14:paraId="07514D6E" w14:textId="6E64059C" w:rsidR="00EB5034" w:rsidRPr="00EB5034" w:rsidRDefault="00EB5034" w:rsidP="00911029">
      <w:pPr>
        <w:widowControl/>
        <w:adjustRightInd w:val="0"/>
        <w:snapToGrid w:val="0"/>
        <w:spacing w:line="360" w:lineRule="auto"/>
        <w:ind w:firstLineChars="200" w:firstLine="480"/>
        <w:rPr>
          <w:rFonts w:ascii="Times New Roman" w:eastAsia="宋体" w:hAnsi="Times New Roman" w:cs="Times New Roman"/>
          <w:color w:val="000000" w:themeColor="text1"/>
          <w:kern w:val="0"/>
          <w:sz w:val="24"/>
        </w:rPr>
      </w:pPr>
      <w:r w:rsidRPr="00EB5034">
        <w:rPr>
          <w:rFonts w:ascii="Times New Roman" w:eastAsia="宋体" w:hAnsi="Times New Roman" w:cs="Times New Roman"/>
          <w:color w:val="000000" w:themeColor="text1"/>
          <w:kern w:val="0"/>
          <w:sz w:val="24"/>
        </w:rPr>
        <w:t>Before full-dataset ESA evaluation, five predefined ESA configurations, denoted A–E, were evaluated on a fixed set of 10 tuning datasets. The configurations differed in micro-cluster size limits, greedy scoring weights, branch-level lower bounds, and drop penalties. Selection considered support recovery, sink ratio, distribution gap, train-facing similarity exposure, leak rate at a Tanimoto similarity threshold of 0.40, and drop fraction. The composite score reported in Supplementary Table 1</w:t>
      </w:r>
      <w:r w:rsidR="00C72C96">
        <w:rPr>
          <w:rFonts w:ascii="Times New Roman" w:eastAsia="宋体" w:hAnsi="Times New Roman" w:cs="Times New Roman" w:hint="eastAsia"/>
          <w:color w:val="000000" w:themeColor="text1"/>
          <w:kern w:val="0"/>
          <w:sz w:val="24"/>
        </w:rPr>
        <w:t>6</w:t>
      </w:r>
      <w:r w:rsidRPr="00EB5034">
        <w:rPr>
          <w:rFonts w:ascii="Times New Roman" w:eastAsia="宋体" w:hAnsi="Times New Roman" w:cs="Times New Roman"/>
          <w:color w:val="000000" w:themeColor="text1"/>
          <w:kern w:val="0"/>
          <w:sz w:val="24"/>
        </w:rPr>
        <w:t xml:space="preserve"> is included only as a configuration-screening summary; the individual split-level diagnostics used for interpretation are reported alongside it.</w:t>
      </w:r>
    </w:p>
    <w:p w14:paraId="55142D02" w14:textId="1C42F71C" w:rsidR="00EB5034" w:rsidRPr="00EB5034" w:rsidRDefault="00EB5034" w:rsidP="00911029">
      <w:pPr>
        <w:widowControl/>
        <w:adjustRightInd w:val="0"/>
        <w:snapToGrid w:val="0"/>
        <w:spacing w:line="360" w:lineRule="auto"/>
        <w:ind w:firstLineChars="200" w:firstLine="480"/>
        <w:rPr>
          <w:rFonts w:ascii="Times New Roman" w:eastAsia="宋体" w:hAnsi="Times New Roman" w:cs="Times New Roman"/>
          <w:color w:val="000000" w:themeColor="text1"/>
          <w:kern w:val="0"/>
          <w:sz w:val="24"/>
        </w:rPr>
      </w:pPr>
      <w:r w:rsidRPr="00EB5034">
        <w:rPr>
          <w:rFonts w:ascii="Times New Roman" w:eastAsia="宋体" w:hAnsi="Times New Roman" w:cs="Times New Roman"/>
          <w:color w:val="000000" w:themeColor="text1"/>
          <w:kern w:val="0"/>
          <w:sz w:val="24"/>
        </w:rPr>
        <w:t>Two configurations were retained for comparison. ESA-Balanced (A) served as a conservative balanced repair baseline, whereas ESA-</w:t>
      </w:r>
      <w:proofErr w:type="spellStart"/>
      <w:r w:rsidRPr="00EB5034">
        <w:rPr>
          <w:rFonts w:ascii="Times New Roman" w:eastAsia="宋体" w:hAnsi="Times New Roman" w:cs="Times New Roman"/>
          <w:color w:val="000000" w:themeColor="text1"/>
          <w:kern w:val="0"/>
          <w:sz w:val="24"/>
        </w:rPr>
        <w:t>TrainSupport</w:t>
      </w:r>
      <w:proofErr w:type="spellEnd"/>
      <w:r w:rsidRPr="00EB5034">
        <w:rPr>
          <w:rFonts w:ascii="Times New Roman" w:eastAsia="宋体" w:hAnsi="Times New Roman" w:cs="Times New Roman"/>
          <w:color w:val="000000" w:themeColor="text1"/>
          <w:kern w:val="0"/>
          <w:sz w:val="24"/>
        </w:rPr>
        <w:t xml:space="preserve"> (D) prioritized training-side no-scaffold representation. Unless otherwise stated, the main-text ESA analyses use ESA-</w:t>
      </w:r>
      <w:proofErr w:type="spellStart"/>
      <w:r w:rsidRPr="00EB5034">
        <w:rPr>
          <w:rFonts w:ascii="Times New Roman" w:eastAsia="宋体" w:hAnsi="Times New Roman" w:cs="Times New Roman"/>
          <w:color w:val="000000" w:themeColor="text1"/>
          <w:kern w:val="0"/>
          <w:sz w:val="24"/>
        </w:rPr>
        <w:t>TrainSupport</w:t>
      </w:r>
      <w:proofErr w:type="spellEnd"/>
      <w:r w:rsidRPr="00EB5034">
        <w:rPr>
          <w:rFonts w:ascii="Times New Roman" w:eastAsia="宋体" w:hAnsi="Times New Roman" w:cs="Times New Roman"/>
          <w:color w:val="000000" w:themeColor="text1"/>
          <w:kern w:val="0"/>
          <w:sz w:val="24"/>
        </w:rPr>
        <w:t>. Supplementary Table 1</w:t>
      </w:r>
      <w:r w:rsidR="00C72C96">
        <w:rPr>
          <w:rFonts w:ascii="Times New Roman" w:eastAsia="宋体" w:hAnsi="Times New Roman" w:cs="Times New Roman" w:hint="eastAsia"/>
          <w:color w:val="000000" w:themeColor="text1"/>
          <w:kern w:val="0"/>
          <w:sz w:val="24"/>
        </w:rPr>
        <w:t>7</w:t>
      </w:r>
      <w:r w:rsidRPr="00EB5034">
        <w:rPr>
          <w:rFonts w:ascii="Times New Roman" w:eastAsia="宋体" w:hAnsi="Times New Roman" w:cs="Times New Roman"/>
          <w:color w:val="000000" w:themeColor="text1"/>
          <w:kern w:val="0"/>
          <w:sz w:val="24"/>
        </w:rPr>
        <w:t xml:space="preserve"> lists the parameter settings for these two retained configurations.</w:t>
      </w:r>
    </w:p>
    <w:p w14:paraId="020F7A79" w14:textId="73F39F24" w:rsidR="00EB5034" w:rsidRPr="00EB5034" w:rsidRDefault="00EB5034" w:rsidP="00911029">
      <w:pPr>
        <w:widowControl/>
        <w:adjustRightInd w:val="0"/>
        <w:snapToGrid w:val="0"/>
        <w:spacing w:line="360" w:lineRule="auto"/>
        <w:ind w:firstLineChars="200" w:firstLine="480"/>
        <w:rPr>
          <w:rFonts w:ascii="Times New Roman" w:eastAsia="宋体" w:hAnsi="Times New Roman" w:cs="Times New Roman"/>
          <w:color w:val="000000" w:themeColor="text1"/>
          <w:kern w:val="0"/>
          <w:sz w:val="24"/>
        </w:rPr>
      </w:pPr>
      <w:r w:rsidRPr="00EB5034">
        <w:rPr>
          <w:rFonts w:ascii="Times New Roman" w:eastAsia="宋体" w:hAnsi="Times New Roman" w:cs="Times New Roman"/>
          <w:color w:val="000000" w:themeColor="text1"/>
          <w:kern w:val="0"/>
          <w:sz w:val="24"/>
        </w:rPr>
        <w:t>Supplementary Fig</w:t>
      </w:r>
      <w:r w:rsidR="004B4A6F">
        <w:rPr>
          <w:rFonts w:ascii="Times New Roman" w:eastAsia="宋体" w:hAnsi="Times New Roman" w:cs="Times New Roman" w:hint="eastAsia"/>
          <w:color w:val="000000" w:themeColor="text1"/>
          <w:kern w:val="0"/>
          <w:sz w:val="24"/>
        </w:rPr>
        <w:t>.</w:t>
      </w:r>
      <w:r w:rsidRPr="00EB5034">
        <w:rPr>
          <w:rFonts w:ascii="Times New Roman" w:eastAsia="宋体" w:hAnsi="Times New Roman" w:cs="Times New Roman"/>
          <w:color w:val="000000" w:themeColor="text1"/>
          <w:kern w:val="0"/>
          <w:sz w:val="24"/>
        </w:rPr>
        <w:t xml:space="preserve"> 6 provides split-level diagnostics for ESA repair, including no-scaffold proportions across split branches, full-split normalized leakage, comparison between ESA-Balanced and ESA-</w:t>
      </w:r>
      <w:proofErr w:type="spellStart"/>
      <w:r w:rsidRPr="00EB5034">
        <w:rPr>
          <w:rFonts w:ascii="Times New Roman" w:eastAsia="宋体" w:hAnsi="Times New Roman" w:cs="Times New Roman"/>
          <w:color w:val="000000" w:themeColor="text1"/>
          <w:kern w:val="0"/>
          <w:sz w:val="24"/>
        </w:rPr>
        <w:t>TrainSupport</w:t>
      </w:r>
      <w:proofErr w:type="spellEnd"/>
      <w:r w:rsidRPr="00EB5034">
        <w:rPr>
          <w:rFonts w:ascii="Times New Roman" w:eastAsia="宋体" w:hAnsi="Times New Roman" w:cs="Times New Roman"/>
          <w:color w:val="000000" w:themeColor="text1"/>
          <w:kern w:val="0"/>
          <w:sz w:val="24"/>
        </w:rPr>
        <w:t>, and leak rates from no-scaffold validation/test branches to the full training set.</w:t>
      </w:r>
    </w:p>
    <w:p w14:paraId="1C57FD28" w14:textId="77777777" w:rsidR="00EB5034" w:rsidRPr="00CB63E4" w:rsidRDefault="00EB5034" w:rsidP="0050672C">
      <w:pPr>
        <w:widowControl/>
        <w:adjustRightInd w:val="0"/>
        <w:snapToGrid w:val="0"/>
        <w:spacing w:line="360" w:lineRule="auto"/>
        <w:rPr>
          <w:rFonts w:ascii="Times New Roman" w:eastAsia="宋体" w:hAnsi="Times New Roman" w:cs="Times New Roman"/>
          <w:color w:val="000000" w:themeColor="text1"/>
          <w:kern w:val="0"/>
          <w:sz w:val="24"/>
        </w:rPr>
      </w:pPr>
    </w:p>
    <w:p w14:paraId="73F906FF" w14:textId="63208FD2" w:rsidR="004B25B5" w:rsidRPr="00964A51" w:rsidRDefault="00A57895" w:rsidP="0068374D">
      <w:pPr>
        <w:widowControl/>
        <w:adjustRightInd w:val="0"/>
        <w:snapToGrid w:val="0"/>
        <w:spacing w:line="360" w:lineRule="auto"/>
        <w:rPr>
          <w:rFonts w:ascii="Times New Roman" w:eastAsia="宋体" w:hAnsi="Times New Roman" w:cs="Times New Roman"/>
          <w:color w:val="000000" w:themeColor="text1"/>
          <w:kern w:val="0"/>
          <w:sz w:val="24"/>
        </w:rPr>
      </w:pPr>
      <w:bookmarkStart w:id="9" w:name="_Hlk230370975"/>
      <w:bookmarkStart w:id="10" w:name="_Hlk230363043"/>
      <w:r w:rsidRPr="00964A51">
        <w:rPr>
          <w:rFonts w:ascii="Times New Roman" w:eastAsia="宋体" w:hAnsi="Times New Roman" w:cs="Times New Roman"/>
          <w:b/>
          <w:bCs/>
          <w:color w:val="000000" w:themeColor="text1"/>
          <w:kern w:val="0"/>
          <w:sz w:val="24"/>
        </w:rPr>
        <w:t>Supplementary Table</w:t>
      </w:r>
      <w:bookmarkEnd w:id="9"/>
      <w:r w:rsidRPr="00964A51">
        <w:rPr>
          <w:rFonts w:ascii="Times New Roman" w:eastAsia="宋体" w:hAnsi="Times New Roman" w:cs="Times New Roman"/>
          <w:b/>
          <w:bCs/>
          <w:color w:val="000000" w:themeColor="text1"/>
          <w:kern w:val="0"/>
          <w:sz w:val="24"/>
        </w:rPr>
        <w:t xml:space="preserve"> 16</w:t>
      </w:r>
      <w:bookmarkEnd w:id="10"/>
      <w:r w:rsidRPr="00964A51">
        <w:rPr>
          <w:rFonts w:ascii="Times New Roman" w:eastAsia="宋体" w:hAnsi="Times New Roman" w:cs="Times New Roman"/>
          <w:b/>
          <w:bCs/>
          <w:color w:val="000000" w:themeColor="text1"/>
          <w:kern w:val="0"/>
          <w:sz w:val="24"/>
        </w:rPr>
        <w:t xml:space="preserve">. Preliminary ESA configuration sweep across 10 tuning datasets. </w:t>
      </w:r>
      <w:r w:rsidRPr="00964A51">
        <w:rPr>
          <w:rFonts w:ascii="Times New Roman" w:eastAsia="宋体" w:hAnsi="Times New Roman" w:cs="Times New Roman"/>
          <w:color w:val="000000" w:themeColor="text1"/>
          <w:kern w:val="0"/>
          <w:sz w:val="24"/>
        </w:rPr>
        <w:t xml:space="preserve">The table reports split-level diagnostics for five predefined ESA configurations. The median score summarizes the trade-off among support recovery, sink ratio, distribution balance, train-facing similarity exposure, leak rate, and drop fraction; lower values indicate a more favorable trade-off. Maximum leak rate at 0.40 and maximum </w:t>
      </w:r>
      <m:oMath>
        <m:sSub>
          <m:sSubPr>
            <m:ctrlPr>
              <w:rPr>
                <w:rFonts w:ascii="Cambria Math" w:eastAsia="宋体" w:hAnsi="Cambria Math" w:cs="Times New Roman"/>
                <w:i/>
                <w:color w:val="000000" w:themeColor="text1"/>
                <w:kern w:val="0"/>
                <w:sz w:val="24"/>
              </w:rPr>
            </m:ctrlPr>
          </m:sSubPr>
          <m:e>
            <m:r>
              <w:rPr>
                <w:rFonts w:ascii="Cambria Math" w:eastAsia="宋体" w:hAnsi="Cambria Math" w:cs="Times New Roman"/>
                <w:color w:val="000000" w:themeColor="text1"/>
                <w:kern w:val="0"/>
                <w:sz w:val="24"/>
              </w:rPr>
              <m:t>L</m:t>
            </m:r>
          </m:e>
          <m:sub>
            <m:r>
              <m:rPr>
                <m:nor/>
              </m:rPr>
              <w:rPr>
                <w:rFonts w:ascii="Cambria Math" w:eastAsia="宋体" w:hAnsi="Cambria Math" w:cs="Times New Roman"/>
                <w:color w:val="000000" w:themeColor="text1"/>
                <w:kern w:val="0"/>
                <w:sz w:val="24"/>
              </w:rPr>
              <m:t>norm</m:t>
            </m:r>
          </m:sub>
        </m:sSub>
      </m:oMath>
      <w:r w:rsidRPr="00964A51">
        <w:rPr>
          <w:rFonts w:ascii="Times New Roman" w:eastAsia="宋体" w:hAnsi="Times New Roman" w:cs="Times New Roman"/>
          <w:color w:val="000000" w:themeColor="text1"/>
          <w:kern w:val="0"/>
          <w:sz w:val="24"/>
        </w:rPr>
        <w:t xml:space="preserve"> are computed across the no-scaffold validation and test branches.</w:t>
      </w:r>
    </w:p>
    <w:tbl>
      <w:tblPr>
        <w:tblStyle w:val="a8"/>
        <w:tblW w:w="0" w:type="auto"/>
        <w:tblInd w:w="250" w:type="dxa"/>
        <w:tblLayout w:type="fixed"/>
        <w:tblLook w:val="04A0" w:firstRow="1" w:lastRow="0" w:firstColumn="1" w:lastColumn="0" w:noHBand="0" w:noVBand="1"/>
      </w:tblPr>
      <w:tblGrid>
        <w:gridCol w:w="1418"/>
        <w:gridCol w:w="1417"/>
        <w:gridCol w:w="851"/>
        <w:gridCol w:w="992"/>
        <w:gridCol w:w="1276"/>
        <w:gridCol w:w="1134"/>
        <w:gridCol w:w="850"/>
      </w:tblGrid>
      <w:tr w:rsidR="00085749" w:rsidRPr="00CB63E4" w14:paraId="1134B402" w14:textId="77777777" w:rsidTr="00CB63E4">
        <w:trPr>
          <w:trHeight w:val="900"/>
        </w:trPr>
        <w:tc>
          <w:tcPr>
            <w:tcW w:w="1418" w:type="dxa"/>
            <w:shd w:val="clear" w:color="auto" w:fill="1F4E78"/>
            <w:vAlign w:val="center"/>
            <w:hideMark/>
          </w:tcPr>
          <w:p w14:paraId="338E4D3D"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Configuration</w:t>
            </w:r>
          </w:p>
        </w:tc>
        <w:tc>
          <w:tcPr>
            <w:tcW w:w="1417" w:type="dxa"/>
            <w:shd w:val="clear" w:color="auto" w:fill="1F4E78"/>
            <w:vAlign w:val="center"/>
            <w:hideMark/>
          </w:tcPr>
          <w:p w14:paraId="7535E683"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Priority</w:t>
            </w:r>
          </w:p>
        </w:tc>
        <w:tc>
          <w:tcPr>
            <w:tcW w:w="851" w:type="dxa"/>
            <w:shd w:val="clear" w:color="auto" w:fill="1F4E78"/>
            <w:vAlign w:val="center"/>
            <w:hideMark/>
          </w:tcPr>
          <w:p w14:paraId="2FD92920" w14:textId="07542A8C" w:rsidR="004B25B5" w:rsidRPr="00CB63E4" w:rsidRDefault="004B25B5" w:rsidP="00715E0C">
            <w:pPr>
              <w:widowControl/>
              <w:adjustRightInd w:val="0"/>
              <w:snapToGrid w:val="0"/>
              <w:spacing w:line="360" w:lineRule="auto"/>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Median score</w:t>
            </w:r>
          </w:p>
        </w:tc>
        <w:tc>
          <w:tcPr>
            <w:tcW w:w="992" w:type="dxa"/>
            <w:shd w:val="clear" w:color="auto" w:fill="1F4E78"/>
            <w:vAlign w:val="center"/>
            <w:hideMark/>
          </w:tcPr>
          <w:p w14:paraId="390B7C14"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Median support recovery</w:t>
            </w:r>
          </w:p>
        </w:tc>
        <w:tc>
          <w:tcPr>
            <w:tcW w:w="1276" w:type="dxa"/>
            <w:shd w:val="clear" w:color="auto" w:fill="1F4E78"/>
            <w:vAlign w:val="center"/>
            <w:hideMark/>
          </w:tcPr>
          <w:p w14:paraId="08A3E1BD"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Median sink ratio</w:t>
            </w:r>
          </w:p>
        </w:tc>
        <w:tc>
          <w:tcPr>
            <w:tcW w:w="1134" w:type="dxa"/>
            <w:shd w:val="clear" w:color="auto" w:fill="1F4E78"/>
            <w:vAlign w:val="center"/>
            <w:hideMark/>
          </w:tcPr>
          <w:p w14:paraId="1217B44E" w14:textId="5BECF4E0" w:rsidR="004B25B5" w:rsidRPr="00CB63E4" w:rsidRDefault="004B25B5" w:rsidP="00715E0C">
            <w:pPr>
              <w:widowControl/>
              <w:adjustRightInd w:val="0"/>
              <w:snapToGrid w:val="0"/>
              <w:spacing w:line="360" w:lineRule="auto"/>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Max leak rate@0.4</w:t>
            </w:r>
          </w:p>
        </w:tc>
        <w:tc>
          <w:tcPr>
            <w:tcW w:w="850" w:type="dxa"/>
            <w:shd w:val="clear" w:color="auto" w:fill="1F4E78"/>
            <w:vAlign w:val="center"/>
            <w:hideMark/>
          </w:tcPr>
          <w:p w14:paraId="326CC0FF" w14:textId="2C7B0AA5" w:rsidR="004B25B5" w:rsidRPr="00CB63E4" w:rsidRDefault="004B25B5" w:rsidP="00715E0C">
            <w:pPr>
              <w:widowControl/>
              <w:adjustRightInd w:val="0"/>
              <w:snapToGrid w:val="0"/>
              <w:spacing w:line="360" w:lineRule="auto"/>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 xml:space="preserve">Max </w:t>
            </w:r>
            <m:oMath>
              <m:sSub>
                <m:sSubPr>
                  <m:ctrlPr>
                    <w:rPr>
                      <w:rFonts w:ascii="Cambria Math" w:eastAsia="宋体" w:hAnsi="Cambria Math" w:cs="Times New Roman"/>
                      <w:b/>
                      <w:bCs/>
                      <w:i/>
                      <w:color w:val="FFFFFF" w:themeColor="background1"/>
                      <w:kern w:val="0"/>
                      <w:sz w:val="18"/>
                      <w:szCs w:val="18"/>
                    </w:rPr>
                  </m:ctrlPr>
                </m:sSubPr>
                <m:e>
                  <m:r>
                    <m:rPr>
                      <m:sty m:val="bi"/>
                    </m:rPr>
                    <w:rPr>
                      <w:rFonts w:ascii="Cambria Math" w:eastAsia="宋体" w:hAnsi="Cambria Math" w:cs="Times New Roman"/>
                      <w:color w:val="FFFFFF" w:themeColor="background1"/>
                      <w:kern w:val="0"/>
                      <w:sz w:val="18"/>
                      <w:szCs w:val="18"/>
                    </w:rPr>
                    <m:t>L</m:t>
                  </m:r>
                </m:e>
                <m:sub>
                  <m:r>
                    <m:rPr>
                      <m:nor/>
                    </m:rPr>
                    <w:rPr>
                      <w:rFonts w:ascii="Times New Roman" w:eastAsia="宋体" w:hAnsi="Times New Roman" w:cs="Times New Roman"/>
                      <w:b/>
                      <w:bCs/>
                      <w:color w:val="FFFFFF" w:themeColor="background1"/>
                      <w:kern w:val="0"/>
                      <w:sz w:val="18"/>
                      <w:szCs w:val="18"/>
                    </w:rPr>
                    <m:t>norm</m:t>
                  </m:r>
                </m:sub>
              </m:sSub>
            </m:oMath>
            <w:r w:rsidRPr="00CB63E4">
              <w:rPr>
                <w:rFonts w:ascii="Times New Roman" w:eastAsia="宋体" w:hAnsi="Times New Roman" w:cs="Times New Roman"/>
                <w:b/>
                <w:bCs/>
                <w:color w:val="FFFFFF" w:themeColor="background1"/>
                <w:kern w:val="0"/>
                <w:sz w:val="18"/>
                <w:szCs w:val="18"/>
              </w:rPr>
              <w:t>​</w:t>
            </w:r>
          </w:p>
        </w:tc>
      </w:tr>
      <w:tr w:rsidR="00085749" w:rsidRPr="00CB63E4" w14:paraId="66ADB5F9" w14:textId="77777777" w:rsidTr="00085749">
        <w:trPr>
          <w:trHeight w:val="570"/>
        </w:trPr>
        <w:tc>
          <w:tcPr>
            <w:tcW w:w="1418" w:type="dxa"/>
            <w:vAlign w:val="center"/>
            <w:hideMark/>
          </w:tcPr>
          <w:p w14:paraId="2DEA5B23" w14:textId="6BDEF376" w:rsidR="004B25B5" w:rsidRPr="00CB63E4" w:rsidRDefault="00085749" w:rsidP="00085749">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ESA-Balanced (</w:t>
            </w:r>
            <w:r w:rsidR="004B25B5" w:rsidRPr="00CB63E4">
              <w:rPr>
                <w:rFonts w:ascii="Times New Roman" w:eastAsia="宋体" w:hAnsi="Times New Roman" w:cs="Times New Roman"/>
                <w:color w:val="000000" w:themeColor="text1"/>
                <w:kern w:val="0"/>
                <w:sz w:val="18"/>
                <w:szCs w:val="18"/>
              </w:rPr>
              <w:t>A</w:t>
            </w:r>
            <w:r w:rsidRPr="00CB63E4">
              <w:rPr>
                <w:rFonts w:ascii="Times New Roman" w:eastAsia="宋体" w:hAnsi="Times New Roman" w:cs="Times New Roman"/>
                <w:color w:val="000000" w:themeColor="text1"/>
                <w:kern w:val="0"/>
                <w:sz w:val="18"/>
                <w:szCs w:val="18"/>
              </w:rPr>
              <w:t>)</w:t>
            </w:r>
          </w:p>
        </w:tc>
        <w:tc>
          <w:tcPr>
            <w:tcW w:w="1417" w:type="dxa"/>
            <w:vAlign w:val="center"/>
            <w:hideMark/>
          </w:tcPr>
          <w:p w14:paraId="12B72037"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Balanced repair</w:t>
            </w:r>
          </w:p>
        </w:tc>
        <w:tc>
          <w:tcPr>
            <w:tcW w:w="851" w:type="dxa"/>
            <w:vAlign w:val="center"/>
            <w:hideMark/>
          </w:tcPr>
          <w:p w14:paraId="165B90EF"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0.192</w:t>
            </w:r>
          </w:p>
        </w:tc>
        <w:tc>
          <w:tcPr>
            <w:tcW w:w="992" w:type="dxa"/>
            <w:vAlign w:val="center"/>
            <w:hideMark/>
          </w:tcPr>
          <w:p w14:paraId="51D3E815"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1.125</w:t>
            </w:r>
          </w:p>
        </w:tc>
        <w:tc>
          <w:tcPr>
            <w:tcW w:w="1276" w:type="dxa"/>
            <w:vAlign w:val="center"/>
            <w:hideMark/>
          </w:tcPr>
          <w:p w14:paraId="497B3D81"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0.522</w:t>
            </w:r>
          </w:p>
        </w:tc>
        <w:tc>
          <w:tcPr>
            <w:tcW w:w="1134" w:type="dxa"/>
            <w:vAlign w:val="center"/>
            <w:hideMark/>
          </w:tcPr>
          <w:p w14:paraId="17F34978"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0.134</w:t>
            </w:r>
          </w:p>
        </w:tc>
        <w:tc>
          <w:tcPr>
            <w:tcW w:w="850" w:type="dxa"/>
            <w:vAlign w:val="center"/>
            <w:hideMark/>
          </w:tcPr>
          <w:p w14:paraId="6B563EA2"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0.041</w:t>
            </w:r>
          </w:p>
        </w:tc>
      </w:tr>
      <w:tr w:rsidR="00085749" w:rsidRPr="00CB63E4" w14:paraId="1D85BD6C" w14:textId="77777777" w:rsidTr="00085749">
        <w:trPr>
          <w:trHeight w:val="285"/>
        </w:trPr>
        <w:tc>
          <w:tcPr>
            <w:tcW w:w="1418" w:type="dxa"/>
            <w:vAlign w:val="center"/>
            <w:hideMark/>
          </w:tcPr>
          <w:p w14:paraId="312B0BAB"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B</w:t>
            </w:r>
          </w:p>
        </w:tc>
        <w:tc>
          <w:tcPr>
            <w:tcW w:w="1417" w:type="dxa"/>
            <w:vAlign w:val="center"/>
            <w:hideMark/>
          </w:tcPr>
          <w:p w14:paraId="5B6B5C69"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Test-leakage priority</w:t>
            </w:r>
          </w:p>
        </w:tc>
        <w:tc>
          <w:tcPr>
            <w:tcW w:w="851" w:type="dxa"/>
            <w:vAlign w:val="center"/>
            <w:hideMark/>
          </w:tcPr>
          <w:p w14:paraId="40C51850"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0.202</w:t>
            </w:r>
          </w:p>
        </w:tc>
        <w:tc>
          <w:tcPr>
            <w:tcW w:w="992" w:type="dxa"/>
            <w:vAlign w:val="center"/>
            <w:hideMark/>
          </w:tcPr>
          <w:p w14:paraId="64428BAD"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1.124</w:t>
            </w:r>
          </w:p>
        </w:tc>
        <w:tc>
          <w:tcPr>
            <w:tcW w:w="1276" w:type="dxa"/>
            <w:vAlign w:val="center"/>
            <w:hideMark/>
          </w:tcPr>
          <w:p w14:paraId="67F56B26"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0.609</w:t>
            </w:r>
          </w:p>
        </w:tc>
        <w:tc>
          <w:tcPr>
            <w:tcW w:w="1134" w:type="dxa"/>
            <w:vAlign w:val="center"/>
            <w:hideMark/>
          </w:tcPr>
          <w:p w14:paraId="4D1C81F2"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0.183</w:t>
            </w:r>
          </w:p>
        </w:tc>
        <w:tc>
          <w:tcPr>
            <w:tcW w:w="850" w:type="dxa"/>
            <w:vAlign w:val="center"/>
            <w:hideMark/>
          </w:tcPr>
          <w:p w14:paraId="59B20564"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0.058</w:t>
            </w:r>
          </w:p>
        </w:tc>
      </w:tr>
      <w:tr w:rsidR="00085749" w:rsidRPr="00CB63E4" w14:paraId="5ADEC86C" w14:textId="77777777" w:rsidTr="00085749">
        <w:trPr>
          <w:trHeight w:val="285"/>
        </w:trPr>
        <w:tc>
          <w:tcPr>
            <w:tcW w:w="1418" w:type="dxa"/>
            <w:vAlign w:val="center"/>
            <w:hideMark/>
          </w:tcPr>
          <w:p w14:paraId="2EC0A7E2"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C</w:t>
            </w:r>
          </w:p>
        </w:tc>
        <w:tc>
          <w:tcPr>
            <w:tcW w:w="1417" w:type="dxa"/>
            <w:vAlign w:val="center"/>
            <w:hideMark/>
          </w:tcPr>
          <w:p w14:paraId="2FF5662A"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Distribution-uni</w:t>
            </w:r>
            <w:r w:rsidRPr="00CB63E4">
              <w:rPr>
                <w:rFonts w:ascii="Times New Roman" w:eastAsia="宋体" w:hAnsi="Times New Roman" w:cs="Times New Roman"/>
                <w:color w:val="000000" w:themeColor="text1"/>
                <w:kern w:val="0"/>
                <w:sz w:val="18"/>
                <w:szCs w:val="18"/>
              </w:rPr>
              <w:lastRenderedPageBreak/>
              <w:t>formity priority</w:t>
            </w:r>
          </w:p>
        </w:tc>
        <w:tc>
          <w:tcPr>
            <w:tcW w:w="851" w:type="dxa"/>
            <w:vAlign w:val="center"/>
            <w:hideMark/>
          </w:tcPr>
          <w:p w14:paraId="745D23A9"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lastRenderedPageBreak/>
              <w:t>0.21</w:t>
            </w:r>
          </w:p>
        </w:tc>
        <w:tc>
          <w:tcPr>
            <w:tcW w:w="992" w:type="dxa"/>
            <w:vAlign w:val="center"/>
            <w:hideMark/>
          </w:tcPr>
          <w:p w14:paraId="342DF265"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1.073</w:t>
            </w:r>
          </w:p>
        </w:tc>
        <w:tc>
          <w:tcPr>
            <w:tcW w:w="1276" w:type="dxa"/>
            <w:vAlign w:val="center"/>
            <w:hideMark/>
          </w:tcPr>
          <w:p w14:paraId="61B8EB06"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0.73</w:t>
            </w:r>
          </w:p>
        </w:tc>
        <w:tc>
          <w:tcPr>
            <w:tcW w:w="1134" w:type="dxa"/>
            <w:vAlign w:val="center"/>
            <w:hideMark/>
          </w:tcPr>
          <w:p w14:paraId="0E1D3952"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0.187</w:t>
            </w:r>
          </w:p>
        </w:tc>
        <w:tc>
          <w:tcPr>
            <w:tcW w:w="850" w:type="dxa"/>
            <w:vAlign w:val="center"/>
            <w:hideMark/>
          </w:tcPr>
          <w:p w14:paraId="122CC719"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0.051</w:t>
            </w:r>
          </w:p>
        </w:tc>
      </w:tr>
      <w:tr w:rsidR="00085749" w:rsidRPr="00CB63E4" w14:paraId="0865CC0C" w14:textId="77777777" w:rsidTr="00085749">
        <w:trPr>
          <w:trHeight w:val="570"/>
        </w:trPr>
        <w:tc>
          <w:tcPr>
            <w:tcW w:w="1418" w:type="dxa"/>
            <w:vAlign w:val="center"/>
            <w:hideMark/>
          </w:tcPr>
          <w:p w14:paraId="2FBBB5DF" w14:textId="5D652798" w:rsidR="004B25B5" w:rsidRPr="00CB63E4" w:rsidRDefault="00085749" w:rsidP="00085749">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ESA-</w:t>
            </w:r>
            <w:proofErr w:type="spellStart"/>
            <w:r w:rsidRPr="00CB63E4">
              <w:rPr>
                <w:rFonts w:ascii="Times New Roman" w:eastAsia="宋体" w:hAnsi="Times New Roman" w:cs="Times New Roman"/>
                <w:color w:val="000000" w:themeColor="text1"/>
                <w:kern w:val="0"/>
                <w:sz w:val="18"/>
                <w:szCs w:val="18"/>
              </w:rPr>
              <w:t>TrainSupport</w:t>
            </w:r>
            <w:proofErr w:type="spellEnd"/>
            <w:r w:rsidRPr="00CB63E4">
              <w:rPr>
                <w:rFonts w:ascii="Times New Roman" w:eastAsia="宋体" w:hAnsi="Times New Roman" w:cs="Times New Roman"/>
                <w:color w:val="000000" w:themeColor="text1"/>
                <w:kern w:val="0"/>
                <w:sz w:val="18"/>
                <w:szCs w:val="18"/>
              </w:rPr>
              <w:t xml:space="preserve"> (D)</w:t>
            </w:r>
          </w:p>
        </w:tc>
        <w:tc>
          <w:tcPr>
            <w:tcW w:w="1417" w:type="dxa"/>
            <w:vAlign w:val="center"/>
            <w:hideMark/>
          </w:tcPr>
          <w:p w14:paraId="4F3CEF4C"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Train-support priority</w:t>
            </w:r>
          </w:p>
        </w:tc>
        <w:tc>
          <w:tcPr>
            <w:tcW w:w="851" w:type="dxa"/>
            <w:vAlign w:val="center"/>
            <w:hideMark/>
          </w:tcPr>
          <w:p w14:paraId="6FB514CB"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0.167</w:t>
            </w:r>
          </w:p>
        </w:tc>
        <w:tc>
          <w:tcPr>
            <w:tcW w:w="992" w:type="dxa"/>
            <w:vAlign w:val="center"/>
            <w:hideMark/>
          </w:tcPr>
          <w:p w14:paraId="10EB95F4"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1.148</w:t>
            </w:r>
          </w:p>
        </w:tc>
        <w:tc>
          <w:tcPr>
            <w:tcW w:w="1276" w:type="dxa"/>
            <w:vAlign w:val="center"/>
            <w:hideMark/>
          </w:tcPr>
          <w:p w14:paraId="38E45BD3"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0.417</w:t>
            </w:r>
          </w:p>
        </w:tc>
        <w:tc>
          <w:tcPr>
            <w:tcW w:w="1134" w:type="dxa"/>
            <w:vAlign w:val="center"/>
            <w:hideMark/>
          </w:tcPr>
          <w:p w14:paraId="2BA3919C"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0.135</w:t>
            </w:r>
          </w:p>
        </w:tc>
        <w:tc>
          <w:tcPr>
            <w:tcW w:w="850" w:type="dxa"/>
            <w:vAlign w:val="center"/>
            <w:hideMark/>
          </w:tcPr>
          <w:p w14:paraId="3D15CCFD"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0.046</w:t>
            </w:r>
          </w:p>
        </w:tc>
      </w:tr>
      <w:tr w:rsidR="00085749" w:rsidRPr="00CB63E4" w14:paraId="2EEE338F" w14:textId="77777777" w:rsidTr="00085749">
        <w:trPr>
          <w:trHeight w:val="285"/>
        </w:trPr>
        <w:tc>
          <w:tcPr>
            <w:tcW w:w="1418" w:type="dxa"/>
            <w:vAlign w:val="center"/>
            <w:hideMark/>
          </w:tcPr>
          <w:p w14:paraId="44519C6F"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E</w:t>
            </w:r>
          </w:p>
        </w:tc>
        <w:tc>
          <w:tcPr>
            <w:tcW w:w="1417" w:type="dxa"/>
            <w:vAlign w:val="center"/>
            <w:hideMark/>
          </w:tcPr>
          <w:p w14:paraId="09EB3162"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Strict low-leakage</w:t>
            </w:r>
          </w:p>
        </w:tc>
        <w:tc>
          <w:tcPr>
            <w:tcW w:w="851" w:type="dxa"/>
            <w:vAlign w:val="center"/>
            <w:hideMark/>
          </w:tcPr>
          <w:p w14:paraId="1ED23506"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0.186</w:t>
            </w:r>
          </w:p>
        </w:tc>
        <w:tc>
          <w:tcPr>
            <w:tcW w:w="992" w:type="dxa"/>
            <w:vAlign w:val="center"/>
            <w:hideMark/>
          </w:tcPr>
          <w:p w14:paraId="0148F868"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1.125</w:t>
            </w:r>
          </w:p>
        </w:tc>
        <w:tc>
          <w:tcPr>
            <w:tcW w:w="1276" w:type="dxa"/>
            <w:vAlign w:val="center"/>
            <w:hideMark/>
          </w:tcPr>
          <w:p w14:paraId="676E5D5C"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0.522</w:t>
            </w:r>
          </w:p>
        </w:tc>
        <w:tc>
          <w:tcPr>
            <w:tcW w:w="1134" w:type="dxa"/>
            <w:vAlign w:val="center"/>
            <w:hideMark/>
          </w:tcPr>
          <w:p w14:paraId="10007961"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0.171</w:t>
            </w:r>
          </w:p>
        </w:tc>
        <w:tc>
          <w:tcPr>
            <w:tcW w:w="850" w:type="dxa"/>
            <w:vAlign w:val="center"/>
            <w:hideMark/>
          </w:tcPr>
          <w:p w14:paraId="7D3D2CD7" w14:textId="77777777" w:rsidR="004B25B5" w:rsidRPr="00CB63E4" w:rsidRDefault="004B25B5" w:rsidP="00715E0C">
            <w:pPr>
              <w:widowControl/>
              <w:adjustRightInd w:val="0"/>
              <w:snapToGrid w:val="0"/>
              <w:spacing w:line="360" w:lineRule="auto"/>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0.054</w:t>
            </w:r>
          </w:p>
        </w:tc>
      </w:tr>
    </w:tbl>
    <w:p w14:paraId="1423465D" w14:textId="77777777" w:rsidR="004B25B5" w:rsidRPr="00CB63E4" w:rsidRDefault="004B25B5" w:rsidP="0050672C">
      <w:pPr>
        <w:widowControl/>
        <w:adjustRightInd w:val="0"/>
        <w:snapToGrid w:val="0"/>
        <w:spacing w:line="360" w:lineRule="auto"/>
        <w:rPr>
          <w:rFonts w:ascii="Times New Roman" w:eastAsia="宋体" w:hAnsi="Times New Roman" w:cs="Times New Roman"/>
          <w:color w:val="000000" w:themeColor="text1"/>
          <w:kern w:val="0"/>
          <w:sz w:val="24"/>
        </w:rPr>
      </w:pPr>
    </w:p>
    <w:p w14:paraId="2C8557BE" w14:textId="6AA86975" w:rsidR="00ED387F" w:rsidRPr="00964A51" w:rsidRDefault="00013B1F" w:rsidP="00A57895">
      <w:pPr>
        <w:keepNext/>
        <w:widowControl/>
        <w:adjustRightInd w:val="0"/>
        <w:snapToGrid w:val="0"/>
        <w:spacing w:line="360" w:lineRule="auto"/>
        <w:rPr>
          <w:rFonts w:ascii="Times New Roman" w:eastAsia="宋体" w:hAnsi="Times New Roman" w:cs="Times New Roman"/>
          <w:color w:val="000000" w:themeColor="text1"/>
          <w:kern w:val="0"/>
          <w:sz w:val="24"/>
        </w:rPr>
      </w:pPr>
      <w:r w:rsidRPr="00964A51">
        <w:rPr>
          <w:rFonts w:ascii="Times New Roman" w:eastAsia="宋体" w:hAnsi="Times New Roman" w:cs="Times New Roman"/>
          <w:b/>
          <w:bCs/>
          <w:color w:val="000000" w:themeColor="text1"/>
          <w:kern w:val="0"/>
          <w:sz w:val="24"/>
        </w:rPr>
        <w:t xml:space="preserve">Supplementary Table </w:t>
      </w:r>
      <w:r w:rsidR="00EB5034" w:rsidRPr="00964A51">
        <w:rPr>
          <w:rFonts w:ascii="Times New Roman" w:eastAsia="宋体" w:hAnsi="Times New Roman" w:cs="Times New Roman" w:hint="eastAsia"/>
          <w:b/>
          <w:bCs/>
          <w:color w:val="000000" w:themeColor="text1"/>
          <w:kern w:val="0"/>
          <w:sz w:val="24"/>
        </w:rPr>
        <w:t>17</w:t>
      </w:r>
      <w:r w:rsidRPr="00964A51">
        <w:rPr>
          <w:rFonts w:ascii="Times New Roman" w:eastAsia="宋体" w:hAnsi="Times New Roman" w:cs="Times New Roman"/>
          <w:b/>
          <w:bCs/>
          <w:color w:val="000000" w:themeColor="text1"/>
          <w:kern w:val="0"/>
          <w:sz w:val="24"/>
        </w:rPr>
        <w:t>. ESA-Balanced and ESA-</w:t>
      </w:r>
      <w:proofErr w:type="spellStart"/>
      <w:r w:rsidRPr="00964A51">
        <w:rPr>
          <w:rFonts w:ascii="Times New Roman" w:eastAsia="宋体" w:hAnsi="Times New Roman" w:cs="Times New Roman"/>
          <w:b/>
          <w:bCs/>
          <w:color w:val="000000" w:themeColor="text1"/>
          <w:kern w:val="0"/>
          <w:sz w:val="24"/>
        </w:rPr>
        <w:t>TrainSupport</w:t>
      </w:r>
      <w:proofErr w:type="spellEnd"/>
      <w:r w:rsidRPr="00964A51">
        <w:rPr>
          <w:rFonts w:ascii="Times New Roman" w:eastAsia="宋体" w:hAnsi="Times New Roman" w:cs="Times New Roman"/>
          <w:b/>
          <w:bCs/>
          <w:color w:val="000000" w:themeColor="text1"/>
          <w:kern w:val="0"/>
          <w:sz w:val="24"/>
        </w:rPr>
        <w:t xml:space="preserve"> configurations retained after preliminary screening.</w:t>
      </w:r>
      <w:r w:rsidR="00BE7299" w:rsidRPr="00964A51">
        <w:rPr>
          <w:rFonts w:ascii="Times New Roman" w:eastAsia="宋体" w:hAnsi="Times New Roman" w:cs="Times New Roman" w:hint="eastAsia"/>
          <w:b/>
          <w:bCs/>
          <w:color w:val="000000" w:themeColor="text1"/>
          <w:kern w:val="0"/>
          <w:sz w:val="24"/>
        </w:rPr>
        <w:t xml:space="preserve"> </w:t>
      </w:r>
      <w:r w:rsidRPr="00964A51">
        <w:rPr>
          <w:rFonts w:ascii="Times New Roman" w:eastAsia="宋体" w:hAnsi="Times New Roman" w:cs="Times New Roman"/>
          <w:color w:val="000000" w:themeColor="text1"/>
          <w:kern w:val="0"/>
          <w:sz w:val="24"/>
        </w:rPr>
        <w:t xml:space="preserve">The table lists the maximum micro-cluster fraction, coupled greedy scoring weights, branch-level lower bounds, drop budget, and similarity sampling cap for the two retained ESA configurations. Greedy scoring weights are ordered as </w:t>
      </w:r>
      <m:oMath>
        <m:sSub>
          <m:sSubPr>
            <m:ctrlPr>
              <w:rPr>
                <w:rFonts w:ascii="Cambria Math" w:eastAsia="宋体" w:hAnsi="Cambria Math" w:cs="Times New Roman"/>
                <w:i/>
                <w:color w:val="000000" w:themeColor="text1"/>
                <w:kern w:val="0"/>
                <w:sz w:val="24"/>
              </w:rPr>
            </m:ctrlPr>
          </m:sSubPr>
          <m:e>
            <m:r>
              <m:rPr>
                <m:sty m:val="p"/>
              </m:rPr>
              <w:rPr>
                <w:rFonts w:ascii="Cambria Math" w:eastAsia="宋体" w:hAnsi="Cambria Math" w:cs="Times New Roman"/>
                <w:color w:val="000000" w:themeColor="text1"/>
                <w:kern w:val="0"/>
                <w:sz w:val="24"/>
              </w:rPr>
              <m:t>λ</m:t>
            </m:r>
            <m:ctrlPr>
              <w:rPr>
                <w:rFonts w:ascii="Cambria Math" w:eastAsia="宋体" w:hAnsi="Cambria Math" w:cs="Times New Roman"/>
                <w:color w:val="000000" w:themeColor="text1"/>
                <w:kern w:val="0"/>
                <w:sz w:val="24"/>
              </w:rPr>
            </m:ctrlPr>
          </m:e>
          <m:sub>
            <m:r>
              <m:rPr>
                <m:nor/>
              </m:rPr>
              <w:rPr>
                <w:rFonts w:ascii="Cambria Math" w:eastAsia="宋体" w:hAnsi="Cambria Math" w:cs="Times New Roman"/>
                <w:color w:val="000000" w:themeColor="text1"/>
                <w:kern w:val="0"/>
                <w:sz w:val="24"/>
              </w:rPr>
              <m:t>internal</m:t>
            </m:r>
          </m:sub>
        </m:sSub>
      </m:oMath>
      <w:r w:rsidRPr="00964A51">
        <w:rPr>
          <w:rFonts w:ascii="Times New Roman" w:eastAsia="宋体" w:hAnsi="Times New Roman" w:cs="Times New Roman"/>
          <w:color w:val="000000" w:themeColor="text1"/>
          <w:kern w:val="0"/>
          <w:sz w:val="24"/>
        </w:rPr>
        <w:t xml:space="preserve">, </w:t>
      </w:r>
      <m:oMath>
        <m:sSub>
          <m:sSubPr>
            <m:ctrlPr>
              <w:rPr>
                <w:rFonts w:ascii="Cambria Math" w:eastAsia="宋体" w:hAnsi="Cambria Math" w:cs="Times New Roman"/>
                <w:i/>
                <w:color w:val="000000" w:themeColor="text1"/>
                <w:kern w:val="0"/>
                <w:sz w:val="24"/>
              </w:rPr>
            </m:ctrlPr>
          </m:sSubPr>
          <m:e>
            <m:r>
              <m:rPr>
                <m:sty m:val="p"/>
              </m:rPr>
              <w:rPr>
                <w:rFonts w:ascii="Cambria Math" w:eastAsia="宋体" w:hAnsi="Cambria Math" w:cs="Times New Roman"/>
                <w:color w:val="000000" w:themeColor="text1"/>
                <w:kern w:val="0"/>
                <w:sz w:val="24"/>
              </w:rPr>
              <m:t>λ</m:t>
            </m:r>
            <m:ctrlPr>
              <w:rPr>
                <w:rFonts w:ascii="Cambria Math" w:eastAsia="宋体" w:hAnsi="Cambria Math" w:cs="Times New Roman"/>
                <w:color w:val="000000" w:themeColor="text1"/>
                <w:kern w:val="0"/>
                <w:sz w:val="24"/>
              </w:rPr>
            </m:ctrlPr>
          </m:e>
          <m:sub>
            <m:r>
              <m:rPr>
                <m:nor/>
              </m:rPr>
              <w:rPr>
                <w:rFonts w:ascii="Cambria Math" w:eastAsia="宋体" w:hAnsi="Cambria Math" w:cs="Times New Roman"/>
                <w:color w:val="000000" w:themeColor="text1"/>
                <w:kern w:val="0"/>
                <w:sz w:val="24"/>
              </w:rPr>
              <m:t>valid-train</m:t>
            </m:r>
          </m:sub>
        </m:sSub>
      </m:oMath>
      <w:r w:rsidRPr="00964A51">
        <w:rPr>
          <w:rFonts w:ascii="Times New Roman" w:eastAsia="宋体" w:hAnsi="Times New Roman" w:cs="Times New Roman"/>
          <w:color w:val="000000" w:themeColor="text1"/>
          <w:kern w:val="0"/>
          <w:sz w:val="24"/>
        </w:rPr>
        <w:t xml:space="preserve">​, </w:t>
      </w:r>
      <m:oMath>
        <m:sSub>
          <m:sSubPr>
            <m:ctrlPr>
              <w:rPr>
                <w:rFonts w:ascii="Cambria Math" w:eastAsia="宋体" w:hAnsi="Cambria Math" w:cs="Times New Roman"/>
                <w:i/>
                <w:color w:val="000000" w:themeColor="text1"/>
                <w:kern w:val="0"/>
                <w:sz w:val="24"/>
              </w:rPr>
            </m:ctrlPr>
          </m:sSubPr>
          <m:e>
            <m:r>
              <m:rPr>
                <m:sty m:val="p"/>
              </m:rPr>
              <w:rPr>
                <w:rFonts w:ascii="Cambria Math" w:eastAsia="宋体" w:hAnsi="Cambria Math" w:cs="Times New Roman"/>
                <w:color w:val="000000" w:themeColor="text1"/>
                <w:kern w:val="0"/>
                <w:sz w:val="24"/>
              </w:rPr>
              <m:t>λ</m:t>
            </m:r>
            <m:ctrlPr>
              <w:rPr>
                <w:rFonts w:ascii="Cambria Math" w:eastAsia="宋体" w:hAnsi="Cambria Math" w:cs="Times New Roman"/>
                <w:color w:val="000000" w:themeColor="text1"/>
                <w:kern w:val="0"/>
                <w:sz w:val="24"/>
              </w:rPr>
            </m:ctrlPr>
          </m:e>
          <m:sub>
            <m:r>
              <m:rPr>
                <m:nor/>
              </m:rPr>
              <w:rPr>
                <w:rFonts w:ascii="Cambria Math" w:eastAsia="宋体" w:hAnsi="Cambria Math" w:cs="Times New Roman"/>
                <w:color w:val="000000" w:themeColor="text1"/>
                <w:kern w:val="0"/>
                <w:sz w:val="24"/>
              </w:rPr>
              <m:t>test-train</m:t>
            </m:r>
          </m:sub>
        </m:sSub>
      </m:oMath>
      <w:r w:rsidRPr="00964A51">
        <w:rPr>
          <w:rFonts w:ascii="Times New Roman" w:eastAsia="宋体" w:hAnsi="Times New Roman" w:cs="Times New Roman"/>
          <w:color w:val="000000" w:themeColor="text1"/>
          <w:kern w:val="0"/>
          <w:sz w:val="24"/>
        </w:rPr>
        <w:t xml:space="preserve">, and </w:t>
      </w:r>
      <m:oMath>
        <m:sSub>
          <m:sSubPr>
            <m:ctrlPr>
              <w:rPr>
                <w:rFonts w:ascii="Cambria Math" w:eastAsia="宋体" w:hAnsi="Cambria Math" w:cs="Times New Roman"/>
                <w:i/>
                <w:color w:val="000000" w:themeColor="text1"/>
                <w:kern w:val="0"/>
                <w:sz w:val="24"/>
              </w:rPr>
            </m:ctrlPr>
          </m:sSubPr>
          <m:e>
            <m:r>
              <m:rPr>
                <m:sty m:val="p"/>
              </m:rPr>
              <w:rPr>
                <w:rFonts w:ascii="Cambria Math" w:eastAsia="宋体" w:hAnsi="Cambria Math" w:cs="Times New Roman"/>
                <w:color w:val="000000" w:themeColor="text1"/>
                <w:kern w:val="0"/>
                <w:sz w:val="24"/>
              </w:rPr>
              <m:t>λ</m:t>
            </m:r>
            <m:ctrlPr>
              <w:rPr>
                <w:rFonts w:ascii="Cambria Math" w:eastAsia="宋体" w:hAnsi="Cambria Math" w:cs="Times New Roman"/>
                <w:color w:val="000000" w:themeColor="text1"/>
                <w:kern w:val="0"/>
                <w:sz w:val="24"/>
              </w:rPr>
            </m:ctrlPr>
          </m:e>
          <m:sub>
            <m:r>
              <m:rPr>
                <m:nor/>
              </m:rPr>
              <w:rPr>
                <w:rFonts w:ascii="Cambria Math" w:eastAsia="宋体" w:hAnsi="Cambria Math" w:cs="Times New Roman"/>
                <w:color w:val="000000" w:themeColor="text1"/>
                <w:kern w:val="0"/>
                <w:sz w:val="24"/>
              </w:rPr>
              <m:t>imbalance</m:t>
            </m:r>
          </m:sub>
        </m:sSub>
      </m:oMath>
      <w:r w:rsidRPr="00964A51">
        <w:rPr>
          <w:rFonts w:ascii="Times New Roman" w:eastAsia="宋体" w:hAnsi="Times New Roman" w:cs="Times New Roman"/>
          <w:color w:val="000000" w:themeColor="text1"/>
          <w:kern w:val="0"/>
          <w:sz w:val="24"/>
        </w:rPr>
        <w:t>​. Lower bounds are ordered as training, validation, and test.</w:t>
      </w:r>
      <w:r w:rsidR="0068374D" w:rsidRPr="00964A51">
        <w:rPr>
          <w:rFonts w:ascii="Times New Roman" w:eastAsia="宋体" w:hAnsi="Times New Roman" w:cs="Times New Roman" w:hint="eastAsia"/>
          <w:color w:val="000000" w:themeColor="text1"/>
          <w:kern w:val="0"/>
          <w:sz w:val="24"/>
        </w:rPr>
        <w:t xml:space="preserve"> </w:t>
      </w:r>
      <w:r w:rsidR="0068374D" w:rsidRPr="00964A51">
        <w:rPr>
          <w:rFonts w:ascii="Times New Roman" w:eastAsia="宋体" w:hAnsi="Times New Roman" w:cs="Times New Roman"/>
          <w:color w:val="000000" w:themeColor="text1"/>
          <w:kern w:val="0"/>
          <w:sz w:val="24"/>
        </w:rPr>
        <w:t xml:space="preserve">Similarity sampling cap </w:t>
      </w:r>
      <w:r w:rsidR="0068374D" w:rsidRPr="00964A51">
        <w:rPr>
          <w:rFonts w:ascii="Times New Roman" w:eastAsia="宋体" w:hAnsi="Times New Roman" w:cs="Times New Roman" w:hint="eastAsia"/>
          <w:color w:val="000000" w:themeColor="text1"/>
          <w:kern w:val="0"/>
          <w:sz w:val="24"/>
        </w:rPr>
        <w:t>is m</w:t>
      </w:r>
      <w:r w:rsidR="0068374D" w:rsidRPr="00964A51">
        <w:rPr>
          <w:rFonts w:ascii="Times New Roman" w:eastAsia="宋体" w:hAnsi="Times New Roman" w:cs="Times New Roman"/>
          <w:color w:val="000000" w:themeColor="text1"/>
          <w:kern w:val="0"/>
          <w:sz w:val="24"/>
        </w:rPr>
        <w:t>aximum number of fingerprints sampled per micro-cluster during similarity estimation.</w:t>
      </w:r>
    </w:p>
    <w:tbl>
      <w:tblPr>
        <w:tblW w:w="7938" w:type="dxa"/>
        <w:tblInd w:w="170" w:type="dxa"/>
        <w:tblLayout w:type="fixed"/>
        <w:tblLook w:val="04A0" w:firstRow="1" w:lastRow="0" w:firstColumn="1" w:lastColumn="0" w:noHBand="0" w:noVBand="1"/>
      </w:tblPr>
      <w:tblGrid>
        <w:gridCol w:w="992"/>
        <w:gridCol w:w="1134"/>
        <w:gridCol w:w="993"/>
        <w:gridCol w:w="1559"/>
        <w:gridCol w:w="1417"/>
        <w:gridCol w:w="709"/>
        <w:gridCol w:w="1134"/>
      </w:tblGrid>
      <w:tr w:rsidR="002F0411" w:rsidRPr="00CB63E4" w14:paraId="2E68EEBE" w14:textId="77777777" w:rsidTr="00701AA8">
        <w:trPr>
          <w:trHeight w:val="1080"/>
        </w:trPr>
        <w:tc>
          <w:tcPr>
            <w:tcW w:w="992" w:type="dxa"/>
            <w:tcBorders>
              <w:top w:val="single" w:sz="4" w:space="0" w:color="auto"/>
              <w:left w:val="single" w:sz="4" w:space="0" w:color="auto"/>
              <w:bottom w:val="single" w:sz="4" w:space="0" w:color="auto"/>
              <w:right w:val="single" w:sz="4" w:space="0" w:color="auto"/>
            </w:tcBorders>
            <w:shd w:val="clear" w:color="auto" w:fill="1F4E78"/>
            <w:tcMar>
              <w:left w:w="28" w:type="dxa"/>
              <w:right w:w="28" w:type="dxa"/>
            </w:tcMar>
            <w:vAlign w:val="center"/>
            <w:hideMark/>
          </w:tcPr>
          <w:p w14:paraId="35396721" w14:textId="77777777" w:rsidR="007C10FD" w:rsidRPr="00CB63E4" w:rsidRDefault="007C10FD" w:rsidP="0050672C">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Configuration</w:t>
            </w:r>
          </w:p>
        </w:tc>
        <w:tc>
          <w:tcPr>
            <w:tcW w:w="1134" w:type="dxa"/>
            <w:tcBorders>
              <w:top w:val="single" w:sz="4" w:space="0" w:color="auto"/>
              <w:left w:val="nil"/>
              <w:bottom w:val="single" w:sz="4" w:space="0" w:color="auto"/>
              <w:right w:val="single" w:sz="4" w:space="0" w:color="auto"/>
            </w:tcBorders>
            <w:shd w:val="clear" w:color="auto" w:fill="1F4E78"/>
            <w:tcMar>
              <w:left w:w="28" w:type="dxa"/>
              <w:right w:w="28" w:type="dxa"/>
            </w:tcMar>
            <w:vAlign w:val="center"/>
            <w:hideMark/>
          </w:tcPr>
          <w:p w14:paraId="76361D80" w14:textId="77777777" w:rsidR="007C10FD" w:rsidRPr="00CB63E4" w:rsidRDefault="007C10FD" w:rsidP="0050672C">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Purpose</w:t>
            </w:r>
          </w:p>
        </w:tc>
        <w:tc>
          <w:tcPr>
            <w:tcW w:w="993" w:type="dxa"/>
            <w:tcBorders>
              <w:top w:val="single" w:sz="4" w:space="0" w:color="auto"/>
              <w:left w:val="nil"/>
              <w:bottom w:val="single" w:sz="4" w:space="0" w:color="auto"/>
              <w:right w:val="single" w:sz="4" w:space="0" w:color="auto"/>
            </w:tcBorders>
            <w:shd w:val="clear" w:color="auto" w:fill="1F4E78"/>
            <w:tcMar>
              <w:left w:w="28" w:type="dxa"/>
              <w:right w:w="28" w:type="dxa"/>
            </w:tcMar>
            <w:vAlign w:val="center"/>
            <w:hideMark/>
          </w:tcPr>
          <w:p w14:paraId="1516A067" w14:textId="77777777" w:rsidR="007C10FD" w:rsidRPr="00CB63E4" w:rsidRDefault="007C10FD" w:rsidP="0050672C">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Max cluster fraction</w:t>
            </w:r>
          </w:p>
        </w:tc>
        <w:tc>
          <w:tcPr>
            <w:tcW w:w="1559" w:type="dxa"/>
            <w:tcBorders>
              <w:top w:val="single" w:sz="4" w:space="0" w:color="auto"/>
              <w:left w:val="nil"/>
              <w:bottom w:val="single" w:sz="4" w:space="0" w:color="auto"/>
              <w:right w:val="single" w:sz="4" w:space="0" w:color="auto"/>
            </w:tcBorders>
            <w:shd w:val="clear" w:color="auto" w:fill="1F4E78"/>
            <w:tcMar>
              <w:left w:w="28" w:type="dxa"/>
              <w:right w:w="28" w:type="dxa"/>
            </w:tcMar>
            <w:vAlign w:val="center"/>
            <w:hideMark/>
          </w:tcPr>
          <w:p w14:paraId="20144E49" w14:textId="77777777" w:rsidR="007C10FD" w:rsidRPr="00CB63E4" w:rsidRDefault="007C10FD" w:rsidP="0050672C">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Greedy scoring weights</w:t>
            </w:r>
            <w:r w:rsidRPr="00CB63E4">
              <w:rPr>
                <w:rFonts w:ascii="Times New Roman" w:eastAsia="宋体" w:hAnsi="Times New Roman" w:cs="Times New Roman"/>
                <w:b/>
                <w:bCs/>
                <w:color w:val="FFFFFF" w:themeColor="background1"/>
                <w:kern w:val="0"/>
                <w:sz w:val="18"/>
                <w:szCs w:val="18"/>
                <w:vertAlign w:val="superscript"/>
              </w:rPr>
              <w:t>*</w:t>
            </w:r>
          </w:p>
        </w:tc>
        <w:tc>
          <w:tcPr>
            <w:tcW w:w="1417" w:type="dxa"/>
            <w:tcBorders>
              <w:top w:val="single" w:sz="4" w:space="0" w:color="auto"/>
              <w:left w:val="nil"/>
              <w:bottom w:val="single" w:sz="4" w:space="0" w:color="auto"/>
              <w:right w:val="single" w:sz="4" w:space="0" w:color="auto"/>
            </w:tcBorders>
            <w:shd w:val="clear" w:color="auto" w:fill="1F4E78"/>
            <w:tcMar>
              <w:left w:w="28" w:type="dxa"/>
              <w:right w:w="28" w:type="dxa"/>
            </w:tcMar>
            <w:vAlign w:val="center"/>
            <w:hideMark/>
          </w:tcPr>
          <w:p w14:paraId="460C0935" w14:textId="77777777" w:rsidR="007C10FD" w:rsidRPr="00CB63E4" w:rsidRDefault="007C10FD" w:rsidP="0050672C">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Lower bounds</w:t>
            </w:r>
            <w:r w:rsidRPr="00CB63E4">
              <w:rPr>
                <w:rFonts w:ascii="Times New Roman" w:eastAsia="宋体" w:hAnsi="Times New Roman" w:cs="Times New Roman"/>
                <w:b/>
                <w:bCs/>
                <w:color w:val="FFFFFF" w:themeColor="background1"/>
                <w:kern w:val="0"/>
                <w:sz w:val="18"/>
                <w:szCs w:val="18"/>
                <w:vertAlign w:val="superscript"/>
              </w:rPr>
              <w:t>†</w:t>
            </w:r>
          </w:p>
        </w:tc>
        <w:tc>
          <w:tcPr>
            <w:tcW w:w="709" w:type="dxa"/>
            <w:tcBorders>
              <w:top w:val="single" w:sz="4" w:space="0" w:color="auto"/>
              <w:left w:val="nil"/>
              <w:bottom w:val="single" w:sz="4" w:space="0" w:color="auto"/>
              <w:right w:val="single" w:sz="4" w:space="0" w:color="auto"/>
            </w:tcBorders>
            <w:shd w:val="clear" w:color="auto" w:fill="1F4E78"/>
            <w:tcMar>
              <w:left w:w="28" w:type="dxa"/>
              <w:right w:w="28" w:type="dxa"/>
            </w:tcMar>
            <w:vAlign w:val="center"/>
            <w:hideMark/>
          </w:tcPr>
          <w:p w14:paraId="56CA030E" w14:textId="77777777" w:rsidR="007C10FD" w:rsidRPr="00CB63E4" w:rsidRDefault="007C10FD" w:rsidP="0050672C">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Drop budget</w:t>
            </w:r>
          </w:p>
        </w:tc>
        <w:tc>
          <w:tcPr>
            <w:tcW w:w="1134" w:type="dxa"/>
            <w:tcBorders>
              <w:top w:val="single" w:sz="4" w:space="0" w:color="auto"/>
              <w:left w:val="nil"/>
              <w:bottom w:val="single" w:sz="4" w:space="0" w:color="auto"/>
              <w:right w:val="single" w:sz="4" w:space="0" w:color="auto"/>
            </w:tcBorders>
            <w:shd w:val="clear" w:color="auto" w:fill="1F4E78"/>
            <w:tcMar>
              <w:left w:w="28" w:type="dxa"/>
              <w:right w:w="28" w:type="dxa"/>
            </w:tcMar>
            <w:vAlign w:val="center"/>
            <w:hideMark/>
          </w:tcPr>
          <w:p w14:paraId="1EE410E5" w14:textId="21F3F453" w:rsidR="007C10FD" w:rsidRPr="00CB63E4" w:rsidRDefault="008303D0" w:rsidP="0050672C">
            <w:pPr>
              <w:widowControl/>
              <w:jc w:val="center"/>
              <w:rPr>
                <w:rFonts w:ascii="Times New Roman" w:eastAsia="宋体" w:hAnsi="Times New Roman" w:cs="Times New Roman"/>
                <w:b/>
                <w:bCs/>
                <w:color w:val="FFFFFF" w:themeColor="background1"/>
                <w:kern w:val="0"/>
                <w:sz w:val="18"/>
                <w:szCs w:val="18"/>
              </w:rPr>
            </w:pPr>
            <w:r w:rsidRPr="00CB63E4">
              <w:rPr>
                <w:rFonts w:ascii="Times New Roman" w:eastAsia="宋体" w:hAnsi="Times New Roman" w:cs="Times New Roman"/>
                <w:b/>
                <w:bCs/>
                <w:color w:val="FFFFFF" w:themeColor="background1"/>
                <w:kern w:val="0"/>
                <w:sz w:val="18"/>
                <w:szCs w:val="18"/>
              </w:rPr>
              <w:t>Similarity sampling cap</w:t>
            </w:r>
            <w:r w:rsidR="00C95DA1" w:rsidRPr="00CB63E4">
              <w:rPr>
                <w:rFonts w:ascii="Times New Roman" w:eastAsia="宋体" w:hAnsi="Times New Roman" w:cs="Times New Roman"/>
                <w:b/>
                <w:bCs/>
                <w:color w:val="FFFFFF" w:themeColor="background1"/>
                <w:kern w:val="0"/>
                <w:sz w:val="18"/>
                <w:szCs w:val="18"/>
                <w:vertAlign w:val="superscript"/>
              </w:rPr>
              <w:t>#</w:t>
            </w:r>
          </w:p>
        </w:tc>
      </w:tr>
      <w:tr w:rsidR="002F0411" w:rsidRPr="00CB63E4" w14:paraId="57707DE3" w14:textId="77777777" w:rsidTr="002F0411">
        <w:trPr>
          <w:trHeight w:val="1080"/>
        </w:trPr>
        <w:tc>
          <w:tcPr>
            <w:tcW w:w="992" w:type="dxa"/>
            <w:tcBorders>
              <w:top w:val="nil"/>
              <w:left w:val="single" w:sz="4" w:space="0" w:color="auto"/>
              <w:bottom w:val="single" w:sz="4" w:space="0" w:color="auto"/>
              <w:right w:val="single" w:sz="4" w:space="0" w:color="auto"/>
            </w:tcBorders>
            <w:tcMar>
              <w:left w:w="28" w:type="dxa"/>
              <w:right w:w="28" w:type="dxa"/>
            </w:tcMar>
            <w:vAlign w:val="center"/>
            <w:hideMark/>
          </w:tcPr>
          <w:p w14:paraId="0A9BC8CB"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ESA-Balanced (A)</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1572B817"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Balanced repair baseline</w:t>
            </w:r>
          </w:p>
        </w:tc>
        <w:tc>
          <w:tcPr>
            <w:tcW w:w="993" w:type="dxa"/>
            <w:tcBorders>
              <w:top w:val="nil"/>
              <w:left w:val="nil"/>
              <w:bottom w:val="single" w:sz="4" w:space="0" w:color="auto"/>
              <w:right w:val="single" w:sz="4" w:space="0" w:color="auto"/>
            </w:tcBorders>
            <w:tcMar>
              <w:left w:w="28" w:type="dxa"/>
              <w:right w:w="28" w:type="dxa"/>
            </w:tcMar>
            <w:vAlign w:val="center"/>
            <w:hideMark/>
          </w:tcPr>
          <w:p w14:paraId="6D0D0180"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0.7</w:t>
            </w:r>
          </w:p>
        </w:tc>
        <w:tc>
          <w:tcPr>
            <w:tcW w:w="1559" w:type="dxa"/>
            <w:tcBorders>
              <w:top w:val="nil"/>
              <w:left w:val="nil"/>
              <w:bottom w:val="single" w:sz="4" w:space="0" w:color="auto"/>
              <w:right w:val="single" w:sz="4" w:space="0" w:color="auto"/>
            </w:tcBorders>
            <w:tcMar>
              <w:left w:w="28" w:type="dxa"/>
              <w:right w:w="28" w:type="dxa"/>
            </w:tcMar>
            <w:vAlign w:val="center"/>
            <w:hideMark/>
          </w:tcPr>
          <w:p w14:paraId="26FF7FB7"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(1.0, 1.0, 1.0, 0.05)</w:t>
            </w:r>
          </w:p>
        </w:tc>
        <w:tc>
          <w:tcPr>
            <w:tcW w:w="1417" w:type="dxa"/>
            <w:tcBorders>
              <w:top w:val="nil"/>
              <w:left w:val="nil"/>
              <w:bottom w:val="single" w:sz="4" w:space="0" w:color="auto"/>
              <w:right w:val="single" w:sz="4" w:space="0" w:color="auto"/>
            </w:tcBorders>
            <w:tcMar>
              <w:left w:w="28" w:type="dxa"/>
              <w:right w:w="28" w:type="dxa"/>
            </w:tcMar>
            <w:vAlign w:val="center"/>
            <w:hideMark/>
          </w:tcPr>
          <w:p w14:paraId="32D35ED5"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(0.80, 0.50, 0.50)</w:t>
            </w:r>
          </w:p>
        </w:tc>
        <w:tc>
          <w:tcPr>
            <w:tcW w:w="709" w:type="dxa"/>
            <w:tcBorders>
              <w:top w:val="nil"/>
              <w:left w:val="nil"/>
              <w:bottom w:val="single" w:sz="4" w:space="0" w:color="auto"/>
              <w:right w:val="single" w:sz="4" w:space="0" w:color="auto"/>
            </w:tcBorders>
            <w:tcMar>
              <w:left w:w="28" w:type="dxa"/>
              <w:right w:w="28" w:type="dxa"/>
            </w:tcMar>
            <w:vAlign w:val="center"/>
            <w:hideMark/>
          </w:tcPr>
          <w:p w14:paraId="71E9D290"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0.05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323FDF91"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16</w:t>
            </w:r>
          </w:p>
        </w:tc>
      </w:tr>
      <w:tr w:rsidR="002F0411" w:rsidRPr="00CB63E4" w14:paraId="087A6F96" w14:textId="77777777" w:rsidTr="002F0411">
        <w:trPr>
          <w:trHeight w:val="1080"/>
        </w:trPr>
        <w:tc>
          <w:tcPr>
            <w:tcW w:w="992" w:type="dxa"/>
            <w:tcBorders>
              <w:top w:val="nil"/>
              <w:left w:val="single" w:sz="4" w:space="0" w:color="auto"/>
              <w:bottom w:val="single" w:sz="4" w:space="0" w:color="auto"/>
              <w:right w:val="single" w:sz="4" w:space="0" w:color="auto"/>
            </w:tcBorders>
            <w:tcMar>
              <w:left w:w="28" w:type="dxa"/>
              <w:right w:w="28" w:type="dxa"/>
            </w:tcMar>
            <w:vAlign w:val="center"/>
            <w:hideMark/>
          </w:tcPr>
          <w:p w14:paraId="119A60DC"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ESA-</w:t>
            </w:r>
            <w:proofErr w:type="spellStart"/>
            <w:r w:rsidRPr="00CB63E4">
              <w:rPr>
                <w:rFonts w:ascii="Times New Roman" w:eastAsia="宋体" w:hAnsi="Times New Roman" w:cs="Times New Roman"/>
                <w:color w:val="000000" w:themeColor="text1"/>
                <w:kern w:val="0"/>
                <w:sz w:val="18"/>
                <w:szCs w:val="18"/>
              </w:rPr>
              <w:t>TrainSupport</w:t>
            </w:r>
            <w:proofErr w:type="spellEnd"/>
            <w:r w:rsidRPr="00CB63E4">
              <w:rPr>
                <w:rFonts w:ascii="Times New Roman" w:eastAsia="宋体" w:hAnsi="Times New Roman" w:cs="Times New Roman"/>
                <w:color w:val="000000" w:themeColor="text1"/>
                <w:kern w:val="0"/>
                <w:sz w:val="18"/>
                <w:szCs w:val="18"/>
              </w:rPr>
              <w:t xml:space="preserve"> (D)</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6A8280E8"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Train-support-priority repair</w:t>
            </w:r>
          </w:p>
        </w:tc>
        <w:tc>
          <w:tcPr>
            <w:tcW w:w="993" w:type="dxa"/>
            <w:tcBorders>
              <w:top w:val="nil"/>
              <w:left w:val="nil"/>
              <w:bottom w:val="single" w:sz="4" w:space="0" w:color="auto"/>
              <w:right w:val="single" w:sz="4" w:space="0" w:color="auto"/>
            </w:tcBorders>
            <w:tcMar>
              <w:left w:w="28" w:type="dxa"/>
              <w:right w:w="28" w:type="dxa"/>
            </w:tcMar>
            <w:vAlign w:val="center"/>
            <w:hideMark/>
          </w:tcPr>
          <w:p w14:paraId="2B982BD5"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0.8</w:t>
            </w:r>
          </w:p>
        </w:tc>
        <w:tc>
          <w:tcPr>
            <w:tcW w:w="1559" w:type="dxa"/>
            <w:tcBorders>
              <w:top w:val="nil"/>
              <w:left w:val="nil"/>
              <w:bottom w:val="single" w:sz="4" w:space="0" w:color="auto"/>
              <w:right w:val="single" w:sz="4" w:space="0" w:color="auto"/>
            </w:tcBorders>
            <w:tcMar>
              <w:left w:w="28" w:type="dxa"/>
              <w:right w:w="28" w:type="dxa"/>
            </w:tcMar>
            <w:vAlign w:val="center"/>
            <w:hideMark/>
          </w:tcPr>
          <w:p w14:paraId="07D66545"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(0.5, 1.0, 1.5, 0.03)</w:t>
            </w:r>
          </w:p>
        </w:tc>
        <w:tc>
          <w:tcPr>
            <w:tcW w:w="1417" w:type="dxa"/>
            <w:tcBorders>
              <w:top w:val="nil"/>
              <w:left w:val="nil"/>
              <w:bottom w:val="single" w:sz="4" w:space="0" w:color="auto"/>
              <w:right w:val="single" w:sz="4" w:space="0" w:color="auto"/>
            </w:tcBorders>
            <w:tcMar>
              <w:left w:w="28" w:type="dxa"/>
              <w:right w:w="28" w:type="dxa"/>
            </w:tcMar>
            <w:vAlign w:val="center"/>
            <w:hideMark/>
          </w:tcPr>
          <w:p w14:paraId="46F7C834"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(0.90, 0.40, 0.40)</w:t>
            </w:r>
          </w:p>
        </w:tc>
        <w:tc>
          <w:tcPr>
            <w:tcW w:w="709" w:type="dxa"/>
            <w:tcBorders>
              <w:top w:val="nil"/>
              <w:left w:val="nil"/>
              <w:bottom w:val="single" w:sz="4" w:space="0" w:color="auto"/>
              <w:right w:val="single" w:sz="4" w:space="0" w:color="auto"/>
            </w:tcBorders>
            <w:tcMar>
              <w:left w:w="28" w:type="dxa"/>
              <w:right w:w="28" w:type="dxa"/>
            </w:tcMar>
            <w:vAlign w:val="center"/>
            <w:hideMark/>
          </w:tcPr>
          <w:p w14:paraId="2AC85F50"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0.05</w:t>
            </w:r>
          </w:p>
        </w:tc>
        <w:tc>
          <w:tcPr>
            <w:tcW w:w="1134" w:type="dxa"/>
            <w:tcBorders>
              <w:top w:val="nil"/>
              <w:left w:val="nil"/>
              <w:bottom w:val="single" w:sz="4" w:space="0" w:color="auto"/>
              <w:right w:val="single" w:sz="4" w:space="0" w:color="auto"/>
            </w:tcBorders>
            <w:tcMar>
              <w:left w:w="28" w:type="dxa"/>
              <w:right w:w="28" w:type="dxa"/>
            </w:tcMar>
            <w:vAlign w:val="center"/>
            <w:hideMark/>
          </w:tcPr>
          <w:p w14:paraId="63FD5388" w14:textId="77777777" w:rsidR="007C10FD" w:rsidRPr="00CB63E4" w:rsidRDefault="007C10FD" w:rsidP="0050672C">
            <w:pPr>
              <w:widowControl/>
              <w:jc w:val="center"/>
              <w:rPr>
                <w:rFonts w:ascii="Times New Roman" w:eastAsia="宋体" w:hAnsi="Times New Roman" w:cs="Times New Roman"/>
                <w:color w:val="000000" w:themeColor="text1"/>
                <w:kern w:val="0"/>
                <w:sz w:val="18"/>
                <w:szCs w:val="18"/>
              </w:rPr>
            </w:pPr>
            <w:r w:rsidRPr="00CB63E4">
              <w:rPr>
                <w:rFonts w:ascii="Times New Roman" w:eastAsia="宋体" w:hAnsi="Times New Roman" w:cs="Times New Roman"/>
                <w:color w:val="000000" w:themeColor="text1"/>
                <w:kern w:val="0"/>
                <w:sz w:val="18"/>
                <w:szCs w:val="18"/>
              </w:rPr>
              <w:t>16</w:t>
            </w:r>
          </w:p>
        </w:tc>
      </w:tr>
    </w:tbl>
    <w:p w14:paraId="02FF2617" w14:textId="65F9E5EF" w:rsidR="002F0411" w:rsidRPr="00CB63E4" w:rsidRDefault="002F0411" w:rsidP="0050672C">
      <w:pPr>
        <w:widowControl/>
        <w:adjustRightInd w:val="0"/>
        <w:snapToGrid w:val="0"/>
        <w:spacing w:line="360" w:lineRule="auto"/>
        <w:rPr>
          <w:rFonts w:ascii="Times New Roman" w:eastAsia="宋体" w:hAnsi="Times New Roman" w:cs="Times New Roman"/>
          <w:color w:val="000000" w:themeColor="text1"/>
          <w:kern w:val="0"/>
          <w:sz w:val="18"/>
          <w:szCs w:val="18"/>
        </w:rPr>
      </w:pPr>
    </w:p>
    <w:p w14:paraId="6D7ED528" w14:textId="0411F404" w:rsidR="000C640F" w:rsidRPr="00CB63E4" w:rsidRDefault="00CF7E98" w:rsidP="0050672C">
      <w:pPr>
        <w:pStyle w:val="a3"/>
        <w:spacing w:beforeAutospacing="0" w:afterAutospacing="0"/>
        <w:rPr>
          <w:rFonts w:ascii="Times New Roman" w:hAnsi="Times New Roman"/>
          <w:color w:val="000000" w:themeColor="text1"/>
        </w:rPr>
      </w:pPr>
      <w:r w:rsidRPr="00CB63E4">
        <w:rPr>
          <w:rFonts w:ascii="Times New Roman" w:hAnsi="Times New Roman"/>
          <w:noProof/>
          <w:color w:val="000000" w:themeColor="text1"/>
        </w:rPr>
        <w:lastRenderedPageBreak/>
        <w:drawing>
          <wp:inline distT="0" distB="0" distL="0" distR="0" wp14:anchorId="3FCB0216" wp14:editId="2E936A81">
            <wp:extent cx="5274310" cy="4639945"/>
            <wp:effectExtent l="0" t="0" r="2540" b="8255"/>
            <wp:docPr id="4939403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40383" name="图片 493940383"/>
                    <pic:cNvPicPr/>
                  </pic:nvPicPr>
                  <pic:blipFill>
                    <a:blip r:embed="rId12"/>
                    <a:stretch>
                      <a:fillRect/>
                    </a:stretch>
                  </pic:blipFill>
                  <pic:spPr>
                    <a:xfrm>
                      <a:off x="0" y="0"/>
                      <a:ext cx="5274310" cy="4639945"/>
                    </a:xfrm>
                    <a:prstGeom prst="rect">
                      <a:avLst/>
                    </a:prstGeom>
                  </pic:spPr>
                </pic:pic>
              </a:graphicData>
            </a:graphic>
          </wp:inline>
        </w:drawing>
      </w:r>
    </w:p>
    <w:p w14:paraId="60BE6C9F" w14:textId="335796CD" w:rsidR="006D7C1C" w:rsidRDefault="00013B1F" w:rsidP="00EF5D5F">
      <w:pPr>
        <w:pStyle w:val="a3"/>
        <w:widowControl/>
        <w:adjustRightInd w:val="0"/>
        <w:snapToGrid w:val="0"/>
        <w:spacing w:beforeAutospacing="0" w:afterAutospacing="0" w:line="360" w:lineRule="auto"/>
        <w:jc w:val="both"/>
        <w:rPr>
          <w:rFonts w:ascii="Times New Roman" w:hAnsi="Times New Roman"/>
          <w:color w:val="000000" w:themeColor="text1"/>
        </w:rPr>
      </w:pPr>
      <w:r w:rsidRPr="00CB63E4">
        <w:rPr>
          <w:rFonts w:ascii="Times New Roman" w:hAnsi="Times New Roman"/>
          <w:b/>
          <w:bCs/>
          <w:color w:val="000000" w:themeColor="text1"/>
        </w:rPr>
        <w:t xml:space="preserve">Supplementary Figure 6. Split composition, normalized leakage, and configuration comparison for ESA repair. </w:t>
      </w:r>
      <w:r w:rsidRPr="00EF5D5F">
        <w:rPr>
          <w:rFonts w:ascii="Times New Roman" w:hAnsi="Times New Roman"/>
          <w:b/>
          <w:bCs/>
          <w:color w:val="000000" w:themeColor="text1"/>
        </w:rPr>
        <w:t>a,</w:t>
      </w:r>
      <w:r w:rsidRPr="00CB63E4">
        <w:rPr>
          <w:rFonts w:ascii="Times New Roman" w:hAnsi="Times New Roman"/>
          <w:color w:val="000000" w:themeColor="text1"/>
        </w:rPr>
        <w:t xml:space="preserve"> Proportions of no-scaffold molecules in the training, validation, and test branches under raw </w:t>
      </w:r>
      <w:proofErr w:type="spellStart"/>
      <w:r w:rsidRPr="00CB63E4">
        <w:rPr>
          <w:rFonts w:ascii="Times New Roman" w:hAnsi="Times New Roman"/>
          <w:color w:val="000000" w:themeColor="text1"/>
        </w:rPr>
        <w:t>DataSAIL</w:t>
      </w:r>
      <w:proofErr w:type="spellEnd"/>
      <w:r w:rsidRPr="00CB63E4">
        <w:rPr>
          <w:rFonts w:ascii="Times New Roman" w:hAnsi="Times New Roman"/>
          <w:color w:val="000000" w:themeColor="text1"/>
        </w:rPr>
        <w:t xml:space="preserve"> and ESA. </w:t>
      </w:r>
      <w:r w:rsidRPr="00EF5D5F">
        <w:rPr>
          <w:rFonts w:ascii="Times New Roman" w:hAnsi="Times New Roman"/>
          <w:b/>
          <w:bCs/>
          <w:color w:val="000000" w:themeColor="text1"/>
        </w:rPr>
        <w:t>b,</w:t>
      </w:r>
      <w:r w:rsidRPr="00CB63E4">
        <w:rPr>
          <w:rFonts w:ascii="Times New Roman" w:hAnsi="Times New Roman"/>
          <w:color w:val="000000" w:themeColor="text1"/>
        </w:rPr>
        <w:t xml:space="preserve"> Full-split </w:t>
      </w:r>
      <m:oMath>
        <m:sSub>
          <m:sSubPr>
            <m:ctrlPr>
              <w:rPr>
                <w:rFonts w:ascii="Cambria Math" w:hAnsi="Cambria Math"/>
                <w:i/>
                <w:color w:val="000000" w:themeColor="text1"/>
              </w:rPr>
            </m:ctrlPr>
          </m:sSubPr>
          <m:e>
            <m:r>
              <w:rPr>
                <w:rFonts w:ascii="Cambria Math" w:hAnsi="Cambria Math"/>
                <w:color w:val="000000" w:themeColor="text1"/>
              </w:rPr>
              <m:t>L</m:t>
            </m:r>
          </m:e>
          <m:sub>
            <m:r>
              <m:rPr>
                <m:nor/>
              </m:rPr>
              <w:rPr>
                <w:rFonts w:ascii="Cambria Math" w:hAnsi="Cambria Math"/>
                <w:color w:val="000000" w:themeColor="text1"/>
              </w:rPr>
              <m:t>norm</m:t>
            </m:r>
          </m:sub>
        </m:sSub>
      </m:oMath>
      <w:r w:rsidRPr="00CB63E4">
        <w:rPr>
          <w:rFonts w:ascii="Times New Roman" w:hAnsi="Times New Roman"/>
          <w:color w:val="000000" w:themeColor="text1"/>
        </w:rPr>
        <w:t xml:space="preserve"> under raw </w:t>
      </w:r>
      <w:proofErr w:type="spellStart"/>
      <w:r w:rsidRPr="00CB63E4">
        <w:rPr>
          <w:rFonts w:ascii="Times New Roman" w:hAnsi="Times New Roman"/>
          <w:color w:val="000000" w:themeColor="text1"/>
        </w:rPr>
        <w:t>DataSAIL</w:t>
      </w:r>
      <w:proofErr w:type="spellEnd"/>
      <w:r w:rsidRPr="00CB63E4">
        <w:rPr>
          <w:rFonts w:ascii="Times New Roman" w:hAnsi="Times New Roman"/>
          <w:color w:val="000000" w:themeColor="text1"/>
        </w:rPr>
        <w:t xml:space="preserve"> and ESA. </w:t>
      </w:r>
      <w:r w:rsidRPr="00EF5D5F">
        <w:rPr>
          <w:rFonts w:ascii="Times New Roman" w:hAnsi="Times New Roman"/>
          <w:b/>
          <w:bCs/>
          <w:color w:val="000000" w:themeColor="text1"/>
        </w:rPr>
        <w:t>c,</w:t>
      </w:r>
      <w:r w:rsidRPr="00CB63E4">
        <w:rPr>
          <w:rFonts w:ascii="Times New Roman" w:hAnsi="Times New Roman"/>
          <w:color w:val="000000" w:themeColor="text1"/>
        </w:rPr>
        <w:t xml:space="preserve"> Support recovery, sink ratio, and full-split </w:t>
      </w:r>
      <m:oMath>
        <m:sSub>
          <m:sSubPr>
            <m:ctrlPr>
              <w:rPr>
                <w:rFonts w:ascii="Cambria Math" w:hAnsi="Cambria Math"/>
                <w:i/>
                <w:color w:val="000000" w:themeColor="text1"/>
              </w:rPr>
            </m:ctrlPr>
          </m:sSubPr>
          <m:e>
            <m:r>
              <w:rPr>
                <w:rFonts w:ascii="Cambria Math" w:hAnsi="Cambria Math"/>
                <w:color w:val="000000" w:themeColor="text1"/>
              </w:rPr>
              <m:t>L</m:t>
            </m:r>
          </m:e>
          <m:sub>
            <m:r>
              <m:rPr>
                <m:nor/>
              </m:rPr>
              <w:rPr>
                <w:rFonts w:ascii="Cambria Math" w:hAnsi="Cambria Math"/>
                <w:color w:val="000000" w:themeColor="text1"/>
              </w:rPr>
              <m:t>norm</m:t>
            </m:r>
          </m:sub>
        </m:sSub>
      </m:oMath>
      <w:r w:rsidR="00EF5D5F" w:rsidRPr="00CB63E4">
        <w:rPr>
          <w:rFonts w:ascii="Times New Roman" w:hAnsi="Times New Roman"/>
          <w:color w:val="000000" w:themeColor="text1"/>
        </w:rPr>
        <w:t xml:space="preserve"> </w:t>
      </w:r>
      <w:r w:rsidRPr="00CB63E4">
        <w:rPr>
          <w:rFonts w:ascii="Times New Roman" w:hAnsi="Times New Roman"/>
          <w:color w:val="000000" w:themeColor="text1"/>
        </w:rPr>
        <w:t>​for ESA-Balanced and ESA-</w:t>
      </w:r>
      <w:proofErr w:type="spellStart"/>
      <w:r w:rsidRPr="00CB63E4">
        <w:rPr>
          <w:rFonts w:ascii="Times New Roman" w:hAnsi="Times New Roman"/>
          <w:color w:val="000000" w:themeColor="text1"/>
        </w:rPr>
        <w:t>TrainSupport</w:t>
      </w:r>
      <w:proofErr w:type="spellEnd"/>
      <w:r w:rsidRPr="00CB63E4">
        <w:rPr>
          <w:rFonts w:ascii="Times New Roman" w:hAnsi="Times New Roman"/>
          <w:color w:val="000000" w:themeColor="text1"/>
        </w:rPr>
        <w:t xml:space="preserve">. </w:t>
      </w:r>
      <w:r w:rsidRPr="00EF5D5F">
        <w:rPr>
          <w:rFonts w:ascii="Times New Roman" w:hAnsi="Times New Roman"/>
          <w:b/>
          <w:bCs/>
          <w:color w:val="000000" w:themeColor="text1"/>
        </w:rPr>
        <w:t>d,</w:t>
      </w:r>
      <w:r w:rsidRPr="00CB63E4">
        <w:rPr>
          <w:rFonts w:ascii="Times New Roman" w:hAnsi="Times New Roman"/>
          <w:color w:val="000000" w:themeColor="text1"/>
        </w:rPr>
        <w:t xml:space="preserve"> Leak rate from no-scaffold validation and test branches to the full training set at a Tanimoto similarity threshold of 0.40.</w:t>
      </w:r>
    </w:p>
    <w:p w14:paraId="11920076" w14:textId="77777777" w:rsidR="00640E85" w:rsidRDefault="00640E85" w:rsidP="00EF5D5F">
      <w:pPr>
        <w:pStyle w:val="a3"/>
        <w:widowControl/>
        <w:adjustRightInd w:val="0"/>
        <w:snapToGrid w:val="0"/>
        <w:spacing w:beforeAutospacing="0" w:afterAutospacing="0" w:line="360" w:lineRule="auto"/>
        <w:jc w:val="both"/>
        <w:rPr>
          <w:rFonts w:ascii="Times New Roman" w:hAnsi="Times New Roman"/>
          <w:color w:val="000000" w:themeColor="text1"/>
        </w:rPr>
      </w:pPr>
    </w:p>
    <w:p w14:paraId="0E379CCD" w14:textId="066575C3" w:rsidR="00640E85" w:rsidRDefault="00640E85" w:rsidP="00EF5D5F">
      <w:pPr>
        <w:pStyle w:val="a3"/>
        <w:widowControl/>
        <w:adjustRightInd w:val="0"/>
        <w:snapToGrid w:val="0"/>
        <w:spacing w:beforeAutospacing="0" w:afterAutospacing="0" w:line="360" w:lineRule="auto"/>
        <w:jc w:val="both"/>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7D63652F" wp14:editId="5214123C">
            <wp:extent cx="5274310" cy="7646035"/>
            <wp:effectExtent l="0" t="0" r="2540" b="0"/>
            <wp:docPr id="2072824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24690" name="图片 2072824690"/>
                    <pic:cNvPicPr/>
                  </pic:nvPicPr>
                  <pic:blipFill>
                    <a:blip r:embed="rId13"/>
                    <a:stretch>
                      <a:fillRect/>
                    </a:stretch>
                  </pic:blipFill>
                  <pic:spPr>
                    <a:xfrm>
                      <a:off x="0" y="0"/>
                      <a:ext cx="5274310" cy="7646035"/>
                    </a:xfrm>
                    <a:prstGeom prst="rect">
                      <a:avLst/>
                    </a:prstGeom>
                  </pic:spPr>
                </pic:pic>
              </a:graphicData>
            </a:graphic>
          </wp:inline>
        </w:drawing>
      </w:r>
    </w:p>
    <w:p w14:paraId="63748014" w14:textId="4B8A68C1" w:rsidR="00640E85" w:rsidRPr="00640E85" w:rsidRDefault="00640E85" w:rsidP="00640E85">
      <w:pPr>
        <w:pStyle w:val="a3"/>
        <w:widowControl/>
        <w:adjustRightInd w:val="0"/>
        <w:snapToGrid w:val="0"/>
        <w:spacing w:beforeAutospacing="0" w:afterAutospacing="0" w:line="360" w:lineRule="auto"/>
        <w:jc w:val="both"/>
        <w:rPr>
          <w:rFonts w:ascii="Times New Roman" w:hAnsi="Times New Roman" w:hint="eastAsia"/>
          <w:color w:val="000000" w:themeColor="text1"/>
        </w:rPr>
      </w:pPr>
      <w:r w:rsidRPr="00640E85">
        <w:rPr>
          <w:rFonts w:ascii="Times New Roman" w:hAnsi="Times New Roman"/>
          <w:b/>
          <w:bCs/>
          <w:color w:val="000000" w:themeColor="text1"/>
        </w:rPr>
        <w:t>Supplementary Figure 7. Fingerprint-based chemical-space localization of no-scaffold molecules.</w:t>
      </w:r>
      <w:r>
        <w:rPr>
          <w:rFonts w:ascii="Times New Roman" w:hAnsi="Times New Roman" w:hint="eastAsia"/>
          <w:color w:val="000000" w:themeColor="text1"/>
        </w:rPr>
        <w:t xml:space="preserve"> </w:t>
      </w:r>
      <w:r w:rsidRPr="00640E85">
        <w:rPr>
          <w:rFonts w:ascii="Times New Roman" w:hAnsi="Times New Roman"/>
          <w:color w:val="000000" w:themeColor="text1"/>
        </w:rPr>
        <w:t>UMAP embeddings were generated from Morgan fingerprints for datasets with no-scaffold proportion ≥8%. Scaffold-bearing molecules are shown in grey and no-scaffold molecules in orange.</w:t>
      </w:r>
    </w:p>
    <w:sectPr w:rsidR="00640E85" w:rsidRPr="00640E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E74A7" w14:textId="77777777" w:rsidR="00254001" w:rsidRDefault="00254001" w:rsidP="00147DE5">
      <w:r>
        <w:separator/>
      </w:r>
    </w:p>
  </w:endnote>
  <w:endnote w:type="continuationSeparator" w:id="0">
    <w:p w14:paraId="292A47A0" w14:textId="77777777" w:rsidR="00254001" w:rsidRDefault="00254001" w:rsidP="00147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164CA" w14:textId="77777777" w:rsidR="00254001" w:rsidRDefault="00254001" w:rsidP="00147DE5">
      <w:r>
        <w:separator/>
      </w:r>
    </w:p>
  </w:footnote>
  <w:footnote w:type="continuationSeparator" w:id="0">
    <w:p w14:paraId="14A1FD0B" w14:textId="77777777" w:rsidR="00254001" w:rsidRDefault="00254001" w:rsidP="00147D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06A45"/>
    <w:multiLevelType w:val="hybridMultilevel"/>
    <w:tmpl w:val="FF0C18C6"/>
    <w:lvl w:ilvl="0" w:tplc="2376CAA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EF14701"/>
    <w:multiLevelType w:val="multilevel"/>
    <w:tmpl w:val="884E88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58770A"/>
    <w:multiLevelType w:val="hybridMultilevel"/>
    <w:tmpl w:val="2FF65316"/>
    <w:lvl w:ilvl="0" w:tplc="46D824F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94330032">
    <w:abstractNumId w:val="1"/>
  </w:num>
  <w:num w:numId="2" w16cid:durableId="538132564">
    <w:abstractNumId w:val="0"/>
  </w:num>
  <w:num w:numId="3" w16cid:durableId="1411853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20B1041"/>
    <w:rsid w:val="00005A50"/>
    <w:rsid w:val="00013B1F"/>
    <w:rsid w:val="00037DE8"/>
    <w:rsid w:val="00067A36"/>
    <w:rsid w:val="00085749"/>
    <w:rsid w:val="00091582"/>
    <w:rsid w:val="00091944"/>
    <w:rsid w:val="000C5833"/>
    <w:rsid w:val="000C640F"/>
    <w:rsid w:val="000D18FB"/>
    <w:rsid w:val="000D5731"/>
    <w:rsid w:val="000D7FC2"/>
    <w:rsid w:val="000E06D2"/>
    <w:rsid w:val="000E21FA"/>
    <w:rsid w:val="000E5288"/>
    <w:rsid w:val="000F1960"/>
    <w:rsid w:val="000F2083"/>
    <w:rsid w:val="000F31B0"/>
    <w:rsid w:val="00105764"/>
    <w:rsid w:val="00107DE0"/>
    <w:rsid w:val="00122141"/>
    <w:rsid w:val="00147DE5"/>
    <w:rsid w:val="00152E43"/>
    <w:rsid w:val="00164D04"/>
    <w:rsid w:val="00176339"/>
    <w:rsid w:val="001905F6"/>
    <w:rsid w:val="001A18A7"/>
    <w:rsid w:val="001A3638"/>
    <w:rsid w:val="001A5BA8"/>
    <w:rsid w:val="001B6D88"/>
    <w:rsid w:val="001C703E"/>
    <w:rsid w:val="001D1A3E"/>
    <w:rsid w:val="001D4131"/>
    <w:rsid w:val="001E6337"/>
    <w:rsid w:val="001E7F3E"/>
    <w:rsid w:val="001F6AF6"/>
    <w:rsid w:val="00202915"/>
    <w:rsid w:val="00211B52"/>
    <w:rsid w:val="00215741"/>
    <w:rsid w:val="00221421"/>
    <w:rsid w:val="00254001"/>
    <w:rsid w:val="0027449C"/>
    <w:rsid w:val="00296C4A"/>
    <w:rsid w:val="002A0B6C"/>
    <w:rsid w:val="002B2F32"/>
    <w:rsid w:val="002C2D2E"/>
    <w:rsid w:val="002D2187"/>
    <w:rsid w:val="002E285D"/>
    <w:rsid w:val="002F0411"/>
    <w:rsid w:val="002F6435"/>
    <w:rsid w:val="00306724"/>
    <w:rsid w:val="00307A39"/>
    <w:rsid w:val="0032614A"/>
    <w:rsid w:val="003348DE"/>
    <w:rsid w:val="00341DCF"/>
    <w:rsid w:val="00347C58"/>
    <w:rsid w:val="003521E1"/>
    <w:rsid w:val="00367319"/>
    <w:rsid w:val="003708D3"/>
    <w:rsid w:val="00382ED7"/>
    <w:rsid w:val="00392A09"/>
    <w:rsid w:val="003B169A"/>
    <w:rsid w:val="003B42EF"/>
    <w:rsid w:val="003B52F7"/>
    <w:rsid w:val="003C026E"/>
    <w:rsid w:val="003C0F42"/>
    <w:rsid w:val="003C5C90"/>
    <w:rsid w:val="003D2061"/>
    <w:rsid w:val="003E4025"/>
    <w:rsid w:val="003E6AD1"/>
    <w:rsid w:val="00402109"/>
    <w:rsid w:val="0045610E"/>
    <w:rsid w:val="0046572D"/>
    <w:rsid w:val="00472A9A"/>
    <w:rsid w:val="004910A4"/>
    <w:rsid w:val="004918D2"/>
    <w:rsid w:val="00495781"/>
    <w:rsid w:val="004A0BDE"/>
    <w:rsid w:val="004B25B5"/>
    <w:rsid w:val="004B4A6F"/>
    <w:rsid w:val="004C4F56"/>
    <w:rsid w:val="004C510A"/>
    <w:rsid w:val="004D5213"/>
    <w:rsid w:val="004D57BA"/>
    <w:rsid w:val="004F4854"/>
    <w:rsid w:val="004F5F2F"/>
    <w:rsid w:val="004F5FC3"/>
    <w:rsid w:val="0050672C"/>
    <w:rsid w:val="0052287D"/>
    <w:rsid w:val="005511FB"/>
    <w:rsid w:val="00560E43"/>
    <w:rsid w:val="00565373"/>
    <w:rsid w:val="005655CB"/>
    <w:rsid w:val="00567C81"/>
    <w:rsid w:val="005B043C"/>
    <w:rsid w:val="005C07DE"/>
    <w:rsid w:val="005C589C"/>
    <w:rsid w:val="005C66A5"/>
    <w:rsid w:val="005C6A14"/>
    <w:rsid w:val="005C74E7"/>
    <w:rsid w:val="005D072A"/>
    <w:rsid w:val="005E4769"/>
    <w:rsid w:val="005E7E72"/>
    <w:rsid w:val="00631129"/>
    <w:rsid w:val="006321D3"/>
    <w:rsid w:val="00640E85"/>
    <w:rsid w:val="00661B57"/>
    <w:rsid w:val="00682ADE"/>
    <w:rsid w:val="0068374D"/>
    <w:rsid w:val="00683F43"/>
    <w:rsid w:val="00687334"/>
    <w:rsid w:val="00691249"/>
    <w:rsid w:val="006C5858"/>
    <w:rsid w:val="006C6E3D"/>
    <w:rsid w:val="006D7C1C"/>
    <w:rsid w:val="006F35F6"/>
    <w:rsid w:val="00701AA8"/>
    <w:rsid w:val="00706B71"/>
    <w:rsid w:val="00716C53"/>
    <w:rsid w:val="00720C27"/>
    <w:rsid w:val="00725814"/>
    <w:rsid w:val="0072664E"/>
    <w:rsid w:val="00731E2D"/>
    <w:rsid w:val="00734EFA"/>
    <w:rsid w:val="007563DB"/>
    <w:rsid w:val="007636C7"/>
    <w:rsid w:val="00783ABD"/>
    <w:rsid w:val="007A1A1F"/>
    <w:rsid w:val="007A3066"/>
    <w:rsid w:val="007B1BFB"/>
    <w:rsid w:val="007B6AED"/>
    <w:rsid w:val="007C10FD"/>
    <w:rsid w:val="007C4846"/>
    <w:rsid w:val="007C63DB"/>
    <w:rsid w:val="007C6E6C"/>
    <w:rsid w:val="007D2042"/>
    <w:rsid w:val="007F0948"/>
    <w:rsid w:val="00805799"/>
    <w:rsid w:val="00811D46"/>
    <w:rsid w:val="00816B94"/>
    <w:rsid w:val="008200B9"/>
    <w:rsid w:val="008219D2"/>
    <w:rsid w:val="008303D0"/>
    <w:rsid w:val="00834005"/>
    <w:rsid w:val="008460BC"/>
    <w:rsid w:val="00846C7F"/>
    <w:rsid w:val="0087279E"/>
    <w:rsid w:val="00876BFA"/>
    <w:rsid w:val="00892CEE"/>
    <w:rsid w:val="008A76D4"/>
    <w:rsid w:val="008B0D99"/>
    <w:rsid w:val="008C3B20"/>
    <w:rsid w:val="008D0C7F"/>
    <w:rsid w:val="008F6839"/>
    <w:rsid w:val="00911029"/>
    <w:rsid w:val="00933E57"/>
    <w:rsid w:val="009369AB"/>
    <w:rsid w:val="0094401E"/>
    <w:rsid w:val="0095750D"/>
    <w:rsid w:val="00964A51"/>
    <w:rsid w:val="0097044C"/>
    <w:rsid w:val="00977B62"/>
    <w:rsid w:val="009863FF"/>
    <w:rsid w:val="00994039"/>
    <w:rsid w:val="009D4325"/>
    <w:rsid w:val="009E04FB"/>
    <w:rsid w:val="009E313B"/>
    <w:rsid w:val="009E6BC3"/>
    <w:rsid w:val="009F2ECE"/>
    <w:rsid w:val="009F614B"/>
    <w:rsid w:val="00A123A2"/>
    <w:rsid w:val="00A42B7E"/>
    <w:rsid w:val="00A44F4A"/>
    <w:rsid w:val="00A57895"/>
    <w:rsid w:val="00AA00A5"/>
    <w:rsid w:val="00AB3A3A"/>
    <w:rsid w:val="00B141ED"/>
    <w:rsid w:val="00B14207"/>
    <w:rsid w:val="00B15420"/>
    <w:rsid w:val="00B24CFA"/>
    <w:rsid w:val="00B448A2"/>
    <w:rsid w:val="00B46630"/>
    <w:rsid w:val="00B56808"/>
    <w:rsid w:val="00B7254A"/>
    <w:rsid w:val="00B77EBF"/>
    <w:rsid w:val="00B91C81"/>
    <w:rsid w:val="00B929FC"/>
    <w:rsid w:val="00BB4229"/>
    <w:rsid w:val="00BB6DD9"/>
    <w:rsid w:val="00BD3EEF"/>
    <w:rsid w:val="00BE08B3"/>
    <w:rsid w:val="00BE597C"/>
    <w:rsid w:val="00BE7299"/>
    <w:rsid w:val="00C066EA"/>
    <w:rsid w:val="00C10981"/>
    <w:rsid w:val="00C3646C"/>
    <w:rsid w:val="00C44474"/>
    <w:rsid w:val="00C51E12"/>
    <w:rsid w:val="00C5254A"/>
    <w:rsid w:val="00C658D2"/>
    <w:rsid w:val="00C72C96"/>
    <w:rsid w:val="00C91804"/>
    <w:rsid w:val="00C95DA1"/>
    <w:rsid w:val="00CA638F"/>
    <w:rsid w:val="00CB63E4"/>
    <w:rsid w:val="00CC03DC"/>
    <w:rsid w:val="00CD00B4"/>
    <w:rsid w:val="00CF15BE"/>
    <w:rsid w:val="00CF7E98"/>
    <w:rsid w:val="00D065CD"/>
    <w:rsid w:val="00D10242"/>
    <w:rsid w:val="00D137EB"/>
    <w:rsid w:val="00D27F5C"/>
    <w:rsid w:val="00D35985"/>
    <w:rsid w:val="00D36C13"/>
    <w:rsid w:val="00D80F64"/>
    <w:rsid w:val="00DD3EC3"/>
    <w:rsid w:val="00DE5E80"/>
    <w:rsid w:val="00E14408"/>
    <w:rsid w:val="00E15CF4"/>
    <w:rsid w:val="00E2485A"/>
    <w:rsid w:val="00E37445"/>
    <w:rsid w:val="00E554EF"/>
    <w:rsid w:val="00E62E62"/>
    <w:rsid w:val="00E900A7"/>
    <w:rsid w:val="00E922DE"/>
    <w:rsid w:val="00E935E3"/>
    <w:rsid w:val="00E974BE"/>
    <w:rsid w:val="00EA6CC1"/>
    <w:rsid w:val="00EB5034"/>
    <w:rsid w:val="00EB7B48"/>
    <w:rsid w:val="00EC3C51"/>
    <w:rsid w:val="00ED387F"/>
    <w:rsid w:val="00ED3DB2"/>
    <w:rsid w:val="00EE3604"/>
    <w:rsid w:val="00EF5A5A"/>
    <w:rsid w:val="00EF5D5F"/>
    <w:rsid w:val="00F06139"/>
    <w:rsid w:val="00F10EF0"/>
    <w:rsid w:val="00F340E2"/>
    <w:rsid w:val="00F37E34"/>
    <w:rsid w:val="00F42601"/>
    <w:rsid w:val="00F500F2"/>
    <w:rsid w:val="00F50626"/>
    <w:rsid w:val="00F7243E"/>
    <w:rsid w:val="00F85CD4"/>
    <w:rsid w:val="00F94D1C"/>
    <w:rsid w:val="00F972D8"/>
    <w:rsid w:val="00FA2C36"/>
    <w:rsid w:val="00FD69AC"/>
    <w:rsid w:val="00FD725C"/>
    <w:rsid w:val="00FE0B28"/>
    <w:rsid w:val="00FF59DA"/>
    <w:rsid w:val="320B1041"/>
    <w:rsid w:val="41065CB3"/>
    <w:rsid w:val="44CD05ED"/>
    <w:rsid w:val="68B63CF9"/>
    <w:rsid w:val="7B6E33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C2B689"/>
  <w14:defaultImageDpi w14:val="32767"/>
  <w15:docId w15:val="{0A2F5573-5A4A-41B6-A906-F9EC6F9B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F5F2F"/>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pPr>
      <w:spacing w:beforeAutospacing="1" w:afterAutospacing="1"/>
      <w:jc w:val="left"/>
    </w:pPr>
    <w:rPr>
      <w:rFonts w:cs="Times New Roman"/>
      <w:kern w:val="0"/>
      <w:sz w:val="24"/>
    </w:rPr>
  </w:style>
  <w:style w:type="paragraph" w:styleId="a4">
    <w:name w:val="header"/>
    <w:basedOn w:val="a"/>
    <w:link w:val="a5"/>
    <w:rsid w:val="00147DE5"/>
    <w:pPr>
      <w:tabs>
        <w:tab w:val="center" w:pos="4153"/>
        <w:tab w:val="right" w:pos="8306"/>
      </w:tabs>
      <w:snapToGrid w:val="0"/>
      <w:jc w:val="center"/>
    </w:pPr>
    <w:rPr>
      <w:sz w:val="18"/>
      <w:szCs w:val="18"/>
    </w:rPr>
  </w:style>
  <w:style w:type="character" w:customStyle="1" w:styleId="a5">
    <w:name w:val="页眉 字符"/>
    <w:basedOn w:val="a0"/>
    <w:link w:val="a4"/>
    <w:rsid w:val="00147DE5"/>
    <w:rPr>
      <w:kern w:val="2"/>
      <w:sz w:val="18"/>
      <w:szCs w:val="18"/>
    </w:rPr>
  </w:style>
  <w:style w:type="paragraph" w:styleId="a6">
    <w:name w:val="footer"/>
    <w:basedOn w:val="a"/>
    <w:link w:val="a7"/>
    <w:rsid w:val="00147DE5"/>
    <w:pPr>
      <w:tabs>
        <w:tab w:val="center" w:pos="4153"/>
        <w:tab w:val="right" w:pos="8306"/>
      </w:tabs>
      <w:snapToGrid w:val="0"/>
      <w:jc w:val="left"/>
    </w:pPr>
    <w:rPr>
      <w:sz w:val="18"/>
      <w:szCs w:val="18"/>
    </w:rPr>
  </w:style>
  <w:style w:type="character" w:customStyle="1" w:styleId="a7">
    <w:name w:val="页脚 字符"/>
    <w:basedOn w:val="a0"/>
    <w:link w:val="a6"/>
    <w:rsid w:val="00147DE5"/>
    <w:rPr>
      <w:kern w:val="2"/>
      <w:sz w:val="18"/>
      <w:szCs w:val="18"/>
    </w:rPr>
  </w:style>
  <w:style w:type="table" w:styleId="a8">
    <w:name w:val="Table Grid"/>
    <w:basedOn w:val="a1"/>
    <w:rsid w:val="009E0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sid w:val="003348DE"/>
    <w:rPr>
      <w:b/>
    </w:rPr>
  </w:style>
  <w:style w:type="character" w:styleId="aa">
    <w:name w:val="Hyperlink"/>
    <w:basedOn w:val="a0"/>
    <w:unhideWhenUsed/>
    <w:rsid w:val="000C640F"/>
    <w:rPr>
      <w:color w:val="0026E5" w:themeColor="hyperlink"/>
      <w:u w:val="single"/>
    </w:rPr>
  </w:style>
  <w:style w:type="paragraph" w:styleId="ab">
    <w:name w:val="List Paragraph"/>
    <w:basedOn w:val="a"/>
    <w:uiPriority w:val="99"/>
    <w:unhideWhenUsed/>
    <w:rsid w:val="00D065CD"/>
    <w:pPr>
      <w:ind w:firstLineChars="200" w:firstLine="420"/>
    </w:pPr>
  </w:style>
  <w:style w:type="character" w:styleId="ac">
    <w:name w:val="Placeholder Text"/>
    <w:basedOn w:val="a0"/>
    <w:uiPriority w:val="99"/>
    <w:unhideWhenUsed/>
    <w:rsid w:val="0050672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4203</TotalTime>
  <Pages>25</Pages>
  <Words>5575</Words>
  <Characters>35683</Characters>
  <Application>Microsoft Office Word</Application>
  <DocSecurity>0</DocSecurity>
  <Lines>2099</Lines>
  <Paragraphs>1650</Paragraphs>
  <ScaleCrop>false</ScaleCrop>
  <Company/>
  <LinksUpToDate>false</LinksUpToDate>
  <CharactersWithSpaces>39608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王勇15275196009</dc:creator>
  <cp:lastModifiedBy>瀛宇 王</cp:lastModifiedBy>
  <cp:revision>52</cp:revision>
  <dcterms:created xsi:type="dcterms:W3CDTF">2026-04-04T16:54:00Z</dcterms:created>
  <dcterms:modified xsi:type="dcterms:W3CDTF">2026-05-23T13:42:00Z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AD9EF387AB2647DFB2389231920BE5AB_13</vt:lpwstr>
  </property>
  <property fmtid="{D5CDD505-2E9C-101B-9397-08002B2CF9AE}" pid="4" name="KSOTemplateDocerSaveRecord">
    <vt:lpwstr>eyJoZGlkIjoiNjM1MmM3ZmRlZGI1ODM2ZjgwNjIxOTZiYjgyMzY1NzYiLCJ1c2VySWQiOiIyNzE2NDAyNTAifQ==</vt:lpwstr>
  </property>
</Properties>
</file>