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303D" w:rsidRPr="0048303D" w:rsidRDefault="0048303D" w:rsidP="0048303D">
      <w:pPr>
        <w:jc w:val="both"/>
        <w:rPr>
          <w:rFonts w:ascii="Times New Roman" w:eastAsia="標楷體" w:hAnsi="Times New Roman" w:cs="Times New Roman"/>
          <w:b/>
          <w:sz w:val="28"/>
          <w:szCs w:val="24"/>
        </w:rPr>
      </w:pPr>
      <w:r w:rsidRPr="0048303D">
        <w:rPr>
          <w:rFonts w:ascii="Times New Roman" w:eastAsia="標楷體" w:hAnsi="Times New Roman" w:cs="Times New Roman"/>
          <w:b/>
          <w:sz w:val="28"/>
          <w:szCs w:val="24"/>
        </w:rPr>
        <w:t>Bilinear cross-attention networks implicitly supervise continuous thermodynamic gradients in supramolecular screening</w:t>
      </w:r>
    </w:p>
    <w:p w:rsidR="0048303D" w:rsidRPr="0048303D" w:rsidRDefault="0048303D" w:rsidP="0048303D">
      <w:pPr>
        <w:rPr>
          <w:rFonts w:ascii="Times New Roman" w:eastAsia="標楷體" w:hAnsi="Times New Roman" w:cs="Times New Roman"/>
          <w:szCs w:val="24"/>
        </w:rPr>
      </w:pPr>
    </w:p>
    <w:p w:rsidR="0048303D" w:rsidRPr="0048303D" w:rsidRDefault="0048303D" w:rsidP="0048303D">
      <w:pPr>
        <w:rPr>
          <w:rFonts w:ascii="Times New Roman" w:eastAsia="標楷體" w:hAnsi="Times New Roman" w:cs="Times New Roman"/>
          <w:b/>
          <w:szCs w:val="24"/>
        </w:rPr>
      </w:pPr>
      <w:proofErr w:type="spellStart"/>
      <w:r w:rsidRPr="0048303D">
        <w:rPr>
          <w:rFonts w:ascii="Times New Roman" w:eastAsia="標楷體" w:hAnsi="Times New Roman" w:cs="Times New Roman"/>
          <w:b/>
          <w:szCs w:val="24"/>
        </w:rPr>
        <w:t>Chih</w:t>
      </w:r>
      <w:proofErr w:type="spellEnd"/>
      <w:r w:rsidRPr="0048303D">
        <w:rPr>
          <w:rFonts w:ascii="Times New Roman" w:eastAsia="標楷體" w:hAnsi="Times New Roman" w:cs="Times New Roman"/>
          <w:b/>
          <w:szCs w:val="24"/>
        </w:rPr>
        <w:t>-Yang Cheng</w:t>
      </w:r>
      <w:r w:rsidRPr="0048303D">
        <w:rPr>
          <w:rFonts w:ascii="Times New Roman" w:eastAsia="標楷體" w:hAnsi="Times New Roman" w:cs="Times New Roman"/>
          <w:b/>
          <w:szCs w:val="24"/>
          <w:vertAlign w:val="superscript"/>
        </w:rPr>
        <w:t>1*</w:t>
      </w:r>
      <w:r w:rsidRPr="0048303D">
        <w:rPr>
          <w:rFonts w:ascii="Times New Roman" w:eastAsia="標楷體" w:hAnsi="Times New Roman" w:cs="Times New Roman"/>
          <w:b/>
          <w:szCs w:val="24"/>
        </w:rPr>
        <w:t>, Yi-Huan Wu</w:t>
      </w:r>
      <w:r w:rsidRPr="0048303D">
        <w:rPr>
          <w:rFonts w:ascii="Times New Roman" w:eastAsia="標楷體" w:hAnsi="Times New Roman" w:cs="Times New Roman"/>
          <w:b/>
          <w:szCs w:val="24"/>
          <w:vertAlign w:val="superscript"/>
        </w:rPr>
        <w:t>2*</w:t>
      </w:r>
      <w:r w:rsidRPr="0048303D">
        <w:rPr>
          <w:rFonts w:ascii="Times New Roman" w:eastAsia="標楷體" w:hAnsi="Times New Roman" w:cs="Times New Roman"/>
          <w:b/>
          <w:szCs w:val="24"/>
        </w:rPr>
        <w:t>, Feng-Yin Li</w:t>
      </w:r>
      <w:r w:rsidRPr="0048303D">
        <w:rPr>
          <w:rFonts w:ascii="Times New Roman" w:eastAsia="標楷體" w:hAnsi="Times New Roman" w:cs="Times New Roman"/>
          <w:b/>
          <w:szCs w:val="24"/>
          <w:vertAlign w:val="superscript"/>
        </w:rPr>
        <w:t>1*</w:t>
      </w:r>
    </w:p>
    <w:p w:rsidR="0048303D" w:rsidRPr="0048303D" w:rsidRDefault="0048303D" w:rsidP="0048303D">
      <w:pPr>
        <w:rPr>
          <w:rFonts w:ascii="Times New Roman" w:eastAsia="標楷體" w:hAnsi="Times New Roman" w:cs="Times New Roman"/>
          <w:szCs w:val="24"/>
        </w:rPr>
      </w:pPr>
    </w:p>
    <w:p w:rsidR="0048303D" w:rsidRPr="0048303D" w:rsidRDefault="0048303D" w:rsidP="0048303D">
      <w:pPr>
        <w:rPr>
          <w:rFonts w:ascii="Times New Roman" w:eastAsia="標楷體" w:hAnsi="Times New Roman" w:cs="Times New Roman"/>
          <w:szCs w:val="24"/>
        </w:rPr>
      </w:pPr>
      <w:r w:rsidRPr="0048303D">
        <w:rPr>
          <w:rFonts w:ascii="Times New Roman" w:eastAsia="標楷體" w:hAnsi="Times New Roman" w:cs="Times New Roman"/>
          <w:szCs w:val="24"/>
          <w:vertAlign w:val="superscript"/>
        </w:rPr>
        <w:t>1</w:t>
      </w:r>
      <w:r w:rsidRPr="0048303D">
        <w:rPr>
          <w:rFonts w:ascii="Times New Roman" w:eastAsia="標楷體" w:hAnsi="Times New Roman" w:cs="Times New Roman"/>
          <w:szCs w:val="24"/>
        </w:rPr>
        <w:t xml:space="preserve">Department of Chemistry, National Chung </w:t>
      </w:r>
      <w:proofErr w:type="spellStart"/>
      <w:r w:rsidRPr="0048303D">
        <w:rPr>
          <w:rFonts w:ascii="Times New Roman" w:eastAsia="標楷體" w:hAnsi="Times New Roman" w:cs="Times New Roman"/>
          <w:szCs w:val="24"/>
        </w:rPr>
        <w:t>Hsing</w:t>
      </w:r>
      <w:proofErr w:type="spellEnd"/>
      <w:r w:rsidRPr="0048303D">
        <w:rPr>
          <w:rFonts w:ascii="Times New Roman" w:eastAsia="標楷體" w:hAnsi="Times New Roman" w:cs="Times New Roman"/>
          <w:szCs w:val="24"/>
        </w:rPr>
        <w:t xml:space="preserve"> University, Taichung 402, Taiwan.</w:t>
      </w:r>
    </w:p>
    <w:p w:rsidR="0048303D" w:rsidRPr="0048303D" w:rsidRDefault="0048303D" w:rsidP="0048303D">
      <w:pPr>
        <w:rPr>
          <w:rFonts w:ascii="Times New Roman" w:eastAsia="標楷體" w:hAnsi="Times New Roman" w:cs="Times New Roman"/>
          <w:szCs w:val="24"/>
        </w:rPr>
      </w:pPr>
      <w:r w:rsidRPr="0048303D">
        <w:rPr>
          <w:rFonts w:ascii="Times New Roman" w:eastAsia="標楷體" w:hAnsi="Times New Roman" w:cs="Times New Roman"/>
          <w:szCs w:val="24"/>
          <w:vertAlign w:val="superscript"/>
        </w:rPr>
        <w:t>2</w:t>
      </w:r>
      <w:r w:rsidRPr="0048303D">
        <w:rPr>
          <w:rFonts w:ascii="Times New Roman" w:eastAsia="標楷體" w:hAnsi="Times New Roman" w:cs="Times New Roman"/>
          <w:szCs w:val="24"/>
        </w:rPr>
        <w:t>Department of Chemistry, R. O. C. Military Academy, Kaohsiung, Taiwan.</w:t>
      </w:r>
    </w:p>
    <w:p w:rsidR="0048303D" w:rsidRPr="0048303D" w:rsidRDefault="0048303D" w:rsidP="0048303D">
      <w:pPr>
        <w:rPr>
          <w:rFonts w:ascii="Times New Roman" w:eastAsia="標楷體" w:hAnsi="Times New Roman" w:cs="Times New Roman"/>
          <w:szCs w:val="24"/>
        </w:rPr>
      </w:pPr>
      <w:r w:rsidRPr="0048303D">
        <w:rPr>
          <w:rFonts w:ascii="Times New Roman" w:eastAsia="標楷體" w:hAnsi="Times New Roman" w:cs="Times New Roman"/>
          <w:szCs w:val="24"/>
          <w:vertAlign w:val="superscript"/>
        </w:rPr>
        <w:t>*</w:t>
      </w:r>
      <w:r w:rsidRPr="0048303D">
        <w:rPr>
          <w:rFonts w:ascii="Times New Roman" w:eastAsia="標楷體" w:hAnsi="Times New Roman" w:cs="Times New Roman"/>
          <w:szCs w:val="24"/>
        </w:rPr>
        <w:t xml:space="preserve">corresponding author: </w:t>
      </w:r>
      <w:proofErr w:type="spellStart"/>
      <w:r w:rsidRPr="0048303D">
        <w:rPr>
          <w:rFonts w:ascii="Times New Roman" w:eastAsia="標楷體" w:hAnsi="Times New Roman" w:cs="Times New Roman"/>
          <w:szCs w:val="24"/>
        </w:rPr>
        <w:t>Chih</w:t>
      </w:r>
      <w:proofErr w:type="spellEnd"/>
      <w:r w:rsidRPr="0048303D">
        <w:rPr>
          <w:rFonts w:ascii="Times New Roman" w:eastAsia="標楷體" w:hAnsi="Times New Roman" w:cs="Times New Roman"/>
          <w:szCs w:val="24"/>
        </w:rPr>
        <w:t>-Yang Cheng (mushroom2368@gmail.com), Yi-Huan Wu (m1090008@rocma.edu.tw), Feng-Yin Li (feng64@nchu.edu.tw)</w:t>
      </w:r>
    </w:p>
    <w:p w:rsidR="0048303D" w:rsidRPr="0048303D" w:rsidRDefault="0048303D">
      <w:pPr>
        <w:rPr>
          <w:rFonts w:ascii="Times New Roman" w:hAnsi="Times New Roman" w:cs="Times New Roman"/>
        </w:rPr>
      </w:pPr>
    </w:p>
    <w:p w:rsidR="0048303D" w:rsidRPr="0048303D" w:rsidRDefault="0048303D">
      <w:pPr>
        <w:rPr>
          <w:rFonts w:ascii="Times New Roman" w:hAnsi="Times New Roman" w:cs="Times New Roman"/>
        </w:rPr>
      </w:pPr>
    </w:p>
    <w:p w:rsidR="0094587F" w:rsidRPr="0048303D" w:rsidRDefault="00750798">
      <w:pPr>
        <w:rPr>
          <w:rFonts w:ascii="Times New Roman" w:hAnsi="Times New Roman" w:cs="Times New Roman"/>
        </w:rPr>
      </w:pPr>
      <w:r w:rsidRPr="0048303D">
        <w:rPr>
          <w:rFonts w:ascii="Times New Roman" w:hAnsi="Times New Roman" w:cs="Times New Roman"/>
          <w:noProof/>
        </w:rPr>
        <w:drawing>
          <wp:inline distT="0" distB="0" distL="0" distR="0">
            <wp:extent cx="5274310" cy="2254250"/>
            <wp:effectExtent l="0" t="0" r="254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pha_CD_aggregate_barplot.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2254250"/>
                    </a:xfrm>
                    <a:prstGeom prst="rect">
                      <a:avLst/>
                    </a:prstGeom>
                  </pic:spPr>
                </pic:pic>
              </a:graphicData>
            </a:graphic>
          </wp:inline>
        </w:drawing>
      </w:r>
    </w:p>
    <w:p w:rsidR="00750798" w:rsidRDefault="0048303D">
      <w:pPr>
        <w:rPr>
          <w:rFonts w:ascii="Times New Roman" w:hAnsi="Times New Roman" w:cs="Times New Roman"/>
        </w:rPr>
      </w:pPr>
      <w:r w:rsidRPr="0048303D">
        <w:rPr>
          <w:rFonts w:ascii="Times New Roman" w:hAnsi="Times New Roman" w:cs="Times New Roman"/>
        </w:rPr>
        <w:t xml:space="preserve">Supplementary Fig. S1 | Aggregate </w:t>
      </w:r>
      <w:proofErr w:type="spellStart"/>
      <w:r w:rsidRPr="0048303D">
        <w:rPr>
          <w:rFonts w:ascii="Times New Roman" w:hAnsi="Times New Roman" w:cs="Times New Roman"/>
        </w:rPr>
        <w:t>BANLayer</w:t>
      </w:r>
      <w:proofErr w:type="spellEnd"/>
      <w:r w:rsidRPr="0048303D">
        <w:rPr>
          <w:rFonts w:ascii="Times New Roman" w:hAnsi="Times New Roman" w:cs="Times New Roman"/>
        </w:rPr>
        <w:t xml:space="preserve"> attention distribution for </w:t>
      </w:r>
      <m:oMath>
        <m:r>
          <m:rPr>
            <m:sty m:val="p"/>
          </m:rPr>
          <w:rPr>
            <w:rFonts w:ascii="Cambria Math" w:hAnsi="Cambria Math" w:cs="Times New Roman"/>
          </w:rPr>
          <m:t>α–CD</m:t>
        </m:r>
      </m:oMath>
      <w:r>
        <w:rPr>
          <w:rFonts w:ascii="Times New Roman" w:hAnsi="Times New Roman" w:cs="Times New Roman"/>
        </w:rPr>
        <w:t xml:space="preserve"> </w:t>
      </w:r>
      <w:r w:rsidRPr="0048303D">
        <w:rPr>
          <w:rFonts w:ascii="Times New Roman" w:hAnsi="Times New Roman" w:cs="Times New Roman"/>
        </w:rPr>
        <w:t>inclusion complexes. Mean normalized attention weights extracted from the Bilinear Attention Network for strong-binding guests (K &gt; 10,000 M⁻¹, n = 7). The network correctly identifies the ring oxygen (O5) and secondary rim hydroxyls (O2, O3) as the dominant interaction sites, while ignoring the interior hydrophobic carbon backbone (C2, C3). Error bars denote standard deviations across individual guest samples.</w:t>
      </w:r>
    </w:p>
    <w:p w:rsidR="0048303D" w:rsidRPr="0048303D" w:rsidRDefault="0048303D">
      <w:pPr>
        <w:rPr>
          <w:rFonts w:ascii="Times New Roman" w:hAnsi="Times New Roman" w:cs="Times New Roman" w:hint="eastAsia"/>
        </w:rPr>
      </w:pPr>
    </w:p>
    <w:p w:rsidR="00750798" w:rsidRPr="0048303D" w:rsidRDefault="00750798">
      <w:pPr>
        <w:rPr>
          <w:rFonts w:ascii="Times New Roman" w:hAnsi="Times New Roman" w:cs="Times New Roman"/>
        </w:rPr>
      </w:pPr>
      <w:r w:rsidRPr="0048303D">
        <w:rPr>
          <w:rFonts w:ascii="Times New Roman" w:hAnsi="Times New Roman" w:cs="Times New Roman"/>
          <w:noProof/>
        </w:rPr>
        <w:drawing>
          <wp:inline distT="0" distB="0" distL="0" distR="0">
            <wp:extent cx="5274310" cy="2252345"/>
            <wp:effectExtent l="0" t="0" r="2540" b="0"/>
            <wp:docPr id="3" name="圖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ta_CD_aggregate_barplot.svg"/>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5274310" cy="2252345"/>
                    </a:xfrm>
                    <a:prstGeom prst="rect">
                      <a:avLst/>
                    </a:prstGeom>
                  </pic:spPr>
                </pic:pic>
              </a:graphicData>
            </a:graphic>
          </wp:inline>
        </w:drawing>
      </w:r>
    </w:p>
    <w:p w:rsidR="0048303D" w:rsidRDefault="0048303D">
      <w:pPr>
        <w:rPr>
          <w:rFonts w:ascii="Times New Roman" w:hAnsi="Times New Roman" w:cs="Times New Roman"/>
        </w:rPr>
      </w:pPr>
      <w:r w:rsidRPr="0048303D">
        <w:rPr>
          <w:rFonts w:ascii="Times New Roman" w:hAnsi="Times New Roman" w:cs="Times New Roman"/>
        </w:rPr>
        <w:lastRenderedPageBreak/>
        <w:t xml:space="preserve">Supplementary Fig. S2 | Aggregate </w:t>
      </w:r>
      <w:proofErr w:type="spellStart"/>
      <w:r w:rsidRPr="0048303D">
        <w:rPr>
          <w:rFonts w:ascii="Times New Roman" w:hAnsi="Times New Roman" w:cs="Times New Roman"/>
        </w:rPr>
        <w:t>BANLayer</w:t>
      </w:r>
      <w:proofErr w:type="spellEnd"/>
      <w:r w:rsidRPr="0048303D">
        <w:rPr>
          <w:rFonts w:ascii="Times New Roman" w:hAnsi="Times New Roman" w:cs="Times New Roman"/>
        </w:rPr>
        <w:t xml:space="preserve"> attention distribution for </w:t>
      </w:r>
      <m:oMath>
        <m:r>
          <m:rPr>
            <m:sty m:val="p"/>
          </m:rPr>
          <w:rPr>
            <w:rFonts w:ascii="Cambria Math" w:hAnsi="Cambria Math" w:cs="Times New Roman"/>
          </w:rPr>
          <m:t>β–CD</m:t>
        </m:r>
      </m:oMath>
      <w:r>
        <w:rPr>
          <w:rFonts w:ascii="Times New Roman" w:hAnsi="Times New Roman" w:cs="Times New Roman"/>
        </w:rPr>
        <w:t xml:space="preserve"> </w:t>
      </w:r>
      <w:r w:rsidRPr="0048303D">
        <w:rPr>
          <w:rFonts w:ascii="Times New Roman" w:hAnsi="Times New Roman" w:cs="Times New Roman"/>
        </w:rPr>
        <w:t xml:space="preserve">inclusion complexes. Mean normalized attention weights for </w:t>
      </w:r>
      <m:oMath>
        <m:r>
          <m:rPr>
            <m:sty m:val="p"/>
          </m:rPr>
          <w:rPr>
            <w:rFonts w:ascii="Cambria Math" w:hAnsi="Cambria Math" w:cs="Times New Roman"/>
          </w:rPr>
          <m:t>β–CD</m:t>
        </m:r>
      </m:oMath>
      <w:r w:rsidRPr="0048303D">
        <w:rPr>
          <w:rFonts w:ascii="Times New Roman" w:hAnsi="Times New Roman" w:cs="Times New Roman"/>
        </w:rPr>
        <w:t xml:space="preserve"> strong-binding guests (K &gt; 10,000 M⁻¹, n = 53). Benefiting from the largest sample size within the extreme thermodynamic boundary, the model exhibits a highly robust, focused attention distribution heavily prioritizing the oxygen network (O5, O3, O2</w:t>
      </w:r>
      <w:r w:rsidR="00AC24DC">
        <w:rPr>
          <w:rFonts w:ascii="Times New Roman" w:hAnsi="Times New Roman" w:cs="Times New Roman"/>
        </w:rPr>
        <w:t xml:space="preserve"> </w:t>
      </w:r>
      <m:oMath>
        <m:r>
          <m:rPr>
            <m:sty m:val="p"/>
          </m:rPr>
          <w:rPr>
            <w:rFonts w:ascii="Cambria Math" w:hAnsi="Cambria Math" w:cs="Times New Roman"/>
          </w:rPr>
          <m:t>≥0.88</m:t>
        </m:r>
      </m:oMath>
      <w:r w:rsidRPr="0048303D">
        <w:rPr>
          <w:rFonts w:ascii="Times New Roman" w:hAnsi="Times New Roman" w:cs="Times New Roman"/>
        </w:rPr>
        <w:t>), perfectly corroborating established NMR observations of secondary-rim guest inclusion.</w:t>
      </w:r>
    </w:p>
    <w:p w:rsidR="0048303D" w:rsidRDefault="0048303D">
      <w:pPr>
        <w:rPr>
          <w:rFonts w:ascii="Times New Roman" w:hAnsi="Times New Roman" w:cs="Times New Roman"/>
        </w:rPr>
      </w:pPr>
    </w:p>
    <w:p w:rsidR="00750798" w:rsidRPr="0048303D" w:rsidRDefault="00750798">
      <w:pPr>
        <w:rPr>
          <w:rFonts w:ascii="Times New Roman" w:hAnsi="Times New Roman" w:cs="Times New Roman"/>
        </w:rPr>
      </w:pPr>
      <w:r w:rsidRPr="0048303D">
        <w:rPr>
          <w:rFonts w:ascii="Times New Roman" w:hAnsi="Times New Roman" w:cs="Times New Roman"/>
          <w:noProof/>
        </w:rPr>
        <w:drawing>
          <wp:inline distT="0" distB="0" distL="0" distR="0">
            <wp:extent cx="5274310" cy="2252345"/>
            <wp:effectExtent l="0" t="0" r="2540" b="0"/>
            <wp:docPr id="4" name="圖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ma_CD_aggregate_barplot.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5274310" cy="2252345"/>
                    </a:xfrm>
                    <a:prstGeom prst="rect">
                      <a:avLst/>
                    </a:prstGeom>
                  </pic:spPr>
                </pic:pic>
              </a:graphicData>
            </a:graphic>
          </wp:inline>
        </w:drawing>
      </w:r>
    </w:p>
    <w:p w:rsidR="00AC24DC" w:rsidRDefault="00AC24DC">
      <w:pPr>
        <w:rPr>
          <w:rFonts w:ascii="Times New Roman" w:hAnsi="Times New Roman" w:cs="Times New Roman"/>
        </w:rPr>
      </w:pPr>
      <w:r w:rsidRPr="00AC24DC">
        <w:rPr>
          <w:rFonts w:ascii="Times New Roman" w:hAnsi="Times New Roman" w:cs="Times New Roman"/>
        </w:rPr>
        <w:t xml:space="preserve">Supplementary Fig. S3 | Aggregate </w:t>
      </w:r>
      <w:proofErr w:type="spellStart"/>
      <w:r w:rsidRPr="00AC24DC">
        <w:rPr>
          <w:rFonts w:ascii="Times New Roman" w:hAnsi="Times New Roman" w:cs="Times New Roman"/>
        </w:rPr>
        <w:t>BANLayer</w:t>
      </w:r>
      <w:proofErr w:type="spellEnd"/>
      <w:r w:rsidRPr="00AC24DC">
        <w:rPr>
          <w:rFonts w:ascii="Times New Roman" w:hAnsi="Times New Roman" w:cs="Times New Roman"/>
        </w:rPr>
        <w:t xml:space="preserve"> attention distribution for </w:t>
      </w:r>
      <w:bookmarkStart w:id="0" w:name="OLE_LINK23"/>
      <w:bookmarkStart w:id="1" w:name="OLE_LINK24"/>
      <m:oMath>
        <m:r>
          <m:rPr>
            <m:sty m:val="p"/>
          </m:rPr>
          <w:rPr>
            <w:rFonts w:ascii="Cambria Math" w:hAnsi="Cambria Math" w:cs="Times New Roman"/>
          </w:rPr>
          <m:t>γ–CD</m:t>
        </m:r>
      </m:oMath>
      <w:bookmarkEnd w:id="0"/>
      <w:bookmarkEnd w:id="1"/>
      <w:r>
        <w:rPr>
          <w:rFonts w:ascii="Times New Roman" w:hAnsi="Times New Roman" w:cs="Times New Roman"/>
        </w:rPr>
        <w:t xml:space="preserve"> </w:t>
      </w:r>
      <w:r w:rsidRPr="00AC24DC">
        <w:rPr>
          <w:rFonts w:ascii="Times New Roman" w:hAnsi="Times New Roman" w:cs="Times New Roman"/>
        </w:rPr>
        <w:t xml:space="preserve">inclusion complexes. Mean normalized attention weights for </w:t>
      </w:r>
      <m:oMath>
        <m:r>
          <m:rPr>
            <m:sty m:val="p"/>
          </m:rPr>
          <w:rPr>
            <w:rFonts w:ascii="Cambria Math" w:hAnsi="Cambria Math" w:cs="Times New Roman"/>
          </w:rPr>
          <m:t>γ–CD</m:t>
        </m:r>
      </m:oMath>
      <w:r w:rsidRPr="00AC24DC">
        <w:rPr>
          <w:rFonts w:ascii="Times New Roman" w:hAnsi="Times New Roman" w:cs="Times New Roman"/>
        </w:rPr>
        <w:t xml:space="preserve"> strong-binding guests (K &gt; 10,000 M⁻¹, n = 18). In addition to the secondary rim (O2, O3), the model uniquely allocates significantly elevated attention to the primary rim hydroxyl (O6, 0.90) compared to other cyclodextrin variants. This implicitly captures the physical reality of </w:t>
      </w:r>
      <m:oMath>
        <m:r>
          <m:rPr>
            <m:sty m:val="p"/>
          </m:rPr>
          <w:rPr>
            <w:rFonts w:ascii="Cambria Math" w:hAnsi="Cambria Math" w:cs="Times New Roman"/>
            <w:kern w:val="0"/>
          </w:rPr>
          <m:t>γ–CD</m:t>
        </m:r>
      </m:oMath>
      <w:r w:rsidRPr="00AC24DC">
        <w:rPr>
          <w:rFonts w:ascii="Times New Roman" w:hAnsi="Times New Roman" w:cs="Times New Roman"/>
        </w:rPr>
        <w:t>'s larger cavity size, which permits deep penetration of bulky guest molecules toward the narrower primary rim.</w:t>
      </w:r>
    </w:p>
    <w:p w:rsidR="00AC24DC" w:rsidRPr="00AC24DC" w:rsidRDefault="00AC24DC">
      <w:pPr>
        <w:rPr>
          <w:rFonts w:ascii="Times New Roman" w:hAnsi="Times New Roman" w:cs="Times New Roman" w:hint="eastAsia"/>
        </w:rPr>
      </w:pPr>
    </w:p>
    <w:p w:rsidR="00750798" w:rsidRPr="0048303D" w:rsidRDefault="00750798">
      <w:pPr>
        <w:rPr>
          <w:rFonts w:ascii="Times New Roman" w:hAnsi="Times New Roman" w:cs="Times New Roman"/>
        </w:rPr>
      </w:pPr>
      <w:r w:rsidRPr="0048303D">
        <w:rPr>
          <w:rFonts w:ascii="Times New Roman" w:hAnsi="Times New Roman" w:cs="Times New Roman"/>
          <w:noProof/>
        </w:rPr>
        <w:drawing>
          <wp:inline distT="0" distB="0" distL="0" distR="0">
            <wp:extent cx="5274310" cy="2245995"/>
            <wp:effectExtent l="0" t="0" r="2540" b="190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P_beta_CD_aggregate_barplo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245995"/>
                    </a:xfrm>
                    <a:prstGeom prst="rect">
                      <a:avLst/>
                    </a:prstGeom>
                  </pic:spPr>
                </pic:pic>
              </a:graphicData>
            </a:graphic>
          </wp:inline>
        </w:drawing>
      </w:r>
    </w:p>
    <w:p w:rsidR="00750798" w:rsidRPr="0048303D" w:rsidRDefault="00AC24DC" w:rsidP="00AC24DC">
      <w:pPr>
        <w:rPr>
          <w:rFonts w:ascii="Times New Roman" w:hAnsi="Times New Roman" w:cs="Times New Roman"/>
        </w:rPr>
      </w:pPr>
      <w:bookmarkStart w:id="2" w:name="_GoBack"/>
      <w:r w:rsidRPr="00AC24DC">
        <w:rPr>
          <w:rFonts w:ascii="Times New Roman" w:hAnsi="Times New Roman" w:cs="Times New Roman"/>
        </w:rPr>
        <w:t xml:space="preserve">Supplementary </w:t>
      </w:r>
      <w:bookmarkEnd w:id="2"/>
      <w:r w:rsidRPr="00AC24DC">
        <w:rPr>
          <w:rFonts w:ascii="Times New Roman" w:hAnsi="Times New Roman" w:cs="Times New Roman"/>
        </w:rPr>
        <w:t xml:space="preserve">Fig. S4 | Aggregate </w:t>
      </w:r>
      <w:proofErr w:type="spellStart"/>
      <w:r w:rsidRPr="00AC24DC">
        <w:rPr>
          <w:rFonts w:ascii="Times New Roman" w:hAnsi="Times New Roman" w:cs="Times New Roman"/>
        </w:rPr>
        <w:t>BANLayer</w:t>
      </w:r>
      <w:proofErr w:type="spellEnd"/>
      <w:r w:rsidRPr="00AC24DC">
        <w:rPr>
          <w:rFonts w:ascii="Times New Roman" w:hAnsi="Times New Roman" w:cs="Times New Roman"/>
        </w:rPr>
        <w:t xml:space="preserve"> attention distribution for </w:t>
      </w:r>
      <m:oMath>
        <m:r>
          <m:rPr>
            <m:sty m:val="p"/>
          </m:rPr>
          <w:rPr>
            <w:rFonts w:ascii="Cambria Math" w:hAnsi="Cambria Math" w:cs="Times New Roman"/>
          </w:rPr>
          <m:t>H</m:t>
        </m:r>
        <m:r>
          <m:rPr>
            <m:sty m:val="p"/>
          </m:rPr>
          <w:rPr>
            <w:rFonts w:ascii="Cambria Math" w:hAnsi="Cambria Math" w:cs="Times New Roman"/>
          </w:rPr>
          <m:t>P–β–</m:t>
        </m:r>
        <m:r>
          <m:rPr>
            <m:sty m:val="p"/>
          </m:rPr>
          <w:rPr>
            <w:rFonts w:ascii="Cambria Math" w:hAnsi="Cambria Math" w:cs="Times New Roman"/>
          </w:rPr>
          <m:t>CD</m:t>
        </m:r>
      </m:oMath>
      <w:r w:rsidRPr="00AC24DC">
        <w:rPr>
          <w:rFonts w:ascii="Times New Roman" w:hAnsi="Times New Roman" w:cs="Times New Roman"/>
        </w:rPr>
        <w:t xml:space="preserve"> inclusion complexes. Mean normalized attention weights for </w:t>
      </w:r>
      <m:oMath>
        <m:r>
          <m:rPr>
            <m:sty m:val="p"/>
          </m:rPr>
          <w:rPr>
            <w:rFonts w:ascii="Cambria Math" w:hAnsi="Cambria Math" w:cs="Times New Roman"/>
          </w:rPr>
          <m:t>H</m:t>
        </m:r>
        <m:r>
          <m:rPr>
            <m:sty m:val="p"/>
          </m:rPr>
          <w:rPr>
            <w:rFonts w:ascii="Cambria Math" w:hAnsi="Cambria Math" w:cs="Times New Roman"/>
          </w:rPr>
          <m:t>P–β–</m:t>
        </m:r>
        <m:r>
          <m:rPr>
            <m:sty m:val="p"/>
          </m:rPr>
          <w:rPr>
            <w:rFonts w:ascii="Cambria Math" w:hAnsi="Cambria Math" w:cs="Times New Roman"/>
          </w:rPr>
          <m:t>CD</m:t>
        </m:r>
      </m:oMath>
      <w:r w:rsidRPr="00AC24DC">
        <w:rPr>
          <w:rFonts w:ascii="Times New Roman" w:hAnsi="Times New Roman" w:cs="Times New Roman"/>
        </w:rPr>
        <w:t xml:space="preserve"> strong-</w:t>
      </w:r>
      <w:r w:rsidRPr="00AC24DC">
        <w:rPr>
          <w:rFonts w:ascii="Times New Roman" w:hAnsi="Times New Roman" w:cs="Times New Roman"/>
        </w:rPr>
        <w:lastRenderedPageBreak/>
        <w:t>binding guests (K &gt; 10,000 M⁻¹, n = 5). The attention mass is distinctly flattened and widely distributed across multiple atomic positions, including an elevated focus on C5 (0.63) and the hydroxypropyl substituent group (0.54). This dispersed pattern reflects the random substitution of the host molecule, which breaks the symmetrical hydrogen-bonding network and diversifies the thermodynamic interaction landscape.</w:t>
      </w:r>
    </w:p>
    <w:sectPr w:rsidR="00750798" w:rsidRPr="0048303D">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798"/>
    <w:rsid w:val="0048303D"/>
    <w:rsid w:val="00750798"/>
    <w:rsid w:val="0094587F"/>
    <w:rsid w:val="00AC24DC"/>
    <w:rsid w:val="00DE184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30780"/>
  <w15:chartTrackingRefBased/>
  <w15:docId w15:val="{CB039928-3047-4536-8E21-B8B996764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8303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sv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sv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380</Words>
  <Characters>2168</Characters>
  <Application>Microsoft Office Word</Application>
  <DocSecurity>0</DocSecurity>
  <Lines>18</Lines>
  <Paragraphs>5</Paragraphs>
  <ScaleCrop>false</ScaleCrop>
  <Company/>
  <LinksUpToDate>false</LinksUpToDate>
  <CharactersWithSpaces>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zen001</dc:creator>
  <cp:keywords/>
  <dc:description/>
  <cp:lastModifiedBy>zen001</cp:lastModifiedBy>
  <cp:revision>2</cp:revision>
  <dcterms:created xsi:type="dcterms:W3CDTF">2026-06-06T11:38:00Z</dcterms:created>
  <dcterms:modified xsi:type="dcterms:W3CDTF">2026-06-06T11:38:00Z</dcterms:modified>
</cp:coreProperties>
</file>