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22E3C" w14:textId="77777777" w:rsidR="0043639A" w:rsidRDefault="00000000">
      <w:pPr>
        <w:pStyle w:val="1"/>
      </w:pPr>
      <w:bookmarkStart w:id="0" w:name="Xbf8c78e62dcdd89ad09b04448d30a003a3b16a9"/>
      <w:r>
        <w:t>Abusive Corporate Division as an Institutional-Design Problem: Deterrence, Classification, and Selective Accommodation in Japan</w:t>
      </w:r>
    </w:p>
    <w:p w14:paraId="6C247F19" w14:textId="77777777" w:rsidR="0043639A" w:rsidRDefault="00000000">
      <w:pPr>
        <w:pStyle w:val="2"/>
      </w:pPr>
      <w:bookmarkStart w:id="1" w:name="X847b8e23309b28c24f0a374a7aa24022a2baa6b"/>
      <w:r>
        <w:t>Online Supplementary Material (Online Appendices B–D)</w:t>
      </w:r>
    </w:p>
    <w:p w14:paraId="4F2CD0FA" w14:textId="77777777" w:rsidR="0043639A" w:rsidRDefault="00000000">
      <w:pPr>
        <w:pStyle w:val="FirstParagraph"/>
      </w:pPr>
      <w:r>
        <w:t>Koki Arai — Faculty of Business Studies, Kyoritsu Women’s University, Tokyo, Japan. This version: June 2026.</w:t>
      </w:r>
    </w:p>
    <w:p w14:paraId="0559DA12" w14:textId="77777777" w:rsidR="0043639A" w:rsidRDefault="00000000">
      <w:pPr>
        <w:pStyle w:val="a0"/>
      </w:pPr>
      <w:r>
        <w:t>This supplement accompanies the main article. Section, table, equation, and figure numbers cited herein refer to the main text. For context: the simulation of Section 4.3 constructs latent variables from standardized monthly registry and macroeconomic proxies and generates abuse and success outcomes through logistic indices; the appendices below probe the sensitivity of its conclusions to those calibration inputs. All results can be reproduced with the code at https://github.com/Koki-Arai/abusive-corporate-division. Computational environment: Python 3.12.3 with numpy 2.4.4, pandas 3.0.2, statsmodels 0.14.6, and scikit-learn 1.8.0; all randomized steps use seed 42.</w:t>
      </w:r>
    </w:p>
    <w:p w14:paraId="630F9072" w14:textId="77777777" w:rsidR="0043639A" w:rsidRDefault="00000000">
      <w:pPr>
        <w:pStyle w:val="2"/>
      </w:pPr>
      <w:bookmarkStart w:id="2" w:name="X07b04d37fa712ea9dcedf17f897301b6ec500fb"/>
      <w:bookmarkEnd w:id="1"/>
      <w:r>
        <w:t>Online Appendix B. Robustness and Validation of the Calibration</w:t>
      </w:r>
    </w:p>
    <w:p w14:paraId="6725502F" w14:textId="77777777" w:rsidR="0043639A" w:rsidRDefault="00000000">
      <w:pPr>
        <w:pStyle w:val="FirstParagraph"/>
      </w:pPr>
      <w:r>
        <w:t>This appendix documents the stability of the calibrated structure and its consistency with the raw data. Because the exercise is calibration by moment matching rather than statistical estimation, the appendix reports stability and face-validity checks rather than sampling-based inference; no standard errors or over-identification tests are reported.</w:t>
      </w:r>
    </w:p>
    <w:p w14:paraId="1D82150F" w14:textId="77777777" w:rsidR="0043639A" w:rsidRDefault="00000000">
      <w:pPr>
        <w:pStyle w:val="a0"/>
      </w:pPr>
      <w:r>
        <w:rPr>
          <w:b/>
          <w:bCs/>
        </w:rPr>
        <w:t>B.1 Seed stability.</w:t>
      </w:r>
      <w:r>
        <w:t xml:space="preserve"> The calibration uses a global search (differential evolution) followed by local refinement. Recomputing the calibrated coefficients across eight random seeds yields a maximum coefficient of variation of about 5.4 percent for the deterrence coefficient </w:t>
      </w:r>
      <m:oMath>
        <m:sSub>
          <m:sSubPr>
            <m:ctrlPr>
              <w:rPr>
                <w:rFonts w:ascii="Cambria Math" w:hAnsi="Cambria Math"/>
              </w:rPr>
            </m:ctrlPr>
          </m:sSubPr>
          <m:e>
            <m:r>
              <w:rPr>
                <w:rFonts w:ascii="Cambria Math" w:hAnsi="Cambria Math"/>
              </w:rPr>
              <m:t>α</m:t>
            </m:r>
          </m:e>
          <m:sub>
            <m:r>
              <w:rPr>
                <w:rFonts w:ascii="Cambria Math" w:hAnsi="Cambria Math"/>
              </w:rPr>
              <m:t>2</m:t>
            </m:r>
          </m:sub>
        </m:sSub>
      </m:oMath>
      <w:r>
        <w:t>; the sign restrictions and the ranking of coefficients are preserved across all seeds.</w:t>
      </w:r>
    </w:p>
    <w:p w14:paraId="226EAF33" w14:textId="77777777" w:rsidR="0043639A" w:rsidRDefault="00000000">
      <w:pPr>
        <w:pStyle w:val="a0"/>
      </w:pPr>
      <w:r>
        <w:rPr>
          <w:b/>
          <w:bCs/>
        </w:rPr>
        <w:t>B.2 Simulation-draw stability.</w:t>
      </w:r>
      <w:r>
        <w:t xml:space="preserve"> Varying the number of simulation draws per evaluation from one to five changes the main coefficients negligibly (maximum deviations of about 0.015 for </w:t>
      </w:r>
      <m:oMath>
        <m:sSub>
          <m:sSubPr>
            <m:ctrlPr>
              <w:rPr>
                <w:rFonts w:ascii="Cambria Math" w:hAnsi="Cambria Math"/>
              </w:rPr>
            </m:ctrlPr>
          </m:sSubPr>
          <m:e>
            <m:r>
              <w:rPr>
                <w:rFonts w:ascii="Cambria Math" w:hAnsi="Cambria Math"/>
              </w:rPr>
              <m:t>α</m:t>
            </m:r>
          </m:e>
          <m:sub>
            <m:r>
              <w:rPr>
                <w:rFonts w:ascii="Cambria Math" w:hAnsi="Cambria Math"/>
              </w:rPr>
              <m:t>1</m:t>
            </m:r>
          </m:sub>
        </m:sSub>
      </m:oMath>
      <w:r>
        <w:t xml:space="preserve"> and 0.031 for </w:t>
      </w:r>
      <m:oMath>
        <m:sSub>
          <m:sSubPr>
            <m:ctrlPr>
              <w:rPr>
                <w:rFonts w:ascii="Cambria Math" w:hAnsi="Cambria Math"/>
              </w:rPr>
            </m:ctrlPr>
          </m:sSubPr>
          <m:e>
            <m:r>
              <w:rPr>
                <w:rFonts w:ascii="Cambria Math" w:hAnsi="Cambria Math"/>
              </w:rPr>
              <m:t>β</m:t>
            </m:r>
          </m:e>
          <m:sub>
            <m:r>
              <w:rPr>
                <w:rFonts w:ascii="Cambria Math" w:hAnsi="Cambria Math"/>
              </w:rPr>
              <m:t>1</m:t>
            </m:r>
          </m:sub>
        </m:sSub>
      </m:oMath>
      <w:r>
        <w:t>). The signs and relative magnitudes are preserved throughout.</w:t>
      </w:r>
    </w:p>
    <w:p w14:paraId="0B440DB3" w14:textId="77777777" w:rsidR="0043639A" w:rsidRDefault="00000000">
      <w:pPr>
        <w:pStyle w:val="a0"/>
      </w:pPr>
      <w:r>
        <w:rPr>
          <w:b/>
          <w:bCs/>
        </w:rPr>
        <w:t>B.3 Consistency with raw data (face validity).</w:t>
      </w:r>
      <w:r>
        <w:t xml:space="preserve"> To guard against the calibration being self-confirming, empirical analogs of the target moments are computed directly from the registry, macro, and JBA loan-market data, without using simulation output: abusive-rate analogs from period-normalized distress rates (special liquidations and bankruptcies per split incorporation) and success-rate analogs from normalized completion-of-liquidation rates. The mean absolute gap between the simulated moments and these raw-data analogs is about 10.8 percent, with ten of thirteen moments within 20 percent. The three larger gaps—the 2015–2019 abusive rate, the highest-surplus success quintile, and the lowest-leakage success quintile—reflect, respectively, the post-reform transition, the lag from completion of a large rehabilitation to formal registry entry, and the imperfect mapping between </w:t>
      </w:r>
      <w:r>
        <w:lastRenderedPageBreak/>
        <w:t>capital-balance ratios and the latent leakage variable. These are consistent with the framework’s claims and do not alter the qualitative conclusions.</w:t>
      </w:r>
    </w:p>
    <w:p w14:paraId="4CCE3B28" w14:textId="77777777" w:rsidR="0043639A" w:rsidRDefault="00000000">
      <w:pPr>
        <w:pStyle w:val="a0"/>
      </w:pPr>
      <w:r>
        <w:rPr>
          <w:b/>
          <w:bCs/>
        </w:rPr>
        <w:t>B.4 Endogeneity, placebo, and definitional robustness.</w:t>
      </w:r>
      <w:r>
        <w:t xml:space="preserve"> </w:t>
      </w:r>
      <w:r>
        <w:rPr>
          <w:i/>
          <w:iCs/>
        </w:rPr>
        <w:t>Reform-timing endogeneity.</w:t>
      </w:r>
      <w:r>
        <w:t xml:space="preserve"> A rush-filing test (comparing split incorporations in the six months before the 2015 reform with the same six months one year earlier) finds no evidence of strategic pre-reform filing. A first-stage regression of monthly split incorporations on the reform dummy and time trend, without macro controls, shows no sharp discontinuity; adding macro controls, the reform is associated with somewhat more rather than fewer divisions, consistent with the reform facilitating legitimate rehabilitations while constraining abusive ones. An alternative reading is that the dummy absorbs residual macro variation; the mechanism warrants further investigation. </w:t>
      </w:r>
      <w:r>
        <w:rPr>
          <w:i/>
          <w:iCs/>
        </w:rPr>
        <w:t>Placebo / stability.</w:t>
      </w:r>
      <w:r>
        <w:t xml:space="preserve"> Recalibrating on the pre-reform panel (2009–2014) and using the resulting coefficients to predict the post-reform abusive rate yields about 23.7 percent, against about 23.4 percent for the full sample—a small gap in the direction predicted by a modest deterrence effect. </w:t>
      </w:r>
      <w:r>
        <w:rPr>
          <w:i/>
          <w:iCs/>
        </w:rPr>
        <w:t>Success-definition robustness.</w:t>
      </w:r>
      <w:r>
        <w:t xml:space="preserve"> Re-running the calibration under three definitions of rehabilitation success (completion-focused, baseline, and creditor-recovery-focused) shows that the baseline definition achieves the lowest moment-matching loss, confirming it is most consistent with the observed moment structure.</w:t>
      </w:r>
    </w:p>
    <w:p w14:paraId="1EC0510A" w14:textId="77777777" w:rsidR="0043639A" w:rsidRDefault="00000000">
      <w:pPr>
        <w:pStyle w:val="a0"/>
      </w:pPr>
      <w:r>
        <w:rPr>
          <w:b/>
          <w:bCs/>
        </w:rPr>
        <w:t>B.5 Macro decomposition.</w:t>
      </w:r>
      <w:r>
        <w:t xml:space="preserve"> Comparing observed macroeconomic conditions with the period-specific calibration constants shows that the largest abuse adjustment falls in 2012–2015, when stock prices were depressed, lending rates above the full-sample average, and JBA data show non-performing loan transfers declining from their post-crisis peak. A counterfactual setting the 2012–2015 constant to zero reduces the simulated abusive rate for that window from about 33 to 26 percent, implying that the macro-institutional environment accounts for roughly 59 percent of the excess abuse in that period. This makes explicit that the period constants are calibration devices absorbing macro variation, not estimated structural effects, and that the residual 2012–2015 discrepancy in Table 3 should be read in that light.</w:t>
      </w:r>
    </w:p>
    <w:p w14:paraId="52F1A880" w14:textId="77777777" w:rsidR="0043639A" w:rsidRDefault="00000000">
      <w:pPr>
        <w:pStyle w:val="a0"/>
      </w:pPr>
      <w:r>
        <w:rPr>
          <w:b/>
          <w:bCs/>
        </w:rPr>
        <w:t>B.6 Period-constant sensitivity and placebo.</w:t>
      </w:r>
      <w:r>
        <w:t xml:space="preserve"> Because the period constants are hand-set, two further checks isolate their role. Setting every period constant to zero (a placebo with no period adjustment) still leaves 2012–2015 as the highest-abuse window—about 29 percent against 23–26 percent elsewhere—so the period ordering is generated by the proxies (value-leakage and macro series), with the constant amplifying rather than creating it (it raises the 2012–2015 simulated rate from about 29 to 38 percent). Perturbing every period’s abuse and success constants by independent noise (standard deviations of 0.15 and 0.10 on the logit scale, 70 draws) keeps the overall abuse rate between about 22 and 30 percent, leaves 2012–2015 the highest-abuse period in every draw, and preserves the sign of all success gradients in every draw. The period pattern is therefore robust to, and not an artifact of, the specific calibration constants.</w:t>
      </w:r>
    </w:p>
    <w:p w14:paraId="1BDA155D" w14:textId="77777777" w:rsidR="0043639A" w:rsidRDefault="00000000">
      <w:pPr>
        <w:pStyle w:val="2"/>
      </w:pPr>
      <w:bookmarkStart w:id="3" w:name="X55a1e8590d501ce82aef9342b0427041673cf44"/>
      <w:bookmarkEnd w:id="2"/>
      <w:r>
        <w:lastRenderedPageBreak/>
        <w:t>Online Appendix C. Measurement: From Constructs to Observable Proxies</w:t>
      </w:r>
    </w:p>
    <w:p w14:paraId="1872429D" w14:textId="77777777" w:rsidR="0043639A" w:rsidRDefault="00000000">
      <w:pPr>
        <w:pStyle w:val="FirstParagraph"/>
      </w:pPr>
      <w:r>
        <w:t>This appendix links each latent construct of Section 3 to the observable monthly series used to proxy it, so that the calibration’s inputs are transparent rather than implicit. All proxies are built from the registry, macroeconomic, and JBA loan-market series of Section 4.1, standardized (z-scored) and entered with lags (a one-month lag and a three-month moving average) to respect timing. Each proxy is a weighted combination of observable ratios; the weights are reported below. These weights are benchmark parameters chosen to give each observable a transparent, economically signed role—they are not estimated—and the sensitivity analysis below shows that the qualitative conclusions do not depend on their exact values.</w:t>
      </w:r>
    </w:p>
    <w:tbl>
      <w:tblPr>
        <w:tblStyle w:val="Table"/>
        <w:tblW w:w="5000" w:type="pct"/>
        <w:tblLook w:val="0020" w:firstRow="1" w:lastRow="0" w:firstColumn="0" w:lastColumn="0" w:noHBand="0" w:noVBand="0"/>
      </w:tblPr>
      <w:tblGrid>
        <w:gridCol w:w="1873"/>
        <w:gridCol w:w="3427"/>
        <w:gridCol w:w="3538"/>
      </w:tblGrid>
      <w:tr w:rsidR="0043639A" w14:paraId="6F255C26" w14:textId="77777777" w:rsidTr="0043639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auto"/>
              <w:bottom w:val="single" w:sz="8" w:space="0" w:color="auto"/>
            </w:tcBorders>
          </w:tcPr>
          <w:p w14:paraId="727252DB" w14:textId="77777777" w:rsidR="0043639A" w:rsidRDefault="00000000">
            <w:pPr>
              <w:pStyle w:val="Compact"/>
            </w:pPr>
            <w:r>
              <w:t>Construct</w:t>
            </w:r>
          </w:p>
        </w:tc>
        <w:tc>
          <w:tcPr>
            <w:tcW w:w="0" w:type="auto"/>
            <w:tcBorders>
              <w:top w:val="single" w:sz="8" w:space="0" w:color="auto"/>
              <w:bottom w:val="single" w:sz="8" w:space="0" w:color="auto"/>
            </w:tcBorders>
          </w:tcPr>
          <w:p w14:paraId="26E182E3" w14:textId="77777777" w:rsidR="0043639A" w:rsidRDefault="00000000">
            <w:pPr>
              <w:pStyle w:val="Compact"/>
            </w:pPr>
            <w:r>
              <w:t>Proxy definition (standardized, lagged)</w:t>
            </w:r>
          </w:p>
        </w:tc>
        <w:tc>
          <w:tcPr>
            <w:tcW w:w="0" w:type="auto"/>
            <w:tcBorders>
              <w:top w:val="single" w:sz="8" w:space="0" w:color="auto"/>
              <w:bottom w:val="single" w:sz="8" w:space="0" w:color="auto"/>
            </w:tcBorders>
          </w:tcPr>
          <w:p w14:paraId="34670486" w14:textId="77777777" w:rsidR="0043639A" w:rsidRDefault="00000000">
            <w:pPr>
              <w:pStyle w:val="Compact"/>
            </w:pPr>
            <w:r>
              <w:t>Validity note</w:t>
            </w:r>
          </w:p>
        </w:tc>
      </w:tr>
      <w:tr w:rsidR="0043639A" w14:paraId="2E7C27CF" w14:textId="77777777">
        <w:tc>
          <w:tcPr>
            <w:tcW w:w="0" w:type="auto"/>
          </w:tcPr>
          <w:p w14:paraId="074D04FC" w14:textId="77777777" w:rsidR="0043639A" w:rsidRDefault="00000000">
            <w:pPr>
              <w:pStyle w:val="Compact"/>
            </w:pPr>
            <w:r>
              <w:t xml:space="preserve">Value leakage </w:t>
            </w:r>
            <m:oMath>
              <m:r>
                <w:rPr>
                  <w:rFonts w:ascii="Cambria Math" w:hAnsi="Cambria Math"/>
                </w:rPr>
                <m:t>δ</m:t>
              </m:r>
            </m:oMath>
          </w:p>
        </w:tc>
        <w:tc>
          <w:tcPr>
            <w:tcW w:w="0" w:type="auto"/>
          </w:tcPr>
          <w:p w14:paraId="30C4EFAB" w14:textId="77777777" w:rsidR="0043639A" w:rsidRDefault="00000000">
            <w:pPr>
              <w:pStyle w:val="Compact"/>
            </w:pPr>
            <w:r>
              <w:t>liquidation-on-split rate (0.50); inverse split capital balance (0.30); bankruptcy-on-split rate (0.20)</w:t>
            </w:r>
          </w:p>
        </w:tc>
        <w:tc>
          <w:tcPr>
            <w:tcW w:w="0" w:type="auto"/>
          </w:tcPr>
          <w:p w14:paraId="0E2B4ED6" w14:textId="77777777" w:rsidR="0043639A" w:rsidRDefault="00000000">
            <w:pPr>
              <w:pStyle w:val="Compact"/>
            </w:pPr>
            <w:r>
              <w:t>intended to proxy realized loss to residual creditors; also reflects general distress</w:t>
            </w:r>
          </w:p>
        </w:tc>
      </w:tr>
      <w:tr w:rsidR="0043639A" w14:paraId="1F2A4548" w14:textId="77777777">
        <w:tc>
          <w:tcPr>
            <w:tcW w:w="0" w:type="auto"/>
          </w:tcPr>
          <w:p w14:paraId="6C0FEF49" w14:textId="77777777" w:rsidR="0043639A" w:rsidRDefault="00000000">
            <w:pPr>
              <w:pStyle w:val="Compact"/>
            </w:pPr>
            <w:r>
              <w:t xml:space="preserve">Liability imbalance </w:t>
            </w:r>
            <m:oMath>
              <m:r>
                <w:rPr>
                  <w:rFonts w:ascii="Cambria Math" w:hAnsi="Cambria Math"/>
                </w:rPr>
                <m:t>μ</m:t>
              </m:r>
            </m:oMath>
          </w:p>
        </w:tc>
        <w:tc>
          <w:tcPr>
            <w:tcW w:w="0" w:type="auto"/>
          </w:tcPr>
          <w:p w14:paraId="3A5BC17A" w14:textId="77777777" w:rsidR="0043639A" w:rsidRDefault="00000000">
            <w:pPr>
              <w:pStyle w:val="Compact"/>
            </w:pPr>
            <w:r>
              <w:t>inverse split capital balance (0.70); distress-on-split rate (0.30)</w:t>
            </w:r>
          </w:p>
        </w:tc>
        <w:tc>
          <w:tcPr>
            <w:tcW w:w="0" w:type="auto"/>
          </w:tcPr>
          <w:p w14:paraId="6D1A25D5" w14:textId="77777777" w:rsidR="0043639A" w:rsidRDefault="00000000">
            <w:pPr>
              <w:pStyle w:val="Compact"/>
            </w:pPr>
            <w:r>
              <w:t>intended to proxy under-assumption of liabilities by the successor</w:t>
            </w:r>
          </w:p>
        </w:tc>
      </w:tr>
      <w:tr w:rsidR="0043639A" w14:paraId="64E43395" w14:textId="77777777">
        <w:tc>
          <w:tcPr>
            <w:tcW w:w="0" w:type="auto"/>
          </w:tcPr>
          <w:p w14:paraId="33B09A06" w14:textId="77777777" w:rsidR="0043639A" w:rsidRDefault="00000000">
            <w:pPr>
              <w:pStyle w:val="Compact"/>
            </w:pPr>
            <w:r>
              <w:t xml:space="preserve">Distributive distortion </w:t>
            </w:r>
            <m:oMath>
              <m:r>
                <w:rPr>
                  <w:rFonts w:ascii="Cambria Math" w:hAnsi="Cambria Math"/>
                </w:rPr>
                <m:t>ρ</m:t>
              </m:r>
            </m:oMath>
          </w:p>
        </w:tc>
        <w:tc>
          <w:tcPr>
            <w:tcW w:w="0" w:type="auto"/>
          </w:tcPr>
          <w:p w14:paraId="19119ADE" w14:textId="77777777" w:rsidR="0043639A" w:rsidRDefault="00000000">
            <w:pPr>
              <w:pStyle w:val="Compact"/>
            </w:pPr>
            <w:r>
              <w:t>lagged special liquidation (0.60); lagged corporate reorganization (0.40)</w:t>
            </w:r>
          </w:p>
        </w:tc>
        <w:tc>
          <w:tcPr>
            <w:tcW w:w="0" w:type="auto"/>
          </w:tcPr>
          <w:p w14:paraId="536F0373" w14:textId="77777777" w:rsidR="0043639A" w:rsidRDefault="00000000">
            <w:pPr>
              <w:pStyle w:val="Compact"/>
            </w:pPr>
            <w:r>
              <w:t>intended to proxy preferential or disorderly resolution</w:t>
            </w:r>
          </w:p>
        </w:tc>
      </w:tr>
      <w:tr w:rsidR="0043639A" w14:paraId="67BE8B14" w14:textId="77777777">
        <w:tc>
          <w:tcPr>
            <w:tcW w:w="0" w:type="auto"/>
          </w:tcPr>
          <w:p w14:paraId="219BCF0C" w14:textId="77777777" w:rsidR="0043639A" w:rsidRDefault="00000000">
            <w:pPr>
              <w:pStyle w:val="Compact"/>
            </w:pPr>
            <w:r>
              <w:t xml:space="preserve">Legal intensity </w:t>
            </w:r>
            <m:oMath>
              <m:r>
                <w:rPr>
                  <w:rFonts w:ascii="Cambria Math" w:hAnsi="Cambria Math"/>
                </w:rPr>
                <m:t>q</m:t>
              </m:r>
            </m:oMath>
          </w:p>
        </w:tc>
        <w:tc>
          <w:tcPr>
            <w:tcW w:w="0" w:type="auto"/>
          </w:tcPr>
          <w:p w14:paraId="7162B2C2" w14:textId="77777777" w:rsidR="0043639A" w:rsidRDefault="00000000">
            <w:pPr>
              <w:pStyle w:val="Compact"/>
            </w:pPr>
            <w:r>
              <w:t>post-2015 reform dummy (0.50); post-2019 judicial dummy (0.30); lending rate (0.20)</w:t>
            </w:r>
          </w:p>
        </w:tc>
        <w:tc>
          <w:tcPr>
            <w:tcW w:w="0" w:type="auto"/>
          </w:tcPr>
          <w:p w14:paraId="7270AD8A" w14:textId="77777777" w:rsidR="0043639A" w:rsidRDefault="00000000">
            <w:pPr>
              <w:pStyle w:val="Compact"/>
            </w:pPr>
            <w:r>
              <w:t>policy timing, treated as endogenous (Section 6)</w:t>
            </w:r>
          </w:p>
        </w:tc>
      </w:tr>
      <w:tr w:rsidR="0043639A" w14:paraId="6FCAC68F" w14:textId="77777777">
        <w:tc>
          <w:tcPr>
            <w:tcW w:w="0" w:type="auto"/>
          </w:tcPr>
          <w:p w14:paraId="13EA7987" w14:textId="77777777" w:rsidR="0043639A" w:rsidRDefault="00000000">
            <w:pPr>
              <w:pStyle w:val="Compact"/>
            </w:pPr>
            <w:r>
              <w:t xml:space="preserve">Restructuring surplus </w:t>
            </w:r>
            <m:oMath>
              <m:r>
                <w:rPr>
                  <w:rFonts w:ascii="Cambria Math" w:hAnsi="Cambria Math"/>
                </w:rPr>
                <m:t>S</m:t>
              </m:r>
            </m:oMath>
          </w:p>
        </w:tc>
        <w:tc>
          <w:tcPr>
            <w:tcW w:w="0" w:type="auto"/>
          </w:tcPr>
          <w:p w14:paraId="2544DBCE" w14:textId="77777777" w:rsidR="0043639A" w:rsidRDefault="00000000">
            <w:pPr>
              <w:pStyle w:val="Compact"/>
            </w:pPr>
            <w:r>
              <w:t>split intensity (0.50); favorable-macro index of equity prices, lending rate, and syndicated volume (0.50)</w:t>
            </w:r>
          </w:p>
        </w:tc>
        <w:tc>
          <w:tcPr>
            <w:tcW w:w="0" w:type="auto"/>
          </w:tcPr>
          <w:p w14:paraId="5DB1244F" w14:textId="77777777" w:rsidR="0043639A" w:rsidRDefault="00000000">
            <w:pPr>
              <w:pStyle w:val="Compact"/>
            </w:pPr>
            <w:r>
              <w:t>used as an observable analog of the going-concern opportunity</w:t>
            </w:r>
          </w:p>
        </w:tc>
      </w:tr>
      <w:tr w:rsidR="0043639A" w14:paraId="616F6A37" w14:textId="77777777">
        <w:tc>
          <w:tcPr>
            <w:tcW w:w="0" w:type="auto"/>
          </w:tcPr>
          <w:p w14:paraId="51305050" w14:textId="77777777" w:rsidR="0043639A" w:rsidRDefault="00000000">
            <w:pPr>
              <w:pStyle w:val="Compact"/>
            </w:pPr>
            <w:r>
              <w:t xml:space="preserve">Transparency </w:t>
            </w:r>
            <m:oMath>
              <m:r>
                <w:rPr>
                  <w:rFonts w:ascii="Cambria Math" w:hAnsi="Cambria Math"/>
                </w:rPr>
                <m:t>t</m:t>
              </m:r>
            </m:oMath>
          </w:p>
        </w:tc>
        <w:tc>
          <w:tcPr>
            <w:tcW w:w="0" w:type="auto"/>
          </w:tcPr>
          <w:p w14:paraId="4585EA59" w14:textId="77777777" w:rsidR="0043639A" w:rsidRDefault="00000000">
            <w:pPr>
              <w:pStyle w:val="Compact"/>
            </w:pPr>
            <w:r>
              <w:t>reform and judicial dummies; registration and incorporation volume</w:t>
            </w:r>
          </w:p>
        </w:tc>
        <w:tc>
          <w:tcPr>
            <w:tcW w:w="0" w:type="auto"/>
          </w:tcPr>
          <w:p w14:paraId="3D7C37A4" w14:textId="77777777" w:rsidR="0043639A" w:rsidRDefault="00000000">
            <w:pPr>
              <w:pStyle w:val="Compact"/>
            </w:pPr>
            <w:r>
              <w:t>institutional disclosure environment</w:t>
            </w:r>
          </w:p>
        </w:tc>
      </w:tr>
      <w:tr w:rsidR="0043639A" w14:paraId="693FCBE8" w14:textId="77777777">
        <w:tc>
          <w:tcPr>
            <w:tcW w:w="0" w:type="auto"/>
          </w:tcPr>
          <w:p w14:paraId="0A4A9F71" w14:textId="77777777" w:rsidR="0043639A" w:rsidRDefault="00000000">
            <w:pPr>
              <w:pStyle w:val="Compact"/>
            </w:pPr>
            <w:r>
              <w:t xml:space="preserve">Fairness </w:t>
            </w:r>
            <m:oMath>
              <m:r>
                <w:rPr>
                  <w:rFonts w:ascii="Cambria Math" w:hAnsi="Cambria Math"/>
                </w:rPr>
                <m:t>f</m:t>
              </m:r>
            </m:oMath>
          </w:p>
        </w:tc>
        <w:tc>
          <w:tcPr>
            <w:tcW w:w="0" w:type="auto"/>
          </w:tcPr>
          <w:p w14:paraId="6BD37542" w14:textId="77777777" w:rsidR="0043639A" w:rsidRDefault="00000000">
            <w:pPr>
              <w:pStyle w:val="Compact"/>
            </w:pPr>
            <w:r>
              <w:t>completion-of-liquidation ratio (0.60); merger-dissolution rate (0.40)</w:t>
            </w:r>
          </w:p>
        </w:tc>
        <w:tc>
          <w:tcPr>
            <w:tcW w:w="0" w:type="auto"/>
          </w:tcPr>
          <w:p w14:paraId="2A46628F" w14:textId="77777777" w:rsidR="0043639A" w:rsidRDefault="00000000">
            <w:pPr>
              <w:pStyle w:val="Compact"/>
            </w:pPr>
            <w:r>
              <w:t xml:space="preserve">built to be near-orthogonal to </w:t>
            </w:r>
            <m:oMath>
              <m:r>
                <w:rPr>
                  <w:rFonts w:ascii="Cambria Math" w:hAnsi="Cambria Math"/>
                </w:rPr>
                <m:t>δ</m:t>
              </m:r>
            </m:oMath>
            <w:r>
              <w:t xml:space="preserve"> and </w:t>
            </w:r>
            <m:oMath>
              <m:r>
                <w:rPr>
                  <w:rFonts w:ascii="Cambria Math" w:hAnsi="Cambria Math"/>
                </w:rPr>
                <m:t>μ</m:t>
              </m:r>
            </m:oMath>
            <w:r>
              <w:t>; may also reflect court capacity and the macro cycle rather than fairness per se</w:t>
            </w:r>
          </w:p>
        </w:tc>
      </w:tr>
      <w:tr w:rsidR="0043639A" w14:paraId="401E42DE" w14:textId="77777777" w:rsidTr="0043639A">
        <w:tc>
          <w:tcPr>
            <w:tcW w:w="0" w:type="auto"/>
            <w:tcBorders>
              <w:bottom w:val="single" w:sz="8" w:space="0" w:color="auto"/>
            </w:tcBorders>
          </w:tcPr>
          <w:p w14:paraId="4F7E79D1" w14:textId="77777777" w:rsidR="0043639A" w:rsidRDefault="00000000">
            <w:pPr>
              <w:pStyle w:val="Compact"/>
            </w:pPr>
            <w:r>
              <w:t xml:space="preserve">Residual repayment capacity </w:t>
            </w:r>
            <m:oMath>
              <m:r>
                <w:rPr>
                  <w:rFonts w:ascii="Cambria Math" w:hAnsi="Cambria Math"/>
                </w:rPr>
                <m:t>κ</m:t>
              </m:r>
            </m:oMath>
          </w:p>
        </w:tc>
        <w:tc>
          <w:tcPr>
            <w:tcW w:w="0" w:type="auto"/>
            <w:tcBorders>
              <w:bottom w:val="single" w:sz="8" w:space="0" w:color="auto"/>
            </w:tcBorders>
          </w:tcPr>
          <w:p w14:paraId="42142E67" w14:textId="77777777" w:rsidR="0043639A" w:rsidRDefault="00000000">
            <w:pPr>
              <w:pStyle w:val="Compact"/>
            </w:pPr>
            <w:r>
              <w:t>inverse distress-on-split rate (0.40); completion-on-split rate (0.30); surplus proxy (0.30)</w:t>
            </w:r>
          </w:p>
        </w:tc>
        <w:tc>
          <w:tcPr>
            <w:tcW w:w="0" w:type="auto"/>
            <w:tcBorders>
              <w:bottom w:val="single" w:sz="8" w:space="0" w:color="auto"/>
            </w:tcBorders>
          </w:tcPr>
          <w:p w14:paraId="1B44F957" w14:textId="77777777" w:rsidR="0043639A" w:rsidRDefault="00000000">
            <w:pPr>
              <w:pStyle w:val="Compact"/>
            </w:pPr>
            <w:r>
              <w:t>intended to proxy the residual firm’s ability to service obligations</w:t>
            </w:r>
          </w:p>
        </w:tc>
      </w:tr>
    </w:tbl>
    <w:p w14:paraId="63F80454" w14:textId="77777777" w:rsidR="0043639A" w:rsidRDefault="00000000">
      <w:pPr>
        <w:pStyle w:val="a0"/>
      </w:pPr>
      <w:r>
        <w:lastRenderedPageBreak/>
        <w:t>Two caveats follow. First, several proxies are necessarily indirect: aggregate series cannot observe transaction-level asset-transfer ratios or related-party terms, so the constructs are identified only up to the monthly average. Second, the fairness proxy warrants particular caution—completion-of-liquidation and merger-dissolution rates plausibly reflect court processing capacity and the macroeconomic cycle as well as the fairness of division terms; it is included because it is the least leakage-correlated available series, not because it cleanly measures fairness. These limitations are precisely why a reliable case-by-case separation rule cannot be built from the present data, and they motivate the move to transaction-level evidence discussed in Section 6.</w:t>
      </w:r>
    </w:p>
    <w:p w14:paraId="3CCB07DF" w14:textId="77777777" w:rsidR="0043639A" w:rsidRDefault="00000000">
      <w:pPr>
        <w:pStyle w:val="a0"/>
      </w:pPr>
      <w:r>
        <w:rPr>
          <w:b/>
          <w:bCs/>
        </w:rPr>
        <w:t>Weight-sensitivity.</w:t>
      </w:r>
      <w:r>
        <w:t xml:space="preserve"> Because the construct weights are set by judgment rather than estimated, their influence is tested directly. Each weight is perturbed by independent multiplicative noise (lognormal, sign-preserving, renormalized within each construct), the latent proxies are rebuilt, and the population is re-simulated under a fixed simulation seed so that only the weights vary. Under ±25 percent perturbations (100 draws) the overall simulated abuse rate stays within 25.6–26.0 percent, and the sign and monotonicity of every success gradient—rising in restructuring surplus and in residual repayment capacity, falling in value leakage—are preserved in all draws, as is the non-abusive success advantage. A more aggressive ±40 percent stress test leaves the abuse rate within 25.5–26.1 percent and the four gradient sign conditions intact in all draws (strict monotonicity of the leakage gradient holds in 96 percent). An equal-weights alternative that gives every observable within a construct the same weight reproduces the baseline almost exactly (abuse 25.9 percent; surplus, repayment-capacity, and leakage gradients of about +0.24, +0.24, and −0.18). Because each proxy is a standardized linear combination of standardized series, reweighting mainly rotates the composite slightly rather than relocating it, so the qualitative conclusions are not artifacts of the specific weights. Weight-insensitivity is not the same as construct validity, however: a proxy can be stable under reweighting and still track the macroeconomic cycle rather than its target construct (as flagged for fairness above), which is why the transaction-level data discussed in Section 6 remain necessary.</w:t>
      </w:r>
    </w:p>
    <w:p w14:paraId="53F9CB6E" w14:textId="77777777" w:rsidR="0043639A" w:rsidRDefault="00000000">
      <w:pPr>
        <w:pStyle w:val="2"/>
      </w:pPr>
      <w:bookmarkStart w:id="4" w:name="X5b2cb380c61d4be279c3ea97bdc118e44030205"/>
      <w:bookmarkEnd w:id="3"/>
      <w:r>
        <w:t>Online Appendix D. Reduced-form Robustness: Alternative Outcomes and Trend Forms</w:t>
      </w:r>
    </w:p>
    <w:p w14:paraId="30FE1780" w14:textId="77777777" w:rsidR="0043639A" w:rsidRDefault="00000000">
      <w:pPr>
        <w:pStyle w:val="FirstParagraph"/>
      </w:pPr>
      <w:r>
        <w:t>This appendix reports the robustness of the Section 4.2 count model to the choice of outcome and to the form of the secular trend. Continuous regressors are standardized; the specification is the robust two-step negative binomial of Section 4.2 (</w:t>
      </w:r>
      <m:oMath>
        <m:r>
          <w:rPr>
            <w:rFonts w:ascii="Cambria Math" w:hAnsi="Cambria Math"/>
          </w:rPr>
          <m:t>n</m:t>
        </m:r>
        <m:r>
          <m:rPr>
            <m:sty m:val="p"/>
          </m:rPr>
          <w:rPr>
            <w:rFonts w:ascii="Cambria Math" w:hAnsi="Cambria Math"/>
          </w:rPr>
          <m:t>=</m:t>
        </m:r>
        <m:r>
          <w:rPr>
            <w:rFonts w:ascii="Cambria Math" w:hAnsi="Cambria Math"/>
          </w:rPr>
          <m:t>203</m:t>
        </m:r>
      </m:oMath>
      <w:r>
        <w:t>).</w:t>
      </w:r>
    </w:p>
    <w:p w14:paraId="1ED8497E" w14:textId="77777777" w:rsidR="0043639A" w:rsidRDefault="00000000">
      <w:pPr>
        <w:pStyle w:val="a0"/>
      </w:pPr>
      <w:r>
        <w:rPr>
          <w:b/>
          <w:bCs/>
        </w:rPr>
        <w:t>D.1 Alternative outcomes.</w:t>
      </w:r>
      <w:r>
        <w:t xml:space="preserve"> Re-estimating with bankruptcy or civil rehabilitation, or with the two combined, as the next-month outcome shows that the positive reform and judicial associations appear only for special liquidation; for the other outcomes the legal markers are indistinguishable from one, and (dropping the overlapping distress regressor) the post-2015 marker turns mildly negative. The Section 4.2 result is thus specific to the formal-resolution channel captured by special liquidation rather than to distress at large.</w:t>
      </w:r>
    </w:p>
    <w:tbl>
      <w:tblPr>
        <w:tblStyle w:val="Table"/>
        <w:tblW w:w="5000" w:type="pct"/>
        <w:tblLook w:val="0020" w:firstRow="1" w:lastRow="0" w:firstColumn="0" w:lastColumn="0" w:noHBand="0" w:noVBand="0"/>
      </w:tblPr>
      <w:tblGrid>
        <w:gridCol w:w="2855"/>
        <w:gridCol w:w="2966"/>
        <w:gridCol w:w="3017"/>
      </w:tblGrid>
      <w:tr w:rsidR="0043639A" w14:paraId="2E932B6D" w14:textId="77777777" w:rsidTr="0043639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auto"/>
              <w:bottom w:val="single" w:sz="8" w:space="0" w:color="auto"/>
            </w:tcBorders>
          </w:tcPr>
          <w:p w14:paraId="6A881EE4" w14:textId="77777777" w:rsidR="0043639A" w:rsidRDefault="00000000">
            <w:pPr>
              <w:pStyle w:val="Compact"/>
            </w:pPr>
            <w:r>
              <w:lastRenderedPageBreak/>
              <w:t>Outcome (next month)</w:t>
            </w:r>
          </w:p>
        </w:tc>
        <w:tc>
          <w:tcPr>
            <w:tcW w:w="0" w:type="auto"/>
            <w:tcBorders>
              <w:top w:val="single" w:sz="8" w:space="0" w:color="auto"/>
              <w:bottom w:val="single" w:sz="8" w:space="0" w:color="auto"/>
            </w:tcBorders>
          </w:tcPr>
          <w:p w14:paraId="031612E8" w14:textId="77777777" w:rsidR="0043639A" w:rsidRDefault="00000000">
            <w:pPr>
              <w:pStyle w:val="Compact"/>
            </w:pPr>
            <w:r>
              <w:t>post-2015 reform IRR (95% CI, p)</w:t>
            </w:r>
          </w:p>
        </w:tc>
        <w:tc>
          <w:tcPr>
            <w:tcW w:w="0" w:type="auto"/>
            <w:tcBorders>
              <w:top w:val="single" w:sz="8" w:space="0" w:color="auto"/>
              <w:bottom w:val="single" w:sz="8" w:space="0" w:color="auto"/>
            </w:tcBorders>
          </w:tcPr>
          <w:p w14:paraId="00E00E59" w14:textId="77777777" w:rsidR="0043639A" w:rsidRDefault="00000000">
            <w:pPr>
              <w:pStyle w:val="Compact"/>
            </w:pPr>
            <w:r>
              <w:t>post-2019 judicial IRR (95% CI, p)</w:t>
            </w:r>
          </w:p>
        </w:tc>
      </w:tr>
      <w:tr w:rsidR="0043639A" w14:paraId="7D683D1D" w14:textId="77777777">
        <w:tc>
          <w:tcPr>
            <w:tcW w:w="0" w:type="auto"/>
          </w:tcPr>
          <w:p w14:paraId="5EF5BCD2" w14:textId="77777777" w:rsidR="0043639A" w:rsidRDefault="00000000">
            <w:pPr>
              <w:pStyle w:val="Compact"/>
            </w:pPr>
            <w:r>
              <w:t>Special liquidation</w:t>
            </w:r>
          </w:p>
        </w:tc>
        <w:tc>
          <w:tcPr>
            <w:tcW w:w="0" w:type="auto"/>
          </w:tcPr>
          <w:p w14:paraId="1459B53F" w14:textId="77777777" w:rsidR="0043639A" w:rsidRDefault="00000000">
            <w:pPr>
              <w:pStyle w:val="Compact"/>
            </w:pPr>
            <w:r>
              <w:t>1.12 (0.99–1.28, .08)</w:t>
            </w:r>
          </w:p>
        </w:tc>
        <w:tc>
          <w:tcPr>
            <w:tcW w:w="0" w:type="auto"/>
          </w:tcPr>
          <w:p w14:paraId="508AF1BA" w14:textId="77777777" w:rsidR="0043639A" w:rsidRDefault="00000000">
            <w:pPr>
              <w:pStyle w:val="Compact"/>
            </w:pPr>
            <w:r>
              <w:t>1.14 (1.01–1.29, .03)</w:t>
            </w:r>
          </w:p>
        </w:tc>
      </w:tr>
      <w:tr w:rsidR="0043639A" w14:paraId="770E8B98" w14:textId="77777777">
        <w:tc>
          <w:tcPr>
            <w:tcW w:w="0" w:type="auto"/>
          </w:tcPr>
          <w:p w14:paraId="22FD8BDB" w14:textId="77777777" w:rsidR="0043639A" w:rsidRDefault="00000000">
            <w:pPr>
              <w:pStyle w:val="Compact"/>
            </w:pPr>
            <w:r>
              <w:t>Bankruptcy / civil rehabilitation</w:t>
            </w:r>
          </w:p>
        </w:tc>
        <w:tc>
          <w:tcPr>
            <w:tcW w:w="0" w:type="auto"/>
          </w:tcPr>
          <w:p w14:paraId="73EB1005" w14:textId="77777777" w:rsidR="0043639A" w:rsidRDefault="00000000">
            <w:pPr>
              <w:pStyle w:val="Compact"/>
            </w:pPr>
            <w:r>
              <w:t>0.96 (0.88–1.04, .28)</w:t>
            </w:r>
          </w:p>
        </w:tc>
        <w:tc>
          <w:tcPr>
            <w:tcW w:w="0" w:type="auto"/>
          </w:tcPr>
          <w:p w14:paraId="1BD28A40" w14:textId="77777777" w:rsidR="0043639A" w:rsidRDefault="00000000">
            <w:pPr>
              <w:pStyle w:val="Compact"/>
            </w:pPr>
            <w:r>
              <w:t>1.03 (0.95–1.11, .47)</w:t>
            </w:r>
          </w:p>
        </w:tc>
      </w:tr>
      <w:tr w:rsidR="0043639A" w14:paraId="0C81585C" w14:textId="77777777" w:rsidTr="0043639A">
        <w:tc>
          <w:tcPr>
            <w:tcW w:w="0" w:type="auto"/>
            <w:tcBorders>
              <w:bottom w:val="single" w:sz="8" w:space="0" w:color="auto"/>
            </w:tcBorders>
          </w:tcPr>
          <w:p w14:paraId="040E37F7" w14:textId="77777777" w:rsidR="0043639A" w:rsidRDefault="00000000">
            <w:pPr>
              <w:pStyle w:val="Compact"/>
            </w:pPr>
            <w:r>
              <w:t>Combined (SL + bankruptcy)</w:t>
            </w:r>
          </w:p>
        </w:tc>
        <w:tc>
          <w:tcPr>
            <w:tcW w:w="0" w:type="auto"/>
            <w:tcBorders>
              <w:bottom w:val="single" w:sz="8" w:space="0" w:color="auto"/>
            </w:tcBorders>
          </w:tcPr>
          <w:p w14:paraId="3085A804" w14:textId="77777777" w:rsidR="0043639A" w:rsidRDefault="00000000">
            <w:pPr>
              <w:pStyle w:val="Compact"/>
            </w:pPr>
            <w:r>
              <w:t>0.96 (0.89–1.04, .33)</w:t>
            </w:r>
          </w:p>
        </w:tc>
        <w:tc>
          <w:tcPr>
            <w:tcW w:w="0" w:type="auto"/>
            <w:tcBorders>
              <w:bottom w:val="single" w:sz="8" w:space="0" w:color="auto"/>
            </w:tcBorders>
          </w:tcPr>
          <w:p w14:paraId="128B7E84" w14:textId="77777777" w:rsidR="0043639A" w:rsidRDefault="00000000">
            <w:pPr>
              <w:pStyle w:val="Compact"/>
            </w:pPr>
            <w:r>
              <w:t>1.03 (0.96–1.11, .39)</w:t>
            </w:r>
          </w:p>
        </w:tc>
      </w:tr>
    </w:tbl>
    <w:p w14:paraId="5927830F" w14:textId="77777777" w:rsidR="0043639A" w:rsidRDefault="00000000">
      <w:pPr>
        <w:pStyle w:val="a0"/>
      </w:pPr>
      <w:r>
        <w:rPr>
          <w:i/>
          <w:iCs/>
        </w:rPr>
        <w:t>Note:</w:t>
      </w:r>
      <w:r>
        <w:t xml:space="preserve"> </w:t>
      </w:r>
      <m:oMath>
        <m:r>
          <w:rPr>
            <w:rFonts w:ascii="Cambria Math" w:hAnsi="Cambria Math"/>
          </w:rPr>
          <m:t>n</m:t>
        </m:r>
        <m:r>
          <m:rPr>
            <m:sty m:val="p"/>
          </m:rPr>
          <w:rPr>
            <w:rFonts w:ascii="Cambria Math" w:hAnsi="Cambria Math"/>
          </w:rPr>
          <m:t>=</m:t>
        </m:r>
        <m:r>
          <w:rPr>
            <w:rFonts w:ascii="Cambria Math" w:hAnsi="Cambria Math"/>
          </w:rPr>
          <m:t>203</m:t>
        </m:r>
      </m:oMath>
      <w:r>
        <w:t>. Dropping the overlapping distress regressor leaves the judicial markers unchanged but turns the post-2015 coefficient for the bankruptcy and combined outcomes mildly negative (about 0.90, 95% CI 0.83–0.97).</w:t>
      </w:r>
    </w:p>
    <w:p w14:paraId="5BDBB4C8" w14:textId="77777777" w:rsidR="0043639A" w:rsidRDefault="00000000">
      <w:pPr>
        <w:pStyle w:val="a0"/>
      </w:pPr>
      <w:r>
        <w:rPr>
          <w:b/>
          <w:bCs/>
        </w:rPr>
        <w:t>D.2 Trend form.</w:t>
      </w:r>
      <w:r>
        <w:t xml:space="preserve"> Re-estimating the special-liquidation model with the time trend entered linearly, quadratically, and as a natural cubic spline (four degrees of freedom) shows that the post-2019 association is statistically clear only under a linear trend; it weakens under a quadratic trend and vanishes under the spline, and a joint Wald test of the two legal markers is significant only under the linear trend. A Bonferroni adjustment for the two markers already renders the linear-trend judicial </w:t>
      </w:r>
      <m:oMath>
        <m:r>
          <w:rPr>
            <w:rFonts w:ascii="Cambria Math" w:hAnsi="Cambria Math"/>
          </w:rPr>
          <m:t>p</m:t>
        </m:r>
      </m:oMath>
      <w:r>
        <w:t>-value marginal (</w:t>
      </w:r>
      <m:oMath>
        <m:r>
          <m:rPr>
            <m:sty m:val="p"/>
          </m:rPr>
          <w:rPr>
            <w:rFonts w:ascii="Cambria Math" w:hAnsi="Cambria Math"/>
          </w:rPr>
          <m:t>≈</m:t>
        </m:r>
        <m:r>
          <w:rPr>
            <w:rFonts w:ascii="Cambria Math" w:hAnsi="Cambria Math"/>
          </w:rPr>
          <m:t>.06</m:t>
        </m:r>
      </m:oMath>
      <w:r>
        <w:t>).</w:t>
      </w:r>
    </w:p>
    <w:tbl>
      <w:tblPr>
        <w:tblStyle w:val="Table"/>
        <w:tblW w:w="5000" w:type="pct"/>
        <w:tblLook w:val="0020" w:firstRow="1" w:lastRow="0" w:firstColumn="0" w:lastColumn="0" w:noHBand="0" w:noVBand="0"/>
      </w:tblPr>
      <w:tblGrid>
        <w:gridCol w:w="2127"/>
        <w:gridCol w:w="2615"/>
        <w:gridCol w:w="2682"/>
        <w:gridCol w:w="1414"/>
      </w:tblGrid>
      <w:tr w:rsidR="0043639A" w14:paraId="51782FE6" w14:textId="77777777" w:rsidTr="0043639A">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auto"/>
              <w:bottom w:val="single" w:sz="8" w:space="0" w:color="auto"/>
            </w:tcBorders>
          </w:tcPr>
          <w:p w14:paraId="16B350CC" w14:textId="77777777" w:rsidR="0043639A" w:rsidRDefault="00000000">
            <w:pPr>
              <w:pStyle w:val="Compact"/>
            </w:pPr>
            <w:r>
              <w:t>Time trend</w:t>
            </w:r>
          </w:p>
        </w:tc>
        <w:tc>
          <w:tcPr>
            <w:tcW w:w="0" w:type="auto"/>
            <w:tcBorders>
              <w:top w:val="single" w:sz="8" w:space="0" w:color="auto"/>
              <w:bottom w:val="single" w:sz="8" w:space="0" w:color="auto"/>
            </w:tcBorders>
          </w:tcPr>
          <w:p w14:paraId="782F6A69" w14:textId="77777777" w:rsidR="0043639A" w:rsidRDefault="00000000">
            <w:pPr>
              <w:pStyle w:val="Compact"/>
            </w:pPr>
            <w:r>
              <w:t>post-2015 reform IRR (p)</w:t>
            </w:r>
          </w:p>
        </w:tc>
        <w:tc>
          <w:tcPr>
            <w:tcW w:w="0" w:type="auto"/>
            <w:tcBorders>
              <w:top w:val="single" w:sz="8" w:space="0" w:color="auto"/>
              <w:bottom w:val="single" w:sz="8" w:space="0" w:color="auto"/>
            </w:tcBorders>
          </w:tcPr>
          <w:p w14:paraId="4E124936" w14:textId="77777777" w:rsidR="0043639A" w:rsidRDefault="00000000">
            <w:pPr>
              <w:pStyle w:val="Compact"/>
            </w:pPr>
            <w:r>
              <w:t>post-2019 judicial IRR (p)</w:t>
            </w:r>
          </w:p>
        </w:tc>
        <w:tc>
          <w:tcPr>
            <w:tcW w:w="0" w:type="auto"/>
            <w:tcBorders>
              <w:top w:val="single" w:sz="8" w:space="0" w:color="auto"/>
              <w:bottom w:val="single" w:sz="8" w:space="0" w:color="auto"/>
            </w:tcBorders>
          </w:tcPr>
          <w:p w14:paraId="2E8F7B41" w14:textId="77777777" w:rsidR="0043639A" w:rsidRDefault="00000000">
            <w:pPr>
              <w:pStyle w:val="Compact"/>
            </w:pPr>
            <w:r>
              <w:t>Joint Wald p</w:t>
            </w:r>
          </w:p>
        </w:tc>
      </w:tr>
      <w:tr w:rsidR="0043639A" w14:paraId="540DB38E" w14:textId="77777777">
        <w:tc>
          <w:tcPr>
            <w:tcW w:w="0" w:type="auto"/>
          </w:tcPr>
          <w:p w14:paraId="0AD268BE" w14:textId="77777777" w:rsidR="0043639A" w:rsidRDefault="00000000">
            <w:pPr>
              <w:pStyle w:val="Compact"/>
            </w:pPr>
            <w:r>
              <w:t>Linear</w:t>
            </w:r>
          </w:p>
        </w:tc>
        <w:tc>
          <w:tcPr>
            <w:tcW w:w="0" w:type="auto"/>
          </w:tcPr>
          <w:p w14:paraId="450900DD" w14:textId="77777777" w:rsidR="0043639A" w:rsidRDefault="00000000">
            <w:pPr>
              <w:pStyle w:val="Compact"/>
            </w:pPr>
            <w:r>
              <w:t>1.12 (.08)</w:t>
            </w:r>
          </w:p>
        </w:tc>
        <w:tc>
          <w:tcPr>
            <w:tcW w:w="0" w:type="auto"/>
          </w:tcPr>
          <w:p w14:paraId="0572EED6" w14:textId="77777777" w:rsidR="0043639A" w:rsidRDefault="00000000">
            <w:pPr>
              <w:pStyle w:val="Compact"/>
            </w:pPr>
            <w:r>
              <w:t>1.14 (.03)</w:t>
            </w:r>
          </w:p>
        </w:tc>
        <w:tc>
          <w:tcPr>
            <w:tcW w:w="0" w:type="auto"/>
          </w:tcPr>
          <w:p w14:paraId="25414556" w14:textId="77777777" w:rsidR="0043639A" w:rsidRDefault="00000000">
            <w:pPr>
              <w:pStyle w:val="Compact"/>
            </w:pPr>
            <w:r>
              <w:t>.04</w:t>
            </w:r>
          </w:p>
        </w:tc>
      </w:tr>
      <w:tr w:rsidR="0043639A" w14:paraId="1B58A592" w14:textId="77777777">
        <w:tc>
          <w:tcPr>
            <w:tcW w:w="0" w:type="auto"/>
          </w:tcPr>
          <w:p w14:paraId="2CAE3B15" w14:textId="77777777" w:rsidR="0043639A" w:rsidRDefault="00000000">
            <w:pPr>
              <w:pStyle w:val="Compact"/>
            </w:pPr>
            <w:r>
              <w:t>Quadratic</w:t>
            </w:r>
          </w:p>
        </w:tc>
        <w:tc>
          <w:tcPr>
            <w:tcW w:w="0" w:type="auto"/>
          </w:tcPr>
          <w:p w14:paraId="331D6F12" w14:textId="77777777" w:rsidR="0043639A" w:rsidRDefault="00000000">
            <w:pPr>
              <w:pStyle w:val="Compact"/>
            </w:pPr>
            <w:r>
              <w:t>1.13 (.07)</w:t>
            </w:r>
          </w:p>
        </w:tc>
        <w:tc>
          <w:tcPr>
            <w:tcW w:w="0" w:type="auto"/>
          </w:tcPr>
          <w:p w14:paraId="0B3AC23C" w14:textId="77777777" w:rsidR="0043639A" w:rsidRDefault="00000000">
            <w:pPr>
              <w:pStyle w:val="Compact"/>
            </w:pPr>
            <w:r>
              <w:t>1.07 (.33)</w:t>
            </w:r>
          </w:p>
        </w:tc>
        <w:tc>
          <w:tcPr>
            <w:tcW w:w="0" w:type="auto"/>
          </w:tcPr>
          <w:p w14:paraId="683A3037" w14:textId="77777777" w:rsidR="0043639A" w:rsidRDefault="00000000">
            <w:pPr>
              <w:pStyle w:val="Compact"/>
            </w:pPr>
            <w:r>
              <w:t>.14</w:t>
            </w:r>
          </w:p>
        </w:tc>
      </w:tr>
      <w:tr w:rsidR="0043639A" w14:paraId="1B61AC47" w14:textId="77777777" w:rsidTr="0043639A">
        <w:tc>
          <w:tcPr>
            <w:tcW w:w="0" w:type="auto"/>
            <w:tcBorders>
              <w:bottom w:val="single" w:sz="8" w:space="0" w:color="auto"/>
            </w:tcBorders>
          </w:tcPr>
          <w:p w14:paraId="32D4819F" w14:textId="77777777" w:rsidR="0043639A" w:rsidRDefault="00000000">
            <w:pPr>
              <w:pStyle w:val="Compact"/>
            </w:pPr>
            <w:r>
              <w:t>Natural spline (df 4)</w:t>
            </w:r>
          </w:p>
        </w:tc>
        <w:tc>
          <w:tcPr>
            <w:tcW w:w="0" w:type="auto"/>
            <w:tcBorders>
              <w:bottom w:val="single" w:sz="8" w:space="0" w:color="auto"/>
            </w:tcBorders>
          </w:tcPr>
          <w:p w14:paraId="1D7D715A" w14:textId="77777777" w:rsidR="0043639A" w:rsidRDefault="00000000">
            <w:pPr>
              <w:pStyle w:val="Compact"/>
            </w:pPr>
            <w:r>
              <w:t>1.00 (.97)</w:t>
            </w:r>
          </w:p>
        </w:tc>
        <w:tc>
          <w:tcPr>
            <w:tcW w:w="0" w:type="auto"/>
            <w:tcBorders>
              <w:bottom w:val="single" w:sz="8" w:space="0" w:color="auto"/>
            </w:tcBorders>
          </w:tcPr>
          <w:p w14:paraId="70725333" w14:textId="77777777" w:rsidR="0043639A" w:rsidRDefault="00000000">
            <w:pPr>
              <w:pStyle w:val="Compact"/>
            </w:pPr>
            <w:r>
              <w:t>0.95 (.58)</w:t>
            </w:r>
          </w:p>
        </w:tc>
        <w:tc>
          <w:tcPr>
            <w:tcW w:w="0" w:type="auto"/>
            <w:tcBorders>
              <w:bottom w:val="single" w:sz="8" w:space="0" w:color="auto"/>
            </w:tcBorders>
          </w:tcPr>
          <w:p w14:paraId="6CEEACA2" w14:textId="77777777" w:rsidR="0043639A" w:rsidRDefault="00000000">
            <w:pPr>
              <w:pStyle w:val="Compact"/>
            </w:pPr>
            <w:r>
              <w:t>.83</w:t>
            </w:r>
          </w:p>
        </w:tc>
      </w:tr>
    </w:tbl>
    <w:p w14:paraId="0D1AE927" w14:textId="77777777" w:rsidR="0043639A" w:rsidRDefault="00000000">
      <w:pPr>
        <w:pStyle w:val="a0"/>
      </w:pPr>
      <w:r>
        <w:t xml:space="preserve">Together, D.1 and D.2 show that the single statistically clear reduced-form association is both outcome-specific and trend-form-dependent, which is why Sections 4.2 and 5.2 treat the reduced-form evidence as suggestive rather than as an identified causal effect. Two further cautions apply. A flexible trend can also absorb a genuine step effect, so the spline exercise is conservative toward the null: it demonstrates that this design cannot identify the effect, not that the effect is zero. And because three outcomes and three trend forms were examined, the nominal </w:t>
      </w:r>
      <m:oMath>
        <m:r>
          <w:rPr>
            <w:rFonts w:ascii="Cambria Math" w:hAnsi="Cambria Math"/>
          </w:rPr>
          <m:t>p</m:t>
        </m:r>
      </m:oMath>
      <w:r>
        <w:t>-values should be discounted further.</w:t>
      </w:r>
      <w:bookmarkEnd w:id="0"/>
      <w:bookmarkEnd w:id="4"/>
    </w:p>
    <w:sectPr w:rsidR="0043639A">
      <w:footerReference w:type="default" r:id="rId7"/>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894E" w14:textId="77777777" w:rsidR="00345166" w:rsidRDefault="00345166">
      <w:pPr>
        <w:spacing w:after="0"/>
      </w:pPr>
      <w:r>
        <w:separator/>
      </w:r>
    </w:p>
  </w:endnote>
  <w:endnote w:type="continuationSeparator" w:id="0">
    <w:p w14:paraId="2A9E1D8D" w14:textId="77777777" w:rsidR="00345166" w:rsidRDefault="003451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0DEF" w14:textId="77777777" w:rsidR="0043639A" w:rsidRDefault="00000000">
    <w:pPr>
      <w:jc w:val="center"/>
    </w:pPr>
    <w:r>
      <w:fldChar w:fldCharType="begin"/>
    </w:r>
    <w:r>
      <w:instrText xml:space="preserve"> PAGE </w:instrText>
    </w:r>
    <w:r w:rsidR="00255727">
      <w:fldChar w:fldCharType="separate"/>
    </w:r>
    <w:r w:rsidR="0025572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A912" w14:textId="77777777" w:rsidR="00345166" w:rsidRDefault="00345166">
      <w:r>
        <w:separator/>
      </w:r>
    </w:p>
  </w:footnote>
  <w:footnote w:type="continuationSeparator" w:id="0">
    <w:p w14:paraId="79741FF2" w14:textId="77777777" w:rsidR="00345166" w:rsidRDefault="00345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AA8E1E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658577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9A"/>
    <w:rsid w:val="001F7277"/>
    <w:rsid w:val="00255727"/>
    <w:rsid w:val="00345166"/>
    <w:rsid w:val="0043639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737F8B"/>
  <w15:docId w15:val="{38AA2768-D035-43FD-93FA-17A05B4D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imes New Roman" w:eastAsia="Times New Roman" w:hAnsi="Times New Roman" w:cs="Times New Roman"/>
      <w:color w:val="000000"/>
    </w:r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sz w:val="28"/>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sz w:val="26"/>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i/>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b/>
      <w:iCs/>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b/>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sz w:val="28"/>
      <w:szCs w:val="36"/>
    </w:rPr>
  </w:style>
  <w:style w:type="paragraph" w:styleId="a5">
    <w:name w:val="Subtitle"/>
    <w:basedOn w:val="a4"/>
    <w:next w:val="a0"/>
    <w:qFormat/>
    <w:pPr>
      <w:spacing w:before="240"/>
    </w:pPr>
    <w:rPr>
      <w:rFonts w:ascii="Times New Roman" w:eastAsia="Times New Roman" w:hAnsi="Times New Roman" w:cs="Times New Roman"/>
      <w:sz w:val="24"/>
      <w:szCs w:val="30"/>
    </w:rPr>
  </w:style>
  <w:style w:type="paragraph" w:customStyle="1" w:styleId="Author">
    <w:name w:val="Author"/>
    <w:next w:val="a0"/>
    <w:qFormat/>
    <w:pPr>
      <w:keepNext/>
      <w:keepLines/>
      <w:jc w:val="center"/>
    </w:pPr>
    <w:rPr>
      <w:rFonts w:ascii="Times New Roman" w:eastAsia="Times New Roman" w:hAnsi="Times New Roman" w:cs="Times New Roman"/>
      <w:color w:val="000000"/>
    </w:rPr>
  </w:style>
  <w:style w:type="paragraph" w:styleId="a6">
    <w:name w:val="Date"/>
    <w:next w:val="a0"/>
    <w:qFormat/>
    <w:pPr>
      <w:keepNext/>
      <w:keepLines/>
      <w:jc w:val="center"/>
    </w:pPr>
    <w:rPr>
      <w:rFonts w:ascii="Times New Roman" w:eastAsia="Times New Roman" w:hAnsi="Times New Roman" w:cs="Times New Roman"/>
      <w:color w:val="000000"/>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rPr>
      <w:sz w:val="20"/>
    </w:rPr>
  </w:style>
  <w:style w:type="table" w:customStyle="1" w:styleId="Table">
    <w:name w:val="Table"/>
    <w:semiHidden/>
    <w:unhideWhenUsed/>
    <w:qFormat/>
    <w:rPr>
      <w:rFonts w:ascii="Times New Roman" w:eastAsia="Times New Roman" w:hAnsi="Times New Roman" w:cs="Times New Roman"/>
      <w:color w:val="000000"/>
      <w:sz w:val="20"/>
      <w:szCs w:val="20"/>
      <w:lang w:eastAsia="ja-JP"/>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図表番号 (文字)"/>
    <w:basedOn w:val="a1"/>
    <w:link w:val="aa"/>
    <w:rPr>
      <w:rFonts w:ascii="Times New Roman" w:eastAsia="Times New Roman" w:hAnsi="Times New Roman" w:cs="Times New Roman"/>
      <w:color w:val="000000"/>
    </w:rPr>
  </w:style>
  <w:style w:type="character" w:customStyle="1" w:styleId="VerbatimChar">
    <w:name w:val="Verbatim Char"/>
    <w:basedOn w:val="ab"/>
    <w:link w:val="SourceCode"/>
    <w:rPr>
      <w:rFonts w:ascii="Times New Roman" w:eastAsia="Times New Roman" w:hAnsi="Times New Roman" w:cs="Times New Roman"/>
      <w:color w:val="000000"/>
      <w:sz w:val="22"/>
    </w:rPr>
  </w:style>
  <w:style w:type="character" w:customStyle="1" w:styleId="SectionNumber">
    <w:name w:val="Section Number"/>
    <w:basedOn w:val="ab"/>
    <w:rPr>
      <w:rFonts w:ascii="Times New Roman" w:eastAsia="Times New Roman" w:hAnsi="Times New Roman" w:cs="Times New Roman"/>
      <w:color w:val="000000"/>
    </w:rPr>
  </w:style>
  <w:style w:type="character" w:styleId="ac">
    <w:name w:val="footnote reference"/>
    <w:basedOn w:val="ab"/>
    <w:rPr>
      <w:rFonts w:ascii="Times New Roman" w:eastAsia="Times New Roman" w:hAnsi="Times New Roman" w:cs="Times New Roman"/>
      <w:color w:val="000000"/>
      <w:vertAlign w:val="superscript"/>
    </w:rPr>
  </w:style>
  <w:style w:type="character" w:styleId="ad">
    <w:name w:val="Hyperlink"/>
    <w:basedOn w:val="ab"/>
    <w:rPr>
      <w:rFonts w:ascii="Times New Roman" w:eastAsia="Times New Roman" w:hAnsi="Times New Roman" w:cs="Times New Roman"/>
      <w:color w:val="000000"/>
      <w:u w:val="none"/>
    </w:rPr>
  </w:style>
  <w:style w:type="paragraph" w:styleId="ae">
    <w:name w:val="TOC Heading"/>
    <w:basedOn w:val="1"/>
    <w:next w:val="a0"/>
    <w:uiPriority w:val="39"/>
    <w:unhideWhenUsed/>
    <w:qFormat/>
    <w:pPr>
      <w:spacing w:before="240" w:line="259" w:lineRule="auto"/>
      <w:outlineLvl w:val="9"/>
    </w:pPr>
    <w:rPr>
      <w:b w:val="0"/>
      <w:bCs w:val="0"/>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Times New Roman" w:eastAsia="Times New Roman" w:hAnsi="Times New Roman" w:cs="Times New Roman"/>
      <w:b/>
      <w:color w:val="007020"/>
      <w:sz w:val="22"/>
    </w:rPr>
  </w:style>
  <w:style w:type="character" w:customStyle="1" w:styleId="DataTypeTok">
    <w:name w:val="DataTypeTok"/>
    <w:basedOn w:val="VerbatimChar"/>
    <w:rPr>
      <w:rFonts w:ascii="Times New Roman" w:eastAsia="Times New Roman" w:hAnsi="Times New Roman" w:cs="Times New Roman"/>
      <w:color w:val="902000"/>
      <w:sz w:val="22"/>
    </w:rPr>
  </w:style>
  <w:style w:type="character" w:customStyle="1" w:styleId="DecValTok">
    <w:name w:val="DecValTok"/>
    <w:basedOn w:val="VerbatimChar"/>
    <w:rPr>
      <w:rFonts w:ascii="Times New Roman" w:eastAsia="Times New Roman" w:hAnsi="Times New Roman" w:cs="Times New Roman"/>
      <w:color w:val="40A070"/>
      <w:sz w:val="22"/>
    </w:rPr>
  </w:style>
  <w:style w:type="character" w:customStyle="1" w:styleId="BaseNTok">
    <w:name w:val="BaseNTok"/>
    <w:basedOn w:val="VerbatimChar"/>
    <w:rPr>
      <w:rFonts w:ascii="Times New Roman" w:eastAsia="Times New Roman" w:hAnsi="Times New Roman" w:cs="Times New Roman"/>
      <w:color w:val="40A070"/>
      <w:sz w:val="22"/>
    </w:rPr>
  </w:style>
  <w:style w:type="character" w:customStyle="1" w:styleId="FloatTok">
    <w:name w:val="FloatTok"/>
    <w:basedOn w:val="VerbatimChar"/>
    <w:rPr>
      <w:rFonts w:ascii="Times New Roman" w:eastAsia="Times New Roman" w:hAnsi="Times New Roman" w:cs="Times New Roman"/>
      <w:color w:val="40A070"/>
      <w:sz w:val="22"/>
    </w:rPr>
  </w:style>
  <w:style w:type="character" w:customStyle="1" w:styleId="ConstantTok">
    <w:name w:val="ConstantTok"/>
    <w:basedOn w:val="VerbatimChar"/>
    <w:rPr>
      <w:rFonts w:ascii="Times New Roman" w:eastAsia="Times New Roman" w:hAnsi="Times New Roman" w:cs="Times New Roman"/>
      <w:color w:val="880000"/>
      <w:sz w:val="22"/>
    </w:rPr>
  </w:style>
  <w:style w:type="character" w:customStyle="1" w:styleId="CharTok">
    <w:name w:val="CharTok"/>
    <w:basedOn w:val="VerbatimChar"/>
    <w:rPr>
      <w:rFonts w:ascii="Times New Roman" w:eastAsia="Times New Roman" w:hAnsi="Times New Roman" w:cs="Times New Roman"/>
      <w:color w:val="4070A0"/>
      <w:sz w:val="22"/>
    </w:rPr>
  </w:style>
  <w:style w:type="character" w:customStyle="1" w:styleId="SpecialCharTok">
    <w:name w:val="SpecialCharTok"/>
    <w:basedOn w:val="VerbatimChar"/>
    <w:rPr>
      <w:rFonts w:ascii="Times New Roman" w:eastAsia="Times New Roman" w:hAnsi="Times New Roman" w:cs="Times New Roman"/>
      <w:color w:val="4070A0"/>
      <w:sz w:val="22"/>
    </w:rPr>
  </w:style>
  <w:style w:type="character" w:customStyle="1" w:styleId="StringTok">
    <w:name w:val="StringTok"/>
    <w:basedOn w:val="VerbatimChar"/>
    <w:rPr>
      <w:rFonts w:ascii="Times New Roman" w:eastAsia="Times New Roman" w:hAnsi="Times New Roman" w:cs="Times New Roman"/>
      <w:color w:val="4070A0"/>
      <w:sz w:val="22"/>
    </w:rPr>
  </w:style>
  <w:style w:type="character" w:customStyle="1" w:styleId="VerbatimStringTok">
    <w:name w:val="VerbatimStringTok"/>
    <w:basedOn w:val="VerbatimChar"/>
    <w:rPr>
      <w:rFonts w:ascii="Times New Roman" w:eastAsia="Times New Roman" w:hAnsi="Times New Roman" w:cs="Times New Roman"/>
      <w:color w:val="4070A0"/>
      <w:sz w:val="22"/>
    </w:rPr>
  </w:style>
  <w:style w:type="character" w:customStyle="1" w:styleId="SpecialStringTok">
    <w:name w:val="SpecialStringTok"/>
    <w:basedOn w:val="VerbatimChar"/>
    <w:rPr>
      <w:rFonts w:ascii="Times New Roman" w:eastAsia="Times New Roman" w:hAnsi="Times New Roman" w:cs="Times New Roman"/>
      <w:color w:val="BB6688"/>
      <w:sz w:val="22"/>
    </w:rPr>
  </w:style>
  <w:style w:type="character" w:customStyle="1" w:styleId="ImportTok">
    <w:name w:val="ImportTok"/>
    <w:basedOn w:val="VerbatimChar"/>
    <w:rPr>
      <w:rFonts w:ascii="Times New Roman" w:eastAsia="Times New Roman" w:hAnsi="Times New Roman" w:cs="Times New Roman"/>
      <w:b/>
      <w:color w:val="008000"/>
      <w:sz w:val="22"/>
    </w:rPr>
  </w:style>
  <w:style w:type="character" w:customStyle="1" w:styleId="CommentTok">
    <w:name w:val="CommentTok"/>
    <w:basedOn w:val="VerbatimChar"/>
    <w:rPr>
      <w:rFonts w:ascii="Times New Roman" w:eastAsia="Times New Roman" w:hAnsi="Times New Roman" w:cs="Times New Roman"/>
      <w:i/>
      <w:color w:val="60A0B0"/>
      <w:sz w:val="22"/>
    </w:rPr>
  </w:style>
  <w:style w:type="character" w:customStyle="1" w:styleId="DocumentationTok">
    <w:name w:val="DocumentationTok"/>
    <w:basedOn w:val="VerbatimChar"/>
    <w:rPr>
      <w:rFonts w:ascii="Times New Roman" w:eastAsia="Times New Roman" w:hAnsi="Times New Roman" w:cs="Times New Roman"/>
      <w:i/>
      <w:color w:val="BA2121"/>
      <w:sz w:val="22"/>
    </w:rPr>
  </w:style>
  <w:style w:type="character" w:customStyle="1" w:styleId="AnnotationTok">
    <w:name w:val="AnnotationTok"/>
    <w:basedOn w:val="VerbatimChar"/>
    <w:rPr>
      <w:rFonts w:ascii="Times New Roman" w:eastAsia="Times New Roman" w:hAnsi="Times New Roman" w:cs="Times New Roman"/>
      <w:b/>
      <w:i/>
      <w:color w:val="60A0B0"/>
      <w:sz w:val="22"/>
    </w:rPr>
  </w:style>
  <w:style w:type="character" w:customStyle="1" w:styleId="CommentVarTok">
    <w:name w:val="CommentVarTok"/>
    <w:basedOn w:val="VerbatimChar"/>
    <w:rPr>
      <w:rFonts w:ascii="Times New Roman" w:eastAsia="Times New Roman" w:hAnsi="Times New Roman" w:cs="Times New Roman"/>
      <w:b/>
      <w:i/>
      <w:color w:val="60A0B0"/>
      <w:sz w:val="22"/>
    </w:rPr>
  </w:style>
  <w:style w:type="character" w:customStyle="1" w:styleId="OtherTok">
    <w:name w:val="OtherTok"/>
    <w:basedOn w:val="VerbatimChar"/>
    <w:rPr>
      <w:rFonts w:ascii="Times New Roman" w:eastAsia="Times New Roman" w:hAnsi="Times New Roman" w:cs="Times New Roman"/>
      <w:color w:val="007020"/>
      <w:sz w:val="22"/>
    </w:rPr>
  </w:style>
  <w:style w:type="character" w:customStyle="1" w:styleId="FunctionTok">
    <w:name w:val="FunctionTok"/>
    <w:basedOn w:val="VerbatimChar"/>
    <w:rPr>
      <w:rFonts w:ascii="Times New Roman" w:eastAsia="Times New Roman" w:hAnsi="Times New Roman" w:cs="Times New Roman"/>
      <w:color w:val="06287E"/>
      <w:sz w:val="22"/>
    </w:rPr>
  </w:style>
  <w:style w:type="character" w:customStyle="1" w:styleId="VariableTok">
    <w:name w:val="VariableTok"/>
    <w:basedOn w:val="VerbatimChar"/>
    <w:rPr>
      <w:rFonts w:ascii="Times New Roman" w:eastAsia="Times New Roman" w:hAnsi="Times New Roman" w:cs="Times New Roman"/>
      <w:color w:val="19177C"/>
      <w:sz w:val="22"/>
    </w:rPr>
  </w:style>
  <w:style w:type="character" w:customStyle="1" w:styleId="ControlFlowTok">
    <w:name w:val="ControlFlowTok"/>
    <w:basedOn w:val="VerbatimChar"/>
    <w:rPr>
      <w:rFonts w:ascii="Times New Roman" w:eastAsia="Times New Roman" w:hAnsi="Times New Roman" w:cs="Times New Roman"/>
      <w:b/>
      <w:color w:val="007020"/>
      <w:sz w:val="22"/>
    </w:rPr>
  </w:style>
  <w:style w:type="character" w:customStyle="1" w:styleId="OperatorTok">
    <w:name w:val="OperatorTok"/>
    <w:basedOn w:val="VerbatimChar"/>
    <w:rPr>
      <w:rFonts w:ascii="Times New Roman" w:eastAsia="Times New Roman" w:hAnsi="Times New Roman" w:cs="Times New Roman"/>
      <w:color w:val="666666"/>
      <w:sz w:val="22"/>
    </w:rPr>
  </w:style>
  <w:style w:type="character" w:customStyle="1" w:styleId="BuiltInTok">
    <w:name w:val="BuiltInTok"/>
    <w:basedOn w:val="VerbatimChar"/>
    <w:rPr>
      <w:rFonts w:ascii="Times New Roman" w:eastAsia="Times New Roman" w:hAnsi="Times New Roman" w:cs="Times New Roman"/>
      <w:color w:val="008000"/>
      <w:sz w:val="22"/>
    </w:rPr>
  </w:style>
  <w:style w:type="character" w:customStyle="1" w:styleId="ExtensionTok">
    <w:name w:val="ExtensionTok"/>
    <w:basedOn w:val="VerbatimChar"/>
    <w:rPr>
      <w:rFonts w:ascii="Times New Roman" w:eastAsia="Times New Roman" w:hAnsi="Times New Roman" w:cs="Times New Roman"/>
      <w:color w:val="000000"/>
      <w:sz w:val="22"/>
    </w:rPr>
  </w:style>
  <w:style w:type="character" w:customStyle="1" w:styleId="PreprocessorTok">
    <w:name w:val="PreprocessorTok"/>
    <w:basedOn w:val="VerbatimChar"/>
    <w:rPr>
      <w:rFonts w:ascii="Times New Roman" w:eastAsia="Times New Roman" w:hAnsi="Times New Roman" w:cs="Times New Roman"/>
      <w:color w:val="BC7A00"/>
      <w:sz w:val="22"/>
    </w:rPr>
  </w:style>
  <w:style w:type="character" w:customStyle="1" w:styleId="AttributeTok">
    <w:name w:val="AttributeTok"/>
    <w:basedOn w:val="VerbatimChar"/>
    <w:rPr>
      <w:rFonts w:ascii="Times New Roman" w:eastAsia="Times New Roman" w:hAnsi="Times New Roman" w:cs="Times New Roman"/>
      <w:color w:val="7D9029"/>
      <w:sz w:val="22"/>
    </w:rPr>
  </w:style>
  <w:style w:type="character" w:customStyle="1" w:styleId="RegionMarkerTok">
    <w:name w:val="RegionMarkerTok"/>
    <w:basedOn w:val="VerbatimChar"/>
    <w:rPr>
      <w:rFonts w:ascii="Times New Roman" w:eastAsia="Times New Roman" w:hAnsi="Times New Roman" w:cs="Times New Roman"/>
      <w:color w:val="000000"/>
      <w:sz w:val="22"/>
    </w:rPr>
  </w:style>
  <w:style w:type="character" w:customStyle="1" w:styleId="InformationTok">
    <w:name w:val="InformationTok"/>
    <w:basedOn w:val="VerbatimChar"/>
    <w:rPr>
      <w:rFonts w:ascii="Times New Roman" w:eastAsia="Times New Roman" w:hAnsi="Times New Roman" w:cs="Times New Roman"/>
      <w:b/>
      <w:i/>
      <w:color w:val="60A0B0"/>
      <w:sz w:val="22"/>
    </w:rPr>
  </w:style>
  <w:style w:type="character" w:customStyle="1" w:styleId="WarningTok">
    <w:name w:val="WarningTok"/>
    <w:basedOn w:val="VerbatimChar"/>
    <w:rPr>
      <w:rFonts w:ascii="Times New Roman" w:eastAsia="Times New Roman" w:hAnsi="Times New Roman" w:cs="Times New Roman"/>
      <w:b/>
      <w:i/>
      <w:color w:val="60A0B0"/>
      <w:sz w:val="22"/>
    </w:rPr>
  </w:style>
  <w:style w:type="character" w:customStyle="1" w:styleId="AlertTok">
    <w:name w:val="AlertTok"/>
    <w:basedOn w:val="VerbatimChar"/>
    <w:rPr>
      <w:rFonts w:ascii="Times New Roman" w:eastAsia="Times New Roman" w:hAnsi="Times New Roman" w:cs="Times New Roman"/>
      <w:b/>
      <w:color w:val="FF0000"/>
      <w:sz w:val="22"/>
    </w:rPr>
  </w:style>
  <w:style w:type="character" w:customStyle="1" w:styleId="ErrorTok">
    <w:name w:val="ErrorTok"/>
    <w:basedOn w:val="VerbatimChar"/>
    <w:rPr>
      <w:rFonts w:ascii="Times New Roman" w:eastAsia="Times New Roman" w:hAnsi="Times New Roman" w:cs="Times New Roman"/>
      <w:b/>
      <w:color w:val="FF0000"/>
      <w:sz w:val="22"/>
    </w:rPr>
  </w:style>
  <w:style w:type="character" w:customStyle="1" w:styleId="NormalTok">
    <w:name w:val="NormalTok"/>
    <w:basedOn w:val="VerbatimChar"/>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2027</Words>
  <Characters>11560</Characters>
  <Application>Microsoft Office Word</Application>
  <DocSecurity>0</DocSecurity>
  <Lines>96</Lines>
  <Paragraphs>27</Paragraphs>
  <ScaleCrop>false</ScaleCrop>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Koki Arai</dc:creator>
  <cp:keywords/>
  <cp:lastModifiedBy>Koki Arai</cp:lastModifiedBy>
  <cp:revision>2</cp:revision>
  <dcterms:created xsi:type="dcterms:W3CDTF">2026-06-06T13:03:00Z</dcterms:created>
  <dcterms:modified xsi:type="dcterms:W3CDTF">2026-06-06T13:03:00Z</dcterms:modified>
</cp:coreProperties>
</file>