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0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9"/>
        <w:gridCol w:w="5410"/>
        <w:gridCol w:w="1433"/>
      </w:tblGrid>
      <w:tr w:rsidR="00197063" w:rsidRPr="00197063" w14:paraId="15F945B7" w14:textId="77777777" w:rsidTr="00DF6FB3">
        <w:trPr>
          <w:trHeight w:val="334"/>
        </w:trPr>
        <w:tc>
          <w:tcPr>
            <w:tcW w:w="2268" w:type="dxa"/>
            <w:tcBorders>
              <w:top w:val="thinThickLargeGap" w:sz="12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F5EC5" w14:textId="77777777" w:rsidR="00197063" w:rsidRPr="00197063" w:rsidRDefault="00197063" w:rsidP="001970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0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Model acronym</w:t>
            </w:r>
          </w:p>
        </w:tc>
        <w:tc>
          <w:tcPr>
            <w:tcW w:w="5529" w:type="dxa"/>
            <w:tcBorders>
              <w:top w:val="thinThickLargeGap" w:sz="12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C3596C" w14:textId="77777777" w:rsidR="00197063" w:rsidRPr="00197063" w:rsidRDefault="00197063" w:rsidP="0019706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0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Institution</w:t>
            </w:r>
          </w:p>
        </w:tc>
        <w:tc>
          <w:tcPr>
            <w:tcW w:w="1275" w:type="dxa"/>
            <w:tcBorders>
              <w:top w:val="thinThickLargeGap" w:sz="12" w:space="0" w:color="auto"/>
              <w:left w:val="nil"/>
              <w:bottom w:val="single" w:sz="8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A645E" w14:textId="77777777" w:rsidR="00197063" w:rsidRPr="00197063" w:rsidRDefault="00197063" w:rsidP="0019706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  <w:b/>
                <w:bCs/>
              </w:rPr>
              <w:t>Atmosphere resolution (</w:t>
            </w:r>
            <w:proofErr w:type="spellStart"/>
            <w:r w:rsidRPr="00197063">
              <w:rPr>
                <w:rFonts w:ascii="Times New Roman" w:hAnsi="Times New Roman" w:cs="Times New Roman"/>
                <w:b/>
                <w:bCs/>
              </w:rPr>
              <w:t>lat</w:t>
            </w:r>
            <w:proofErr w:type="spellEnd"/>
            <w:r w:rsidRPr="00197063">
              <w:rPr>
                <w:rFonts w:ascii="Times New Roman" w:hAnsi="Times New Roman" w:cs="Times New Roman"/>
                <w:b/>
                <w:bCs/>
              </w:rPr>
              <w:t xml:space="preserve"> × </w:t>
            </w:r>
            <w:proofErr w:type="spellStart"/>
            <w:r w:rsidRPr="00197063">
              <w:rPr>
                <w:rFonts w:ascii="Times New Roman" w:hAnsi="Times New Roman" w:cs="Times New Roman"/>
                <w:b/>
                <w:bCs/>
              </w:rPr>
              <w:t>lon</w:t>
            </w:r>
            <w:proofErr w:type="spellEnd"/>
            <w:r w:rsidRPr="00197063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197063" w:rsidRPr="00197063" w14:paraId="29C2F4BD" w14:textId="77777777" w:rsidTr="00DF6FB3">
        <w:trPr>
          <w:trHeight w:val="539"/>
        </w:trPr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6F42F9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ACCESS-CM2</w:t>
            </w:r>
          </w:p>
        </w:tc>
        <w:tc>
          <w:tcPr>
            <w:tcW w:w="5529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0D33B0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Australian Community Climate and Earth System Simulator (ACCESS), Australia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8B6C3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145x192</w:t>
            </w:r>
          </w:p>
        </w:tc>
      </w:tr>
      <w:tr w:rsidR="00197063" w:rsidRPr="00197063" w14:paraId="0779A3E4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33B514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AWI-CM-1-1-MR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B67F8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Alfred Wegener Institute (AWI), Germany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5465D64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192x192</w:t>
            </w:r>
          </w:p>
        </w:tc>
      </w:tr>
      <w:tr w:rsidR="00197063" w:rsidRPr="00197063" w14:paraId="4E1E8E0D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911E2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BCC-CSM2-MR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A3E53B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Beijing Climate Center (BCC), China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1FAC38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160x320</w:t>
            </w:r>
          </w:p>
        </w:tc>
      </w:tr>
      <w:tr w:rsidR="00197063" w:rsidRPr="00197063" w14:paraId="49A3B3CE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3C5AE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CanESM5-CanOE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78CD2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Canadian Centre for Climate Modelling and Analysis (</w:t>
            </w:r>
            <w:proofErr w:type="spellStart"/>
            <w:r w:rsidRPr="00197063">
              <w:rPr>
                <w:rFonts w:ascii="Times New Roman" w:hAnsi="Times New Roman" w:cs="Times New Roman"/>
              </w:rPr>
              <w:t>CCCma</w:t>
            </w:r>
            <w:proofErr w:type="spellEnd"/>
            <w:r w:rsidRPr="00197063">
              <w:rPr>
                <w:rFonts w:ascii="Times New Roman" w:hAnsi="Times New Roman" w:cs="Times New Roman"/>
              </w:rPr>
              <w:t>), Canada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640F16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64x128</w:t>
            </w:r>
          </w:p>
        </w:tc>
      </w:tr>
      <w:tr w:rsidR="00197063" w:rsidRPr="00197063" w14:paraId="63FCF4A2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35C692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CESM2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0F959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National Center for Atmospheric Research (NCAR), USA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AEBD2A6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192x288</w:t>
            </w:r>
          </w:p>
        </w:tc>
      </w:tr>
      <w:tr w:rsidR="00197063" w:rsidRPr="00197063" w14:paraId="41A72E44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41CBE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CIESM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377F8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Community Integrated Earth System Model (CIESM), China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255E7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128x256</w:t>
            </w:r>
          </w:p>
        </w:tc>
      </w:tr>
      <w:tr w:rsidR="00197063" w:rsidRPr="00197063" w14:paraId="1BCDEDC4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A6B18E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CMCC-CM2-SR5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F68009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  <w:lang w:val="it-IT"/>
              </w:rPr>
              <w:t>Centro Euro-Mediterraneo sui Cambiamenti Climatici (CMCC), Italy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9A9EE0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192x288</w:t>
            </w:r>
          </w:p>
        </w:tc>
      </w:tr>
      <w:tr w:rsidR="00197063" w:rsidRPr="00197063" w14:paraId="6A49C52F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272B6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CMCC-ESM2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B80466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CMCC, Italy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8DA6EE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192x288</w:t>
            </w:r>
          </w:p>
        </w:tc>
      </w:tr>
      <w:tr w:rsidR="00197063" w:rsidRPr="00197063" w14:paraId="3A62C0FD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1E9C4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CNRM-CM6-1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5E217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CNRM/CERFACS, France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636AB9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128x256</w:t>
            </w:r>
          </w:p>
        </w:tc>
      </w:tr>
      <w:tr w:rsidR="00197063" w:rsidRPr="00197063" w14:paraId="5832A7F9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9275A9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CNRM-CM6-1-HR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B8C6BD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CNRM/CERFACS, France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ACFB5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256x512</w:t>
            </w:r>
          </w:p>
        </w:tc>
      </w:tr>
      <w:tr w:rsidR="00197063" w:rsidRPr="00197063" w14:paraId="15A700F1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62DFDA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CNRM-ESM2-1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328809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CNRM/CERFACS, France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9992F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128x256</w:t>
            </w:r>
          </w:p>
        </w:tc>
      </w:tr>
      <w:tr w:rsidR="00197063" w:rsidRPr="00197063" w14:paraId="15F6A121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DBEBC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EC-Earth3-CC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F0FD0D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EC-Earth Consortium, EU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28815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256x512</w:t>
            </w:r>
          </w:p>
        </w:tc>
      </w:tr>
      <w:tr w:rsidR="00197063" w:rsidRPr="00197063" w14:paraId="7E21F1BA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901D38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EC-Earth3-Veg-LR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BDC9F6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EC-Earth Consortium, EU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F982F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256x512</w:t>
            </w:r>
          </w:p>
        </w:tc>
      </w:tr>
      <w:tr w:rsidR="00197063" w:rsidRPr="00197063" w14:paraId="094B0776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437A8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FGOALS-g3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C031FB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Chinese Academy of Sciences (CAS), China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4A592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80x180</w:t>
            </w:r>
          </w:p>
        </w:tc>
      </w:tr>
      <w:tr w:rsidR="00197063" w:rsidRPr="00197063" w14:paraId="1F6BE18C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69E8A0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FIO-ESM-2-0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00E02C9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First Institute of Oceanography (FIO), China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8DCFD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192x288</w:t>
            </w:r>
          </w:p>
        </w:tc>
      </w:tr>
      <w:tr w:rsidR="00197063" w:rsidRPr="00197063" w14:paraId="54033F78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B87B4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GFDL-ESM4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85ED85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NOAA Geophysical Fluid Dynamics Laboratory (GFDL), USA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9F6C1B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180x288</w:t>
            </w:r>
          </w:p>
        </w:tc>
      </w:tr>
      <w:tr w:rsidR="00197063" w:rsidRPr="00197063" w14:paraId="5F3B6614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A6BB82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HadGEM3-GC31-LL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7426B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  <w:lang w:val="nl-NL"/>
              </w:rPr>
              <w:t>Met Office Hadley Centre (MOHC), UK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FD448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144x192</w:t>
            </w:r>
          </w:p>
        </w:tc>
      </w:tr>
      <w:tr w:rsidR="00197063" w:rsidRPr="00197063" w14:paraId="158A415D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C80874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HadGEM3-GC31-MM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F8EEE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  <w:lang w:val="nl-NL"/>
              </w:rPr>
              <w:t>Met Office Hadley Centre (MOHC), UK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F3016B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192x192</w:t>
            </w:r>
          </w:p>
        </w:tc>
      </w:tr>
      <w:tr w:rsidR="00197063" w:rsidRPr="00197063" w14:paraId="4969EE46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FA37F1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INM-CM4-8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410A5D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Institute of Numerical Mathematics (INM), Russia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7378EB2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120x180</w:t>
            </w:r>
          </w:p>
        </w:tc>
      </w:tr>
      <w:tr w:rsidR="00197063" w:rsidRPr="00197063" w14:paraId="30666858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E6C25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lastRenderedPageBreak/>
              <w:t>INM-CM5-0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B9F49E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Institute of Numerical Mathematics (INM), Russia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EA450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120x180</w:t>
            </w:r>
          </w:p>
        </w:tc>
      </w:tr>
      <w:tr w:rsidR="00197063" w:rsidRPr="00197063" w14:paraId="71C6B04A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BDD328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IPSL-CM6A-LR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5A818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  <w:lang w:val="fr-FR"/>
              </w:rPr>
              <w:t>Institut Pierre-Simon Laplace (IPSL), France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F288D6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143x144</w:t>
            </w:r>
          </w:p>
        </w:tc>
      </w:tr>
      <w:tr w:rsidR="00197063" w:rsidRPr="00197063" w14:paraId="6024B6C3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660655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KIOST-ESM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0DEA08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Korea Institute of Ocean Science &amp; Technology (KIOST), Korea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D81830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144x192</w:t>
            </w:r>
          </w:p>
        </w:tc>
      </w:tr>
      <w:tr w:rsidR="00197063" w:rsidRPr="00197063" w14:paraId="4A628DC8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84420F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MIROC-ES2L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E736E2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University of Tokyo/NIES/JAMSTEC, Japan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31324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64x128</w:t>
            </w:r>
          </w:p>
        </w:tc>
      </w:tr>
      <w:tr w:rsidR="00197063" w:rsidRPr="00197063" w14:paraId="12CF19A8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E61024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MIROC6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0610CB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University of Tokyo/NIES/JAMSTEC, Japan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BEFBD0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128x256</w:t>
            </w:r>
          </w:p>
        </w:tc>
      </w:tr>
      <w:tr w:rsidR="00197063" w:rsidRPr="00197063" w14:paraId="03A7310F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17F34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MPI-ESM1-2-LR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DC11C7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Max Planck Institute for Meteorology (MPI-M), Germany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A2E13A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192x384</w:t>
            </w:r>
          </w:p>
        </w:tc>
      </w:tr>
      <w:tr w:rsidR="00197063" w:rsidRPr="00197063" w14:paraId="662928EF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11CEC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NESM3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35EAAA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Nanjing University of Information Science &amp; Technology (NUIST), China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782B7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96x192</w:t>
            </w:r>
          </w:p>
        </w:tc>
      </w:tr>
      <w:tr w:rsidR="00197063" w:rsidRPr="00197063" w14:paraId="5B1EAE3A" w14:textId="77777777" w:rsidTr="00DF6FB3">
        <w:trPr>
          <w:trHeight w:val="539"/>
        </w:trPr>
        <w:tc>
          <w:tcPr>
            <w:tcW w:w="2268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14407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TaiESM1</w:t>
            </w:r>
          </w:p>
        </w:tc>
        <w:tc>
          <w:tcPr>
            <w:tcW w:w="5529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7F95DA3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Academia Sinica, Taiwan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89F23C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144x192</w:t>
            </w:r>
          </w:p>
        </w:tc>
      </w:tr>
      <w:tr w:rsidR="00197063" w:rsidRPr="00197063" w14:paraId="7D7F1533" w14:textId="77777777" w:rsidTr="00DF6FB3">
        <w:trPr>
          <w:trHeight w:val="540"/>
        </w:trPr>
        <w:tc>
          <w:tcPr>
            <w:tcW w:w="2268" w:type="dxa"/>
            <w:tcBorders>
              <w:top w:val="nil"/>
              <w:left w:val="nil"/>
              <w:bottom w:val="thickThinLargeGap" w:sz="12" w:space="0" w:color="auto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0EDD62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UKESM1-0-LL</w:t>
            </w:r>
          </w:p>
        </w:tc>
        <w:tc>
          <w:tcPr>
            <w:tcW w:w="5529" w:type="dxa"/>
            <w:tcBorders>
              <w:top w:val="nil"/>
              <w:left w:val="nil"/>
              <w:bottom w:val="thickThinLargeGap" w:sz="12" w:space="0" w:color="auto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4FCB2D" w14:textId="77777777" w:rsidR="00197063" w:rsidRPr="00197063" w:rsidRDefault="00197063" w:rsidP="00197063">
            <w:pPr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Met Office Hadley Centre + NERC, UK</w:t>
            </w:r>
          </w:p>
        </w:tc>
        <w:tc>
          <w:tcPr>
            <w:tcW w:w="1275" w:type="dxa"/>
            <w:tcBorders>
              <w:top w:val="nil"/>
              <w:left w:val="nil"/>
              <w:bottom w:val="thickThinLargeGap" w:sz="12" w:space="0" w:color="auto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323745" w14:textId="77777777" w:rsidR="00197063" w:rsidRPr="00197063" w:rsidRDefault="00197063" w:rsidP="00DF6FB3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197063">
              <w:rPr>
                <w:rFonts w:ascii="Times New Roman" w:hAnsi="Times New Roman" w:cs="Times New Roman"/>
              </w:rPr>
              <w:t>144x192</w:t>
            </w:r>
          </w:p>
        </w:tc>
      </w:tr>
    </w:tbl>
    <w:p w14:paraId="22B7908F" w14:textId="302CFBFC" w:rsidR="00DF6FB3" w:rsidRPr="00DF6FB3" w:rsidRDefault="00DF6FB3" w:rsidP="00DF6FB3">
      <w:pPr>
        <w:pStyle w:val="ab"/>
        <w:rPr>
          <w:rFonts w:ascii="Times New Roman" w:hAnsi="Times New Roman" w:cs="Times New Roman"/>
          <w:sz w:val="24"/>
          <w:szCs w:val="24"/>
        </w:rPr>
      </w:pPr>
      <w:r w:rsidRPr="00DF6FB3">
        <w:rPr>
          <w:rFonts w:ascii="Times New Roman" w:hAnsi="Times New Roman" w:cs="Times New Roman"/>
          <w:sz w:val="24"/>
          <w:szCs w:val="24"/>
        </w:rPr>
        <w:t xml:space="preserve">Table S1. Description of the climate models employed in this study. </w:t>
      </w:r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>Model acronyms, associated modeling centers, and atmospheric grid resolutions (</w:t>
      </w:r>
      <w:proofErr w:type="spellStart"/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>lat</w:t>
      </w:r>
      <w:proofErr w:type="spellEnd"/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× </w:t>
      </w:r>
      <w:proofErr w:type="spellStart"/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>lon</w:t>
      </w:r>
      <w:proofErr w:type="spellEnd"/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>) are provided for all CMIP6 models analyzed.</w:t>
      </w:r>
    </w:p>
    <w:p w14:paraId="2C9C1318" w14:textId="43F87770" w:rsidR="00ED33AA" w:rsidRDefault="00ED33AA">
      <w:pPr>
        <w:spacing w:line="259" w:lineRule="auto"/>
        <w:rPr>
          <w:b/>
          <w:bCs/>
          <w:sz w:val="20"/>
          <w:szCs w:val="20"/>
        </w:rPr>
      </w:pPr>
      <w:r>
        <w:br w:type="page"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1"/>
        <w:gridCol w:w="1228"/>
        <w:gridCol w:w="1226"/>
        <w:gridCol w:w="1264"/>
        <w:gridCol w:w="1257"/>
        <w:gridCol w:w="1251"/>
        <w:gridCol w:w="1249"/>
      </w:tblGrid>
      <w:tr w:rsidR="00ED33AA" w:rsidRPr="00ED33AA" w14:paraId="3E15F8BB" w14:textId="77777777" w:rsidTr="00ED33AA">
        <w:trPr>
          <w:trHeight w:val="567"/>
        </w:trPr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63543B5" w14:textId="77777777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47344D5" w14:textId="6C63A2D8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Q</w:t>
            </w: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  <w:vertAlign w:val="subscript"/>
              </w:rPr>
              <w:t>700-500</w:t>
            </w: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5245D32" w14:textId="456B2809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T2m</w:t>
            </w: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F181B62" w14:textId="3AEBCCF1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MTLR</w:t>
            </w: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ADF5EBD" w14:textId="0E4E9FD4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UTLR</w:t>
            </w: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6422DEF" w14:textId="4D6893D6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WS</w:t>
            </w: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  <w:vertAlign w:val="subscript"/>
              </w:rPr>
              <w:t>500</w:t>
            </w:r>
          </w:p>
        </w:tc>
        <w:tc>
          <w:tcPr>
            <w:tcW w:w="12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3E90949" w14:textId="3FFC5368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</w:rPr>
              <w:t>DD</w:t>
            </w: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text1"/>
                <w:kern w:val="24"/>
                <w:sz w:val="32"/>
                <w:szCs w:val="32"/>
                <w:vertAlign w:val="subscript"/>
              </w:rPr>
              <w:t>850</w:t>
            </w:r>
          </w:p>
        </w:tc>
      </w:tr>
      <w:tr w:rsidR="00ED33AA" w:rsidRPr="00ED33AA" w14:paraId="1CAB3940" w14:textId="77777777" w:rsidTr="00ED33AA">
        <w:trPr>
          <w:trHeight w:val="567"/>
        </w:trPr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6BF3F526" w14:textId="4E18A561" w:rsidR="00ED33AA" w:rsidRPr="00ED33AA" w:rsidRDefault="00ED33AA" w:rsidP="00ED33AA">
            <w:pPr>
              <w:pStyle w:val="ab"/>
              <w:spacing w:line="240" w:lineRule="auto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All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09109D22" w14:textId="228D69F5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0.59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5D68CB3C" w14:textId="2626AF2D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0.50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1849AB3E" w14:textId="351B1CA7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0.16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5D3B3952" w14:textId="6C26FB32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0.22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4412E9C9" w14:textId="2E7FA6C6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-0.11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14:paraId="249FAC8C" w14:textId="722DCC46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0.23</w:t>
            </w:r>
          </w:p>
        </w:tc>
      </w:tr>
      <w:tr w:rsidR="00ED33AA" w:rsidRPr="00ED33AA" w14:paraId="73859646" w14:textId="77777777" w:rsidTr="00ED33AA">
        <w:trPr>
          <w:trHeight w:val="567"/>
        </w:trPr>
        <w:tc>
          <w:tcPr>
            <w:tcW w:w="1288" w:type="dxa"/>
            <w:vAlign w:val="center"/>
          </w:tcPr>
          <w:p w14:paraId="6FBFFD2D" w14:textId="62028B2B" w:rsidR="00ED33AA" w:rsidRPr="00ED33AA" w:rsidRDefault="00ED33AA" w:rsidP="00ED33AA">
            <w:pPr>
              <w:pStyle w:val="ab"/>
              <w:spacing w:line="240" w:lineRule="auto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Yukon</w:t>
            </w:r>
          </w:p>
        </w:tc>
        <w:tc>
          <w:tcPr>
            <w:tcW w:w="1288" w:type="dxa"/>
            <w:vAlign w:val="center"/>
          </w:tcPr>
          <w:p w14:paraId="336098A4" w14:textId="16A1E6A3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0.66</w:t>
            </w:r>
          </w:p>
        </w:tc>
        <w:tc>
          <w:tcPr>
            <w:tcW w:w="1288" w:type="dxa"/>
            <w:vAlign w:val="center"/>
          </w:tcPr>
          <w:p w14:paraId="1BCC97A2" w14:textId="5C19B1E9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0.66</w:t>
            </w:r>
          </w:p>
        </w:tc>
        <w:tc>
          <w:tcPr>
            <w:tcW w:w="1288" w:type="dxa"/>
            <w:vAlign w:val="center"/>
          </w:tcPr>
          <w:p w14:paraId="12E1E358" w14:textId="60CB2869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0.01</w:t>
            </w:r>
          </w:p>
        </w:tc>
        <w:tc>
          <w:tcPr>
            <w:tcW w:w="1288" w:type="dxa"/>
            <w:vAlign w:val="center"/>
          </w:tcPr>
          <w:p w14:paraId="7EDB5100" w14:textId="6CDA2C25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0.27</w:t>
            </w:r>
          </w:p>
        </w:tc>
        <w:tc>
          <w:tcPr>
            <w:tcW w:w="1288" w:type="dxa"/>
            <w:vAlign w:val="center"/>
          </w:tcPr>
          <w:p w14:paraId="3EBF6962" w14:textId="08DC65C8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-0.16</w:t>
            </w:r>
          </w:p>
        </w:tc>
        <w:tc>
          <w:tcPr>
            <w:tcW w:w="1288" w:type="dxa"/>
            <w:vAlign w:val="center"/>
          </w:tcPr>
          <w:p w14:paraId="503A9C28" w14:textId="0A395126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0.27</w:t>
            </w:r>
          </w:p>
        </w:tc>
      </w:tr>
      <w:tr w:rsidR="00ED33AA" w:rsidRPr="00ED33AA" w14:paraId="7C897601" w14:textId="77777777" w:rsidTr="00ED33AA">
        <w:trPr>
          <w:trHeight w:val="567"/>
        </w:trPr>
        <w:tc>
          <w:tcPr>
            <w:tcW w:w="1288" w:type="dxa"/>
            <w:vAlign w:val="center"/>
          </w:tcPr>
          <w:p w14:paraId="66E30346" w14:textId="53EAC7B7" w:rsidR="00ED33AA" w:rsidRPr="00ED33AA" w:rsidRDefault="00ED33AA" w:rsidP="00ED33AA">
            <w:pPr>
              <w:pStyle w:val="ab"/>
              <w:spacing w:line="240" w:lineRule="auto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Northwest</w:t>
            </w:r>
          </w:p>
        </w:tc>
        <w:tc>
          <w:tcPr>
            <w:tcW w:w="1288" w:type="dxa"/>
            <w:vAlign w:val="center"/>
          </w:tcPr>
          <w:p w14:paraId="2E017A69" w14:textId="70FC980F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0.46</w:t>
            </w:r>
          </w:p>
        </w:tc>
        <w:tc>
          <w:tcPr>
            <w:tcW w:w="1288" w:type="dxa"/>
            <w:vAlign w:val="center"/>
          </w:tcPr>
          <w:p w14:paraId="09C1C9CB" w14:textId="25627CD3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0.33</w:t>
            </w:r>
          </w:p>
        </w:tc>
        <w:tc>
          <w:tcPr>
            <w:tcW w:w="1288" w:type="dxa"/>
            <w:vAlign w:val="center"/>
          </w:tcPr>
          <w:p w14:paraId="6A671456" w14:textId="4E5B6A6A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0.18</w:t>
            </w:r>
          </w:p>
        </w:tc>
        <w:tc>
          <w:tcPr>
            <w:tcW w:w="1288" w:type="dxa"/>
            <w:vAlign w:val="center"/>
          </w:tcPr>
          <w:p w14:paraId="0F840BCD" w14:textId="240E5474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0.22</w:t>
            </w:r>
          </w:p>
        </w:tc>
        <w:tc>
          <w:tcPr>
            <w:tcW w:w="1288" w:type="dxa"/>
            <w:vAlign w:val="center"/>
          </w:tcPr>
          <w:p w14:paraId="57C561CE" w14:textId="54CAA7DA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-0.13</w:t>
            </w:r>
          </w:p>
        </w:tc>
        <w:tc>
          <w:tcPr>
            <w:tcW w:w="1288" w:type="dxa"/>
            <w:vAlign w:val="center"/>
          </w:tcPr>
          <w:p w14:paraId="4A460DBA" w14:textId="7D963B7F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0.21</w:t>
            </w:r>
          </w:p>
        </w:tc>
      </w:tr>
      <w:tr w:rsidR="00ED33AA" w:rsidRPr="00ED33AA" w14:paraId="41663744" w14:textId="77777777" w:rsidTr="00ED33AA">
        <w:trPr>
          <w:trHeight w:val="567"/>
        </w:trPr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4080F19C" w14:textId="79563CD6" w:rsidR="00ED33AA" w:rsidRPr="00ED33AA" w:rsidRDefault="00ED33AA" w:rsidP="00ED33AA">
            <w:pPr>
              <w:pStyle w:val="ab"/>
              <w:spacing w:line="240" w:lineRule="auto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Nunavut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2DC1C138" w14:textId="3E033249" w:rsidR="00ED33AA" w:rsidRPr="00A6372C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A6372C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0.27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7D1E491F" w14:textId="1BAD02AC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color w:val="000000" w:themeColor="dark1"/>
                <w:kern w:val="24"/>
                <w:sz w:val="32"/>
                <w:szCs w:val="32"/>
              </w:rPr>
              <w:t>0.31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0DE82AEB" w14:textId="574C4664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0.20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1EC32834" w14:textId="2435563A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0.26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3FEA1A86" w14:textId="2D39B820" w:rsidR="00ED33AA" w:rsidRPr="00ED33AA" w:rsidRDefault="00ED33AA" w:rsidP="00ED33AA">
            <w:pPr>
              <w:pStyle w:val="ab"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-0.04</w:t>
            </w:r>
          </w:p>
        </w:tc>
        <w:tc>
          <w:tcPr>
            <w:tcW w:w="1288" w:type="dxa"/>
            <w:tcBorders>
              <w:bottom w:val="double" w:sz="4" w:space="0" w:color="auto"/>
            </w:tcBorders>
            <w:vAlign w:val="center"/>
          </w:tcPr>
          <w:p w14:paraId="13085309" w14:textId="1A59814A" w:rsidR="00ED33AA" w:rsidRPr="00ED33AA" w:rsidRDefault="00ED33AA" w:rsidP="00ED33AA">
            <w:pPr>
              <w:pStyle w:val="ab"/>
              <w:keepNext/>
              <w:spacing w:line="240" w:lineRule="auto"/>
              <w:jc w:val="center"/>
              <w:rPr>
                <w:b w:val="0"/>
                <w:bCs w:val="0"/>
                <w:sz w:val="32"/>
                <w:szCs w:val="32"/>
              </w:rPr>
            </w:pPr>
            <w:r w:rsidRPr="00ED33AA">
              <w:rPr>
                <w:rFonts w:ascii="Times New Roman" w:hAnsi="Times New Roman" w:cs="Times New Roman"/>
                <w:b w:val="0"/>
                <w:bCs w:val="0"/>
                <w:color w:val="000000" w:themeColor="dark1"/>
                <w:kern w:val="24"/>
                <w:sz w:val="32"/>
                <w:szCs w:val="32"/>
              </w:rPr>
              <w:t>0.23</w:t>
            </w:r>
          </w:p>
        </w:tc>
      </w:tr>
    </w:tbl>
    <w:p w14:paraId="59C97A1E" w14:textId="5BE0E87E" w:rsidR="00ED33AA" w:rsidRPr="00ED33AA" w:rsidRDefault="00ED33AA" w:rsidP="00ED33AA">
      <w:pPr>
        <w:pStyle w:val="ab"/>
        <w:rPr>
          <w:rFonts w:ascii="Times New Roman" w:hAnsi="Times New Roman" w:cs="Times New Roman"/>
          <w:sz w:val="24"/>
          <w:szCs w:val="24"/>
        </w:rPr>
      </w:pPr>
      <w:r w:rsidRPr="00ED33AA">
        <w:rPr>
          <w:rFonts w:ascii="Times New Roman" w:hAnsi="Times New Roman" w:cs="Times New Roman"/>
          <w:sz w:val="24"/>
          <w:szCs w:val="24"/>
        </w:rPr>
        <w:t>Table S2. Pearson correlation coefficients (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r</m:t>
        </m:r>
      </m:oMath>
      <w:r w:rsidRPr="00ED33AA">
        <w:rPr>
          <w:rFonts w:ascii="Times New Roman" w:hAnsi="Times New Roman" w:cs="Times New Roman"/>
          <w:sz w:val="24"/>
          <w:szCs w:val="24"/>
        </w:rPr>
        <w:t>) between seasonal (May–September) dry lightning counts and environmental variables for 1999–2023. Bold</w:t>
      </w:r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indicates </w:t>
      </w:r>
      <m:oMath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∣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r</m:t>
        </m:r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∣≥0.30 </m:t>
        </m:r>
      </m:oMath>
      <w:r w:rsidRPr="00ED33AA">
        <w:rPr>
          <w:rFonts w:ascii="Times New Roman" w:hAnsi="Times New Roman" w:cs="Times New Roman"/>
          <w:b w:val="0"/>
          <w:bCs w:val="0"/>
          <w:sz w:val="24"/>
          <w:szCs w:val="24"/>
        </w:rPr>
        <w:t>(moderate association by our convention).</w:t>
      </w:r>
    </w:p>
    <w:p w14:paraId="4EF6FEDD" w14:textId="28E51D99" w:rsidR="006B15DE" w:rsidRPr="0098583F" w:rsidRDefault="00151EB8" w:rsidP="006B15DE">
      <w:pPr>
        <w:pStyle w:val="ab"/>
        <w:rPr>
          <w:b w:val="0"/>
          <w:bCs w:val="0"/>
        </w:rPr>
      </w:pPr>
      <w:r>
        <w:br w:type="page"/>
      </w:r>
      <w:r w:rsidR="008C2712" w:rsidRPr="008C2712">
        <w:rPr>
          <w:noProof/>
        </w:rPr>
        <w:lastRenderedPageBreak/>
        <w:drawing>
          <wp:inline distT="0" distB="0" distL="0" distR="0" wp14:anchorId="2DE40FA8" wp14:editId="15C2FDDB">
            <wp:extent cx="5731510" cy="1290320"/>
            <wp:effectExtent l="0" t="0" r="2540" b="5080"/>
            <wp:docPr id="4" name="그림 3" descr="텍스트, 스크린샷, 라인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63E5C312-3180-4D7E-AFFE-307AE43C1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텍스트, 스크린샷, 라인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63E5C312-3180-4D7E-AFFE-307AE43C1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712" w:rsidRPr="006B15DE">
        <w:rPr>
          <w:rFonts w:ascii="Times New Roman" w:hAnsi="Times New Roman" w:cs="Times New Roman"/>
          <w:sz w:val="24"/>
          <w:szCs w:val="24"/>
        </w:rPr>
        <w:t xml:space="preserve">Figure S1. Monthly distributions (May–September 1999–2023) of dry lightning flashes across Canada’s three northern territories. </w:t>
      </w:r>
      <w:r w:rsidR="008C2712" w:rsidRPr="009858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Box-and-whisker plots show medians (dashed lines) and interquartile ranges (boxes, 25–75%); whiskers indicate the full range. Red dots mark 2023 values. Panels: </w:t>
      </w:r>
      <w:r w:rsidR="008C2712" w:rsidRPr="0098583F">
        <w:rPr>
          <w:rFonts w:ascii="Times New Roman" w:hAnsi="Times New Roman" w:cs="Times New Roman"/>
          <w:sz w:val="24"/>
          <w:szCs w:val="24"/>
        </w:rPr>
        <w:t>(a)</w:t>
      </w:r>
      <w:r w:rsidR="008C2712" w:rsidRPr="009858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ALL, </w:t>
      </w:r>
      <w:r w:rsidR="008C2712" w:rsidRPr="0098583F">
        <w:rPr>
          <w:rFonts w:ascii="Times New Roman" w:hAnsi="Times New Roman" w:cs="Times New Roman"/>
          <w:sz w:val="24"/>
          <w:szCs w:val="24"/>
        </w:rPr>
        <w:t>(b)</w:t>
      </w:r>
      <w:r w:rsidR="008C2712" w:rsidRPr="009858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Yukon, </w:t>
      </w:r>
      <w:r w:rsidR="008C2712" w:rsidRPr="0098583F">
        <w:rPr>
          <w:rFonts w:ascii="Times New Roman" w:hAnsi="Times New Roman" w:cs="Times New Roman"/>
          <w:sz w:val="24"/>
          <w:szCs w:val="24"/>
        </w:rPr>
        <w:t>(c)</w:t>
      </w:r>
      <w:r w:rsidR="008C2712" w:rsidRPr="009858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Northwest Territories, </w:t>
      </w:r>
      <w:r w:rsidR="008C2712" w:rsidRPr="0098583F">
        <w:rPr>
          <w:rFonts w:ascii="Times New Roman" w:hAnsi="Times New Roman" w:cs="Times New Roman"/>
          <w:sz w:val="24"/>
          <w:szCs w:val="24"/>
        </w:rPr>
        <w:t>(d)</w:t>
      </w:r>
      <w:r w:rsidR="008C2712" w:rsidRPr="009858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Nunavut.</w:t>
      </w:r>
    </w:p>
    <w:p w14:paraId="78AD4242" w14:textId="77777777" w:rsidR="006B15DE" w:rsidRDefault="006B15DE" w:rsidP="006B15DE">
      <w:pPr>
        <w:pStyle w:val="ab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C569C5" w14:textId="77777777" w:rsidR="006B15DE" w:rsidRDefault="006B15DE" w:rsidP="00E63F2C">
      <w:pPr>
        <w:pStyle w:val="ab"/>
      </w:pPr>
      <w:r w:rsidRPr="006B15DE">
        <w:rPr>
          <w:noProof/>
        </w:rPr>
        <w:lastRenderedPageBreak/>
        <w:drawing>
          <wp:inline distT="0" distB="0" distL="0" distR="0" wp14:anchorId="5561A426" wp14:editId="33D71752">
            <wp:extent cx="5731510" cy="1067435"/>
            <wp:effectExtent l="0" t="0" r="2540" b="0"/>
            <wp:docPr id="331528802" name="그림 3" descr="텍스트, 라인, 번호, 스크린샷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962D903B-54BE-E016-D598-38B194CFBF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28802" name="그림 3" descr="텍스트, 라인, 번호, 스크린샷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962D903B-54BE-E016-D598-38B194CFBF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3492" w14:textId="28E6EAF1" w:rsidR="00E63F2C" w:rsidRPr="00E63F2C" w:rsidRDefault="00E63F2C" w:rsidP="00E63F2C">
      <w:pPr>
        <w:pStyle w:val="ab"/>
        <w:rPr>
          <w:rFonts w:ascii="Times New Roman" w:hAnsi="Times New Roman" w:cs="Times New Roman"/>
          <w:sz w:val="24"/>
          <w:szCs w:val="24"/>
        </w:rPr>
      </w:pPr>
      <w:r w:rsidRPr="00E63F2C">
        <w:rPr>
          <w:rFonts w:ascii="Times New Roman" w:hAnsi="Times New Roman" w:cs="Times New Roman"/>
          <w:sz w:val="24"/>
          <w:szCs w:val="24"/>
        </w:rPr>
        <w:t xml:space="preserve">Figure S2. Monthly distributions (May–September 1999–2023) of Fire Radiative Power (FRP) across Canada’s three northern territories. </w:t>
      </w:r>
      <w:r w:rsidRPr="001131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Box-and-whisker plots show medians (dashed lines) and interquartile ranges (boxes, 25–75%); whiskers indicate the full range. Red dots mark 2023 values. Panels: </w:t>
      </w:r>
      <w:r w:rsidRPr="00113189">
        <w:rPr>
          <w:rFonts w:ascii="Times New Roman" w:hAnsi="Times New Roman" w:cs="Times New Roman"/>
          <w:sz w:val="24"/>
          <w:szCs w:val="24"/>
        </w:rPr>
        <w:t>(a)</w:t>
      </w:r>
      <w:r w:rsidRPr="001131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ALL, </w:t>
      </w:r>
      <w:r w:rsidRPr="00113189">
        <w:rPr>
          <w:rFonts w:ascii="Times New Roman" w:hAnsi="Times New Roman" w:cs="Times New Roman"/>
          <w:sz w:val="24"/>
          <w:szCs w:val="24"/>
        </w:rPr>
        <w:t>(b)</w:t>
      </w:r>
      <w:r w:rsidRPr="001131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Yukon, </w:t>
      </w:r>
      <w:r w:rsidRPr="00113189">
        <w:rPr>
          <w:rFonts w:ascii="Times New Roman" w:hAnsi="Times New Roman" w:cs="Times New Roman"/>
          <w:sz w:val="24"/>
          <w:szCs w:val="24"/>
        </w:rPr>
        <w:t>(c)</w:t>
      </w:r>
      <w:r w:rsidRPr="001131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Northwest Territories, </w:t>
      </w:r>
      <w:r w:rsidRPr="00113189">
        <w:rPr>
          <w:rFonts w:ascii="Times New Roman" w:hAnsi="Times New Roman" w:cs="Times New Roman"/>
          <w:sz w:val="24"/>
          <w:szCs w:val="24"/>
        </w:rPr>
        <w:t>(d)</w:t>
      </w:r>
      <w:r w:rsidRPr="001131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Nunavut.</w:t>
      </w:r>
    </w:p>
    <w:p w14:paraId="68DE07FB" w14:textId="760712CA" w:rsidR="00F9512A" w:rsidRDefault="00F9512A">
      <w:pPr>
        <w:spacing w:line="259" w:lineRule="auto"/>
        <w:rPr>
          <w:b/>
          <w:bCs/>
          <w:sz w:val="20"/>
          <w:szCs w:val="20"/>
        </w:rPr>
      </w:pPr>
      <w:r>
        <w:br w:type="page"/>
      </w:r>
    </w:p>
    <w:p w14:paraId="0868D702" w14:textId="30D1DE68" w:rsidR="007C0FCC" w:rsidRDefault="00F9512A" w:rsidP="00F9512A">
      <w:pPr>
        <w:pStyle w:val="ab"/>
      </w:pPr>
      <w:r w:rsidRPr="00F9512A">
        <w:rPr>
          <w:noProof/>
        </w:rPr>
        <w:lastRenderedPageBreak/>
        <w:drawing>
          <wp:inline distT="0" distB="0" distL="0" distR="0" wp14:anchorId="7E4E1997" wp14:editId="42DB7ED0">
            <wp:extent cx="5731510" cy="3325495"/>
            <wp:effectExtent l="0" t="0" r="2540" b="8255"/>
            <wp:docPr id="1569472623" name="그림 3" descr="텍스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B286459-F556-14A9-40B8-7866348DE7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72623" name="그림 3" descr="텍스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B286459-F556-14A9-40B8-7866348DE7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9D14E" w14:textId="77777777" w:rsidR="00F9512A" w:rsidRPr="00F9512A" w:rsidRDefault="00F9512A" w:rsidP="00F9512A">
      <w:pPr>
        <w:pStyle w:val="ab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F9512A">
        <w:rPr>
          <w:rFonts w:ascii="Times New Roman" w:hAnsi="Times New Roman" w:cs="Times New Roman"/>
          <w:sz w:val="24"/>
          <w:szCs w:val="24"/>
        </w:rPr>
        <w:t>Figure S3. Three-month running-mean anomalies of 500-hPa geopotential height (Z</w:t>
      </w:r>
      <w:r w:rsidRPr="00047325">
        <w:rPr>
          <w:rFonts w:ascii="Times New Roman" w:hAnsi="Times New Roman" w:cs="Times New Roman"/>
          <w:sz w:val="24"/>
          <w:szCs w:val="24"/>
          <w:vertAlign w:val="subscript"/>
        </w:rPr>
        <w:t>500</w:t>
      </w:r>
      <w:r w:rsidRPr="00F9512A">
        <w:rPr>
          <w:rFonts w:ascii="Times New Roman" w:hAnsi="Times New Roman" w:cs="Times New Roman"/>
          <w:sz w:val="24"/>
          <w:szCs w:val="24"/>
        </w:rPr>
        <w:t>) in 2023 over northern Canada.</w:t>
      </w:r>
      <w:r w:rsidRPr="00F9512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Panels show </w:t>
      </w:r>
      <w:r w:rsidRPr="00F9512A">
        <w:rPr>
          <w:rFonts w:ascii="Times New Roman" w:hAnsi="Times New Roman" w:cs="Times New Roman"/>
          <w:sz w:val="24"/>
          <w:szCs w:val="24"/>
        </w:rPr>
        <w:t>(a)</w:t>
      </w:r>
      <w:r w:rsidRPr="00F9512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May–September mean and monthly fields and for each month from May to September </w:t>
      </w:r>
      <w:r w:rsidRPr="00F9512A">
        <w:rPr>
          <w:rFonts w:ascii="Times New Roman" w:hAnsi="Times New Roman" w:cs="Times New Roman"/>
          <w:sz w:val="24"/>
          <w:szCs w:val="24"/>
        </w:rPr>
        <w:t>(b–f)</w:t>
      </w:r>
      <w:r w:rsidRPr="00F9512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000424DB" w14:textId="77777777" w:rsidR="00606BA9" w:rsidRDefault="009407A3" w:rsidP="00C9793F">
      <w:pPr>
        <w:pStyle w:val="ab"/>
      </w:pPr>
      <w:r>
        <w:br w:type="page"/>
      </w:r>
      <w:r w:rsidR="00606BA9" w:rsidRPr="00606BA9">
        <w:lastRenderedPageBreak/>
        <w:drawing>
          <wp:inline distT="0" distB="0" distL="0" distR="0" wp14:anchorId="04B7A01F" wp14:editId="532AAD51">
            <wp:extent cx="5721069" cy="2839617"/>
            <wp:effectExtent l="0" t="0" r="0" b="0"/>
            <wp:docPr id="66024303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430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410" cy="284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6B9B" w14:textId="2EC9BB50" w:rsidR="00606BA9" w:rsidRPr="00606BA9" w:rsidRDefault="00606BA9" w:rsidP="00C9793F">
      <w:pPr>
        <w:pStyle w:val="ab"/>
        <w:rPr>
          <w:rFonts w:ascii="Times New Roman" w:hAnsi="Times New Roman" w:cs="Times New Roman"/>
          <w:sz w:val="24"/>
          <w:szCs w:val="24"/>
        </w:rPr>
      </w:pPr>
      <w:r w:rsidRPr="009407A3">
        <w:rPr>
          <w:rFonts w:ascii="Times New Roman" w:hAnsi="Times New Roman" w:cs="Times New Roman"/>
          <w:sz w:val="24"/>
          <w:szCs w:val="24"/>
        </w:rPr>
        <w:t>Figure S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9407A3">
        <w:rPr>
          <w:rFonts w:ascii="Times New Roman" w:hAnsi="Times New Roman" w:cs="Times New Roman"/>
          <w:sz w:val="24"/>
          <w:szCs w:val="24"/>
        </w:rPr>
        <w:t xml:space="preserve">. </w:t>
      </w:r>
      <w:r w:rsidRPr="00606BA9">
        <w:rPr>
          <w:rFonts w:ascii="Times New Roman" w:hAnsi="Times New Roman" w:cs="Times New Roman"/>
          <w:sz w:val="24"/>
          <w:szCs w:val="24"/>
        </w:rPr>
        <w:t xml:space="preserve">Time series of May–September 500-hPa geopotential height anomalies. </w:t>
      </w:r>
      <w:r w:rsidRPr="00C9793F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Area-averaged 500-hPa geopotential height (GPH) anomalies (in geopotential meters, </w:t>
      </w:r>
      <w:proofErr w:type="spellStart"/>
      <w:r w:rsidRPr="00C9793F">
        <w:rPr>
          <w:rFonts w:ascii="Times New Roman" w:hAnsi="Times New Roman" w:cs="Times New Roman"/>
          <w:b w:val="0"/>
          <w:bCs w:val="0"/>
          <w:sz w:val="24"/>
          <w:szCs w:val="24"/>
        </w:rPr>
        <w:t>gpm</w:t>
      </w:r>
      <w:proofErr w:type="spellEnd"/>
      <w:r w:rsidRPr="00C9793F">
        <w:rPr>
          <w:rFonts w:ascii="Times New Roman" w:hAnsi="Times New Roman" w:cs="Times New Roman"/>
          <w:b w:val="0"/>
          <w:bCs w:val="0"/>
          <w:sz w:val="24"/>
          <w:szCs w:val="24"/>
        </w:rPr>
        <w:t>) over northern Canada from 1999 to 2023.</w:t>
      </w:r>
    </w:p>
    <w:p w14:paraId="7E03FFB0" w14:textId="77777777" w:rsidR="00606BA9" w:rsidRDefault="00606BA9">
      <w:pPr>
        <w:spacing w:line="259" w:lineRule="auto"/>
      </w:pPr>
      <w:r>
        <w:br w:type="page"/>
      </w:r>
    </w:p>
    <w:p w14:paraId="5FE22929" w14:textId="24FC4C33" w:rsidR="00F9512A" w:rsidRPr="00606BA9" w:rsidRDefault="009407A3" w:rsidP="00606BA9">
      <w:pPr>
        <w:spacing w:line="259" w:lineRule="auto"/>
      </w:pPr>
      <w:r w:rsidRPr="009407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5EC3C0" wp14:editId="1754C278">
            <wp:extent cx="5731510" cy="1261110"/>
            <wp:effectExtent l="0" t="0" r="2540" b="0"/>
            <wp:docPr id="3" name="그림 2" descr="텍스트, 친필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AA7B4DC-B3BD-919E-E5DD-287F517F4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친필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3AA7B4DC-B3BD-919E-E5DD-287F517F4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4BE3" w14:textId="4964153F" w:rsidR="001821AC" w:rsidRDefault="009407A3" w:rsidP="009407A3">
      <w:pPr>
        <w:pStyle w:val="ab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407A3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5</w:t>
      </w:r>
      <w:r w:rsidRPr="009407A3">
        <w:rPr>
          <w:rFonts w:ascii="Times New Roman" w:hAnsi="Times New Roman" w:cs="Times New Roman"/>
          <w:sz w:val="24"/>
          <w:szCs w:val="24"/>
        </w:rPr>
        <w:t>. Interannual evolution (1999–2023) of May–September regional means for four Fire Weather Index (FWI) components</w:t>
      </w:r>
      <w:r w:rsidRPr="009407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—2-m air temperature (T2m), Total precipitation (TP), and relative humidity (RH), wind speed (WS)—averaged over </w:t>
      </w:r>
      <w:r w:rsidRPr="009407A3">
        <w:rPr>
          <w:rFonts w:ascii="Times New Roman" w:hAnsi="Times New Roman" w:cs="Times New Roman"/>
          <w:sz w:val="24"/>
          <w:szCs w:val="24"/>
        </w:rPr>
        <w:t>(a)</w:t>
      </w:r>
      <w:r w:rsidRPr="009407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ALL, </w:t>
      </w:r>
      <w:r w:rsidRPr="009407A3">
        <w:rPr>
          <w:rFonts w:ascii="Times New Roman" w:hAnsi="Times New Roman" w:cs="Times New Roman"/>
          <w:sz w:val="24"/>
          <w:szCs w:val="24"/>
        </w:rPr>
        <w:t>(b)</w:t>
      </w:r>
      <w:r w:rsidRPr="009407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Yukon, </w:t>
      </w:r>
      <w:r w:rsidRPr="009407A3">
        <w:rPr>
          <w:rFonts w:ascii="Times New Roman" w:hAnsi="Times New Roman" w:cs="Times New Roman"/>
          <w:sz w:val="24"/>
          <w:szCs w:val="24"/>
        </w:rPr>
        <w:t>(c)</w:t>
      </w:r>
      <w:r w:rsidRPr="009407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Northwest Territories, and </w:t>
      </w:r>
      <w:r w:rsidRPr="009407A3">
        <w:rPr>
          <w:rFonts w:ascii="Times New Roman" w:hAnsi="Times New Roman" w:cs="Times New Roman"/>
          <w:sz w:val="24"/>
          <w:szCs w:val="24"/>
        </w:rPr>
        <w:t>(d)</w:t>
      </w:r>
      <w:r w:rsidRPr="009407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Nunavut.</w:t>
      </w:r>
    </w:p>
    <w:p w14:paraId="081D8227" w14:textId="77777777" w:rsidR="001821AC" w:rsidRDefault="001821AC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6D6201" w14:textId="6451FAC4" w:rsidR="009407A3" w:rsidRPr="009407A3" w:rsidRDefault="001821AC" w:rsidP="001821AC">
      <w:pPr>
        <w:pStyle w:val="ab"/>
      </w:pPr>
      <w:r w:rsidRPr="001821AC">
        <w:rPr>
          <w:noProof/>
        </w:rPr>
        <w:lastRenderedPageBreak/>
        <w:drawing>
          <wp:inline distT="0" distB="0" distL="0" distR="0" wp14:anchorId="380E0D5E" wp14:editId="4A46A4E5">
            <wp:extent cx="5731510" cy="1069340"/>
            <wp:effectExtent l="0" t="0" r="2540" b="0"/>
            <wp:docPr id="1551665010" name="그림 2" descr="텍스트, 라인, 폰트, 그래프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05D91BA7-7511-DF71-EBD7-380AB1A1F1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5010" name="그림 2" descr="텍스트, 라인, 폰트, 그래프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05D91BA7-7511-DF71-EBD7-380AB1A1F1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59E21" w14:textId="739D743E" w:rsidR="001821AC" w:rsidRPr="001821AC" w:rsidRDefault="001821AC" w:rsidP="001821AC">
      <w:pPr>
        <w:pStyle w:val="ab"/>
        <w:rPr>
          <w:rFonts w:ascii="Times New Roman" w:hAnsi="Times New Roman" w:cs="Times New Roman"/>
          <w:sz w:val="24"/>
          <w:szCs w:val="24"/>
        </w:rPr>
      </w:pPr>
      <w:r w:rsidRPr="001821AC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6</w:t>
      </w:r>
      <w:r w:rsidRPr="001821AC">
        <w:rPr>
          <w:rFonts w:ascii="Times New Roman" w:hAnsi="Times New Roman" w:cs="Times New Roman"/>
          <w:sz w:val="24"/>
          <w:szCs w:val="24"/>
        </w:rPr>
        <w:t>. Seasonal (May–September) Fire Radiative Power (FRP; red bars, left axis) and number of days with Fire Weather Index above the 90th-percentile threshold (blue line, right axis) for northern Canada</w:t>
      </w:r>
      <w:r w:rsidRPr="001821A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: </w:t>
      </w:r>
      <w:r w:rsidRPr="001821AC">
        <w:rPr>
          <w:rFonts w:ascii="Times New Roman" w:hAnsi="Times New Roman" w:cs="Times New Roman"/>
          <w:sz w:val="24"/>
          <w:szCs w:val="24"/>
        </w:rPr>
        <w:t xml:space="preserve">(a) </w:t>
      </w:r>
      <w:r w:rsidRPr="001821A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ALL, </w:t>
      </w:r>
      <w:r w:rsidRPr="001821AC">
        <w:rPr>
          <w:rFonts w:ascii="Times New Roman" w:hAnsi="Times New Roman" w:cs="Times New Roman"/>
          <w:sz w:val="24"/>
          <w:szCs w:val="24"/>
        </w:rPr>
        <w:t>(b)</w:t>
      </w:r>
      <w:r w:rsidRPr="001821A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Yukon, </w:t>
      </w:r>
      <w:r w:rsidRPr="001821AC">
        <w:rPr>
          <w:rFonts w:ascii="Times New Roman" w:hAnsi="Times New Roman" w:cs="Times New Roman"/>
          <w:sz w:val="24"/>
          <w:szCs w:val="24"/>
        </w:rPr>
        <w:t>(c)</w:t>
      </w:r>
      <w:r w:rsidRPr="001821A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Northwest Territories, </w:t>
      </w:r>
      <w:r w:rsidRPr="001821AC">
        <w:rPr>
          <w:rFonts w:ascii="Times New Roman" w:hAnsi="Times New Roman" w:cs="Times New Roman"/>
          <w:sz w:val="24"/>
          <w:szCs w:val="24"/>
        </w:rPr>
        <w:t>(d)</w:t>
      </w:r>
      <w:r w:rsidRPr="001821AC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Nunavut.</w:t>
      </w:r>
      <w:r w:rsidRPr="001821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F206D0" w14:textId="0BAAA92C" w:rsidR="00BA1AA3" w:rsidRDefault="00BA1AA3">
      <w:pPr>
        <w:spacing w:line="259" w:lineRule="auto"/>
      </w:pPr>
      <w:r>
        <w:br w:type="page"/>
      </w:r>
    </w:p>
    <w:p w14:paraId="2D28C3A5" w14:textId="4D67FD66" w:rsidR="009407A3" w:rsidRDefault="00BA1AA3" w:rsidP="00BA1AA3">
      <w:pPr>
        <w:pStyle w:val="ab"/>
      </w:pPr>
      <w:r w:rsidRPr="00BA1AA3">
        <w:rPr>
          <w:noProof/>
        </w:rPr>
        <w:lastRenderedPageBreak/>
        <w:drawing>
          <wp:inline distT="0" distB="0" distL="0" distR="0" wp14:anchorId="29711AE2" wp14:editId="7FCEB5E3">
            <wp:extent cx="5731510" cy="5011420"/>
            <wp:effectExtent l="0" t="0" r="2540" b="0"/>
            <wp:docPr id="9" name="그림 8" descr="텍스트, 라인, 도표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4175D34-BC90-CDF2-ED46-E3E0B583C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 descr="텍스트, 라인, 도표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4175D34-BC90-CDF2-ED46-E3E0B583C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C40FB" w14:textId="527907A1" w:rsidR="00BA1AA3" w:rsidRPr="00BA1AA3" w:rsidRDefault="00BA1AA3" w:rsidP="00BA1AA3">
      <w:pPr>
        <w:pStyle w:val="ab"/>
        <w:rPr>
          <w:rFonts w:ascii="Times New Roman" w:hAnsi="Times New Roman" w:cs="Times New Roman"/>
          <w:sz w:val="24"/>
          <w:szCs w:val="24"/>
        </w:rPr>
      </w:pPr>
      <w:r w:rsidRPr="00BA1AA3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7</w:t>
      </w:r>
      <w:r w:rsidRPr="00BA1AA3">
        <w:rPr>
          <w:rFonts w:ascii="Times New Roman" w:hAnsi="Times New Roman" w:cs="Times New Roman"/>
          <w:sz w:val="24"/>
          <w:szCs w:val="24"/>
        </w:rPr>
        <w:t xml:space="preserve">. Long-term trends (1999–2023) MTLR, UTLR , WS500 and dry lightning counts for (a) 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>ALL,</w:t>
      </w:r>
      <w:r w:rsidRPr="00BA1AA3">
        <w:rPr>
          <w:rFonts w:ascii="Times New Roman" w:hAnsi="Times New Roman" w:cs="Times New Roman"/>
          <w:sz w:val="24"/>
          <w:szCs w:val="24"/>
        </w:rPr>
        <w:t xml:space="preserve"> (b) 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>Yukon,</w:t>
      </w:r>
      <w:r w:rsidRPr="00BA1AA3">
        <w:rPr>
          <w:rFonts w:ascii="Times New Roman" w:hAnsi="Times New Roman" w:cs="Times New Roman"/>
          <w:sz w:val="24"/>
          <w:szCs w:val="24"/>
        </w:rPr>
        <w:t xml:space="preserve"> (c) 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>Northwest Territories, and</w:t>
      </w:r>
      <w:r w:rsidRPr="00BA1AA3">
        <w:rPr>
          <w:rFonts w:ascii="Times New Roman" w:hAnsi="Times New Roman" w:cs="Times New Roman"/>
          <w:sz w:val="24"/>
          <w:szCs w:val="24"/>
        </w:rPr>
        <w:t xml:space="preserve"> (d) 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>Nunavut.</w:t>
      </w:r>
      <w:r w:rsidRPr="00BA1AA3">
        <w:rPr>
          <w:rFonts w:ascii="Times New Roman" w:hAnsi="Times New Roman" w:cs="Times New Roman"/>
          <w:sz w:val="24"/>
          <w:szCs w:val="24"/>
        </w:rPr>
        <w:t xml:space="preserve"> 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Solid lines show annual seasonal means; dashed lines show ordinary-least-squares linear trend. The annotated slope values are shown on each panel, with </w:t>
      </w:r>
      <w:r w:rsidRPr="00BA1AA3">
        <w:rPr>
          <w:rFonts w:ascii="Times New Roman" w:hAnsi="Times New Roman" w:cs="Times New Roman"/>
          <w:sz w:val="24"/>
          <w:szCs w:val="24"/>
        </w:rPr>
        <w:t>boldface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an asterisk (</w:t>
      </w:r>
      <w:r w:rsidRPr="00BA1AA3">
        <w:rPr>
          <w:rFonts w:ascii="Times New Roman" w:hAnsi="Times New Roman" w:cs="Times New Roman"/>
          <w:sz w:val="24"/>
          <w:szCs w:val="24"/>
        </w:rPr>
        <w:t>*</w:t>
      </w:r>
      <w:r w:rsidRPr="00BA1AA3">
        <w:rPr>
          <w:rFonts w:ascii="Times New Roman" w:hAnsi="Times New Roman" w:cs="Times New Roman"/>
          <w:b w:val="0"/>
          <w:bCs w:val="0"/>
          <w:sz w:val="24"/>
          <w:szCs w:val="24"/>
        </w:rPr>
        <w:t>) indicating statistically significant trends (p &lt; 0.05).</w:t>
      </w:r>
    </w:p>
    <w:p w14:paraId="77720F69" w14:textId="6BD6DA5E" w:rsidR="00183AFE" w:rsidRDefault="00183AFE">
      <w:pPr>
        <w:spacing w:line="259" w:lineRule="auto"/>
      </w:pPr>
      <w:r>
        <w:br w:type="page"/>
      </w:r>
    </w:p>
    <w:p w14:paraId="2C8436E5" w14:textId="0F030005" w:rsidR="00BA1AA3" w:rsidRPr="00183AFE" w:rsidRDefault="00183AFE" w:rsidP="00183AFE">
      <w:pPr>
        <w:pStyle w:val="ab"/>
        <w:rPr>
          <w:rFonts w:ascii="Times New Roman" w:hAnsi="Times New Roman" w:cs="Times New Roman"/>
          <w:i/>
          <w:iCs/>
          <w:sz w:val="24"/>
          <w:szCs w:val="24"/>
        </w:rPr>
      </w:pPr>
      <w:r w:rsidRPr="00183AFE">
        <w:rPr>
          <w:rFonts w:ascii="Times New Roman" w:hAnsi="Times New Roman"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012467FB" wp14:editId="227E11A9">
            <wp:extent cx="5731510" cy="3757295"/>
            <wp:effectExtent l="0" t="0" r="2540" b="0"/>
            <wp:docPr id="7" name="그림 6" descr="텍스트, 친필, 도표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527C9107-A458-6619-64F1-E91F45589D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텍스트, 친필, 도표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527C9107-A458-6619-64F1-E91F45589D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44DC" w14:textId="4AA1A47F" w:rsidR="000F4492" w:rsidRDefault="00183AFE" w:rsidP="00183AFE">
      <w:pPr>
        <w:pStyle w:val="ab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183AFE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8</w:t>
      </w:r>
      <w:r w:rsidRPr="00183AFE">
        <w:rPr>
          <w:rFonts w:ascii="Times New Roman" w:hAnsi="Times New Roman" w:cs="Times New Roman"/>
          <w:sz w:val="24"/>
          <w:szCs w:val="24"/>
        </w:rPr>
        <w:t xml:space="preserve">. Long-term trends (1999–2023) DD850 and dry lightning counts for (a) 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>ALL,</w:t>
      </w:r>
      <w:r w:rsidRPr="00183AFE">
        <w:rPr>
          <w:rFonts w:ascii="Times New Roman" w:hAnsi="Times New Roman" w:cs="Times New Roman"/>
          <w:sz w:val="24"/>
          <w:szCs w:val="24"/>
        </w:rPr>
        <w:t xml:space="preserve"> (b) 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>Yukon,</w:t>
      </w:r>
      <w:r w:rsidRPr="00183AFE">
        <w:rPr>
          <w:rFonts w:ascii="Times New Roman" w:hAnsi="Times New Roman" w:cs="Times New Roman"/>
          <w:sz w:val="24"/>
          <w:szCs w:val="24"/>
        </w:rPr>
        <w:t xml:space="preserve"> (c) 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>Northwest Territories, and</w:t>
      </w:r>
      <w:r w:rsidRPr="00183AFE">
        <w:rPr>
          <w:rFonts w:ascii="Times New Roman" w:hAnsi="Times New Roman" w:cs="Times New Roman"/>
          <w:sz w:val="24"/>
          <w:szCs w:val="24"/>
        </w:rPr>
        <w:t xml:space="preserve"> (d) 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Nunavut. Solid lines show annual seasonal means; dashed lines show ordinary-least-squares linear trend. The annotated slope values are shown on each panel, with </w:t>
      </w:r>
      <w:r w:rsidRPr="00183AFE">
        <w:rPr>
          <w:rFonts w:ascii="Times New Roman" w:hAnsi="Times New Roman" w:cs="Times New Roman"/>
          <w:sz w:val="24"/>
          <w:szCs w:val="24"/>
        </w:rPr>
        <w:t>boldface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an asterisk (</w:t>
      </w:r>
      <w:r w:rsidRPr="00183AFE">
        <w:rPr>
          <w:rFonts w:ascii="Times New Roman" w:hAnsi="Times New Roman" w:cs="Times New Roman"/>
          <w:sz w:val="24"/>
          <w:szCs w:val="24"/>
        </w:rPr>
        <w:t>*</w:t>
      </w:r>
      <w:r w:rsidRPr="00183AFE">
        <w:rPr>
          <w:rFonts w:ascii="Times New Roman" w:hAnsi="Times New Roman" w:cs="Times New Roman"/>
          <w:b w:val="0"/>
          <w:bCs w:val="0"/>
          <w:sz w:val="24"/>
          <w:szCs w:val="24"/>
        </w:rPr>
        <w:t>) indicating statistically significant trends (p &lt; 0.05).</w:t>
      </w:r>
    </w:p>
    <w:p w14:paraId="39442546" w14:textId="77777777" w:rsidR="000F4492" w:rsidRDefault="000F449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2DF7C8" w14:textId="7B0596AE" w:rsidR="000F4492" w:rsidRPr="000F4492" w:rsidRDefault="000F4492" w:rsidP="000F4492">
      <w:pPr>
        <w:pStyle w:val="ab"/>
      </w:pPr>
      <w:r w:rsidRPr="000F4492">
        <w:rPr>
          <w:noProof/>
        </w:rPr>
        <w:lastRenderedPageBreak/>
        <w:drawing>
          <wp:inline distT="0" distB="0" distL="0" distR="0" wp14:anchorId="62FA656D" wp14:editId="28B8CA65">
            <wp:extent cx="5422517" cy="5520811"/>
            <wp:effectExtent l="0" t="0" r="6985" b="3810"/>
            <wp:docPr id="2" name="그림 1" descr="텍스트, 스크린샷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31B9906A-C01A-D0F8-3505-72B4518A61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텍스트, 스크린샷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31B9906A-C01A-D0F8-3505-72B4518A61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2517" cy="552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492">
        <w:t xml:space="preserve"> </w:t>
      </w:r>
      <w:r w:rsidRPr="000F4492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9</w:t>
      </w:r>
      <w:r w:rsidRPr="000F4492">
        <w:rPr>
          <w:rFonts w:ascii="Times New Roman" w:hAnsi="Times New Roman" w:cs="Times New Roman"/>
          <w:sz w:val="24"/>
          <w:szCs w:val="24"/>
        </w:rPr>
        <w:t>. Spatial patterns of dry-lightning flash counts anomalies across northern Canada in 2023</w:t>
      </w:r>
      <w:r w:rsidR="000C1D38" w:rsidRPr="000C1D38">
        <w:rPr>
          <w:rFonts w:ascii="Times New Roman" w:hAnsi="Times New Roman" w:cs="Times New Roman"/>
          <w:sz w:val="24"/>
          <w:szCs w:val="24"/>
        </w:rPr>
        <w:t xml:space="preserve">, relative to the 1999–2022 climatology. </w:t>
      </w:r>
      <w:r w:rsidRPr="000F4492">
        <w:rPr>
          <w:rFonts w:ascii="Times New Roman" w:hAnsi="Times New Roman" w:cs="Times New Roman"/>
          <w:sz w:val="24"/>
          <w:szCs w:val="24"/>
        </w:rPr>
        <w:t>(a)</w:t>
      </w:r>
      <w:r w:rsidRPr="000F449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May–September mean, and for each month from May to September </w:t>
      </w:r>
      <w:r w:rsidRPr="000F4492">
        <w:rPr>
          <w:rFonts w:ascii="Times New Roman" w:hAnsi="Times New Roman" w:cs="Times New Roman"/>
          <w:sz w:val="24"/>
          <w:szCs w:val="24"/>
        </w:rPr>
        <w:t>(b–f)</w:t>
      </w:r>
      <w:r w:rsidRPr="000F4492">
        <w:rPr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0F4492">
        <w:rPr>
          <w:rFonts w:ascii="Times New Roman" w:hAnsi="Times New Roman" w:cs="Times New Roman"/>
          <w:sz w:val="24"/>
          <w:szCs w:val="24"/>
        </w:rPr>
        <w:t xml:space="preserve"> </w:t>
      </w:r>
      <w:r w:rsidRPr="000F4492">
        <w:rPr>
          <w:rFonts w:ascii="Times New Roman" w:hAnsi="Times New Roman" w:cs="Times New Roman"/>
          <w:b w:val="0"/>
          <w:bCs w:val="0"/>
          <w:sz w:val="24"/>
          <w:szCs w:val="24"/>
        </w:rPr>
        <w:t>Color shading denotes flashes anomaly per grid cell.</w:t>
      </w:r>
    </w:p>
    <w:p w14:paraId="787B295B" w14:textId="349322FA" w:rsidR="0098583F" w:rsidRDefault="0098583F">
      <w:pPr>
        <w:spacing w:line="259" w:lineRule="auto"/>
      </w:pPr>
      <w:r>
        <w:br w:type="page"/>
      </w:r>
    </w:p>
    <w:p w14:paraId="0BB1A26C" w14:textId="7A45458A" w:rsidR="00183AFE" w:rsidRPr="0098583F" w:rsidRDefault="0098583F" w:rsidP="0098583F">
      <w:pPr>
        <w:pStyle w:val="ab"/>
        <w:rPr>
          <w:rFonts w:ascii="Times New Roman" w:hAnsi="Times New Roman" w:cs="Times New Roman"/>
          <w:sz w:val="24"/>
          <w:szCs w:val="24"/>
        </w:rPr>
      </w:pPr>
      <w:r w:rsidRPr="0098583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89A735" wp14:editId="72620883">
            <wp:extent cx="5448855" cy="5559972"/>
            <wp:effectExtent l="0" t="0" r="0" b="3175"/>
            <wp:docPr id="1450710248" name="그림 2" descr="텍스트, 스크린샷, 지도, 아쿠아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799C8AD-B33B-9D1A-6DCF-9042A894AA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10248" name="그림 2" descr="텍스트, 스크린샷, 지도, 아쿠아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4799C8AD-B33B-9D1A-6DCF-9042A894AA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855" cy="555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FA37" w14:textId="65894608" w:rsidR="00C368AF" w:rsidRDefault="0098583F" w:rsidP="00C368AF">
      <w:pPr>
        <w:pStyle w:val="ab"/>
        <w:rPr>
          <w:rFonts w:ascii="Times New Roman" w:hAnsi="Times New Roman" w:cs="Times New Roman"/>
          <w:sz w:val="24"/>
          <w:szCs w:val="24"/>
        </w:rPr>
      </w:pPr>
      <w:r w:rsidRPr="0098583F">
        <w:rPr>
          <w:rFonts w:ascii="Times New Roman" w:hAnsi="Times New Roman" w:cs="Times New Roman"/>
          <w:sz w:val="24"/>
          <w:szCs w:val="24"/>
        </w:rPr>
        <w:t>Figure S</w:t>
      </w:r>
      <w:r w:rsidR="0041224A">
        <w:rPr>
          <w:rFonts w:ascii="Times New Roman" w:hAnsi="Times New Roman" w:cs="Times New Roman" w:hint="eastAsia"/>
          <w:sz w:val="24"/>
          <w:szCs w:val="24"/>
        </w:rPr>
        <w:t>10</w:t>
      </w:r>
      <w:r w:rsidRPr="0098583F">
        <w:rPr>
          <w:rFonts w:ascii="Times New Roman" w:hAnsi="Times New Roman" w:cs="Times New Roman"/>
          <w:sz w:val="24"/>
          <w:szCs w:val="24"/>
        </w:rPr>
        <w:t>. Spatial distribution of 2023 mid-tropospheric moisture (Q700–500, g kg⁻¹) anomalies</w:t>
      </w:r>
      <w:r w:rsidR="000C1D38" w:rsidRPr="000C1D38">
        <w:rPr>
          <w:rFonts w:ascii="Times New Roman" w:hAnsi="Times New Roman" w:cs="Times New Roman"/>
          <w:sz w:val="24"/>
          <w:szCs w:val="24"/>
        </w:rPr>
        <w:t>, relative to the 1999–2022 climatology.</w:t>
      </w:r>
      <w:r w:rsidRPr="0098583F">
        <w:rPr>
          <w:rFonts w:ascii="Times New Roman" w:hAnsi="Times New Roman" w:cs="Times New Roman"/>
          <w:sz w:val="24"/>
          <w:szCs w:val="24"/>
        </w:rPr>
        <w:t xml:space="preserve"> </w:t>
      </w:r>
      <w:r w:rsidRPr="00C368AF">
        <w:rPr>
          <w:rFonts w:ascii="Times New Roman" w:hAnsi="Times New Roman" w:cs="Times New Roman"/>
          <w:b w:val="0"/>
          <w:bCs w:val="0"/>
          <w:sz w:val="24"/>
          <w:szCs w:val="24"/>
        </w:rPr>
        <w:t>averaged over May–September</w:t>
      </w:r>
      <w:r w:rsidRPr="0098583F">
        <w:rPr>
          <w:rFonts w:ascii="Times New Roman" w:hAnsi="Times New Roman" w:cs="Times New Roman"/>
          <w:sz w:val="24"/>
          <w:szCs w:val="24"/>
        </w:rPr>
        <w:t xml:space="preserve"> (a) </w:t>
      </w:r>
      <w:r w:rsidRPr="00C368AF">
        <w:rPr>
          <w:rFonts w:ascii="Times New Roman" w:hAnsi="Times New Roman" w:cs="Times New Roman"/>
          <w:b w:val="0"/>
          <w:bCs w:val="0"/>
          <w:sz w:val="24"/>
          <w:szCs w:val="24"/>
        </w:rPr>
        <w:t>and for each month from May to September</w:t>
      </w:r>
      <w:r w:rsidRPr="0098583F">
        <w:rPr>
          <w:rFonts w:ascii="Times New Roman" w:hAnsi="Times New Roman" w:cs="Times New Roman"/>
          <w:sz w:val="24"/>
          <w:szCs w:val="24"/>
        </w:rPr>
        <w:t xml:space="preserve"> (b–f). </w:t>
      </w:r>
    </w:p>
    <w:p w14:paraId="54F40A18" w14:textId="77777777" w:rsidR="00C368AF" w:rsidRDefault="00C368AF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65262F" w14:textId="7A29F3AC" w:rsidR="0098583F" w:rsidRPr="00C368AF" w:rsidRDefault="00C368AF" w:rsidP="00C368AF">
      <w:pPr>
        <w:pStyle w:val="ab"/>
        <w:rPr>
          <w:rFonts w:ascii="Times New Roman" w:hAnsi="Times New Roman" w:cs="Times New Roman"/>
          <w:sz w:val="24"/>
          <w:szCs w:val="24"/>
        </w:rPr>
      </w:pPr>
      <w:r w:rsidRPr="00C368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089A72" wp14:editId="49C471DB">
            <wp:extent cx="5731510" cy="5847715"/>
            <wp:effectExtent l="0" t="0" r="2540" b="635"/>
            <wp:docPr id="612342337" name="그림 2" descr="텍스트, 스크린샷, 레드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2459AFB-CB40-A532-41E2-294D3A4F1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42337" name="그림 2" descr="텍스트, 스크린샷, 레드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2459AFB-CB40-A532-41E2-294D3A4F12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395E" w14:textId="52536E1B" w:rsidR="00C368AF" w:rsidRPr="00C368AF" w:rsidRDefault="00C368AF" w:rsidP="00C368AF">
      <w:pPr>
        <w:pStyle w:val="ab"/>
        <w:rPr>
          <w:rFonts w:ascii="Times New Roman" w:hAnsi="Times New Roman" w:cs="Times New Roman"/>
          <w:sz w:val="24"/>
          <w:szCs w:val="24"/>
        </w:rPr>
      </w:pPr>
      <w:r w:rsidRPr="00C368AF">
        <w:rPr>
          <w:rFonts w:ascii="Times New Roman" w:hAnsi="Times New Roman" w:cs="Times New Roman"/>
          <w:sz w:val="24"/>
          <w:szCs w:val="24"/>
        </w:rPr>
        <w:t>Figure S1</w:t>
      </w:r>
      <w:r w:rsidR="0041224A">
        <w:rPr>
          <w:rFonts w:ascii="Times New Roman" w:hAnsi="Times New Roman" w:cs="Times New Roman" w:hint="eastAsia"/>
          <w:sz w:val="24"/>
          <w:szCs w:val="24"/>
        </w:rPr>
        <w:t>1</w:t>
      </w:r>
      <w:r w:rsidRPr="00C368AF">
        <w:rPr>
          <w:rFonts w:ascii="Times New Roman" w:hAnsi="Times New Roman" w:cs="Times New Roman"/>
          <w:sz w:val="24"/>
          <w:szCs w:val="24"/>
        </w:rPr>
        <w:t>. Spatial distribution of 2023 near-surface air temperature (T2m) anomalies</w:t>
      </w:r>
      <w:r w:rsidR="000C1D38" w:rsidRPr="000C1D38">
        <w:rPr>
          <w:rFonts w:ascii="Times New Roman" w:hAnsi="Times New Roman" w:cs="Times New Roman"/>
          <w:sz w:val="24"/>
          <w:szCs w:val="24"/>
        </w:rPr>
        <w:t>, relative to the 1999–2022 climatology.</w:t>
      </w:r>
      <w:r w:rsidRPr="00C368AF">
        <w:rPr>
          <w:rFonts w:ascii="Times New Roman" w:hAnsi="Times New Roman" w:cs="Times New Roman"/>
          <w:sz w:val="24"/>
          <w:szCs w:val="24"/>
        </w:rPr>
        <w:t xml:space="preserve"> </w:t>
      </w:r>
      <w:r w:rsidRPr="00C368AF">
        <w:rPr>
          <w:rFonts w:ascii="Times New Roman" w:hAnsi="Times New Roman" w:cs="Times New Roman"/>
          <w:b w:val="0"/>
          <w:bCs w:val="0"/>
          <w:sz w:val="24"/>
          <w:szCs w:val="24"/>
        </w:rPr>
        <w:t>averaged over May–September</w:t>
      </w:r>
      <w:r w:rsidRPr="00C368AF">
        <w:rPr>
          <w:rFonts w:ascii="Times New Roman" w:hAnsi="Times New Roman" w:cs="Times New Roman"/>
          <w:sz w:val="24"/>
          <w:szCs w:val="24"/>
        </w:rPr>
        <w:t xml:space="preserve"> (a) </w:t>
      </w:r>
      <w:r w:rsidRPr="00C368AF">
        <w:rPr>
          <w:rFonts w:ascii="Times New Roman" w:hAnsi="Times New Roman" w:cs="Times New Roman"/>
          <w:b w:val="0"/>
          <w:bCs w:val="0"/>
          <w:sz w:val="24"/>
          <w:szCs w:val="24"/>
        </w:rPr>
        <w:t>and for each month from May to September</w:t>
      </w:r>
      <w:r w:rsidRPr="00C368AF">
        <w:rPr>
          <w:rFonts w:ascii="Times New Roman" w:hAnsi="Times New Roman" w:cs="Times New Roman"/>
          <w:sz w:val="24"/>
          <w:szCs w:val="24"/>
        </w:rPr>
        <w:t xml:space="preserve"> (b–f). </w:t>
      </w:r>
    </w:p>
    <w:p w14:paraId="68BE98DB" w14:textId="7280D16F" w:rsidR="003208BD" w:rsidRDefault="003208BD">
      <w:pPr>
        <w:spacing w:line="259" w:lineRule="auto"/>
      </w:pPr>
      <w:r>
        <w:br w:type="page"/>
      </w:r>
    </w:p>
    <w:p w14:paraId="52EF7D8B" w14:textId="13C43F18" w:rsidR="00C368AF" w:rsidRPr="003208BD" w:rsidRDefault="003208BD" w:rsidP="003208BD">
      <w:pPr>
        <w:pStyle w:val="ab"/>
        <w:rPr>
          <w:rFonts w:ascii="Times New Roman" w:hAnsi="Times New Roman" w:cs="Times New Roman"/>
          <w:sz w:val="24"/>
          <w:szCs w:val="24"/>
        </w:rPr>
      </w:pPr>
      <w:r w:rsidRPr="003208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B52DD8" wp14:editId="6C6E86E6">
            <wp:extent cx="5731510" cy="2531745"/>
            <wp:effectExtent l="0" t="0" r="2540" b="1905"/>
            <wp:docPr id="1597191180" name="그림 2" descr="텍스트, 일러스트레이션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492D9BC9-BB97-B779-BBA6-27864ADABA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 descr="텍스트, 일러스트레이션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492D9BC9-BB97-B779-BBA6-27864ADABA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70A6" w14:textId="435C9A2E" w:rsidR="002071DD" w:rsidRDefault="003208BD" w:rsidP="002071DD">
      <w:pPr>
        <w:pStyle w:val="ab"/>
        <w:rPr>
          <w:rFonts w:ascii="Times New Roman" w:hAnsi="Times New Roman" w:cs="Times New Roman"/>
          <w:sz w:val="24"/>
          <w:szCs w:val="24"/>
        </w:rPr>
      </w:pPr>
      <w:r w:rsidRPr="003208BD">
        <w:rPr>
          <w:rFonts w:ascii="Times New Roman" w:hAnsi="Times New Roman" w:cs="Times New Roman"/>
          <w:sz w:val="24"/>
          <w:szCs w:val="24"/>
        </w:rPr>
        <w:t>Figure S1</w:t>
      </w:r>
      <w:r w:rsidR="0041224A">
        <w:rPr>
          <w:rFonts w:ascii="Times New Roman" w:hAnsi="Times New Roman" w:cs="Times New Roman" w:hint="eastAsia"/>
          <w:sz w:val="24"/>
          <w:szCs w:val="24"/>
        </w:rPr>
        <w:t>2</w:t>
      </w:r>
      <w:r w:rsidRPr="003208BD">
        <w:rPr>
          <w:rFonts w:ascii="Times New Roman" w:hAnsi="Times New Roman" w:cs="Times New Roman"/>
          <w:sz w:val="24"/>
          <w:szCs w:val="24"/>
        </w:rPr>
        <w:t xml:space="preserve">. Composite (a–d) and spatial window correlation (d–e) maps of four environmental variables associated with dry-lightning mechanisms (May–September): </w:t>
      </w:r>
      <w:r w:rsidRPr="003208BD">
        <w:rPr>
          <w:rFonts w:ascii="Times New Roman" w:hAnsi="Times New Roman" w:cs="Times New Roman"/>
          <w:b w:val="0"/>
          <w:bCs w:val="0"/>
          <w:sz w:val="24"/>
          <w:szCs w:val="24"/>
        </w:rPr>
        <w:t>MTLR</w:t>
      </w:r>
      <w:r w:rsidRPr="003208BD">
        <w:rPr>
          <w:rFonts w:ascii="Times New Roman" w:hAnsi="Times New Roman" w:cs="Times New Roman"/>
          <w:sz w:val="24"/>
          <w:szCs w:val="24"/>
        </w:rPr>
        <w:t xml:space="preserve"> (a, e) , </w:t>
      </w:r>
      <w:r w:rsidRPr="003208BD">
        <w:rPr>
          <w:rFonts w:ascii="Times New Roman" w:hAnsi="Times New Roman" w:cs="Times New Roman"/>
          <w:b w:val="0"/>
          <w:bCs w:val="0"/>
          <w:sz w:val="24"/>
          <w:szCs w:val="24"/>
        </w:rPr>
        <w:t>UTLR</w:t>
      </w:r>
      <w:r w:rsidRPr="003208BD">
        <w:rPr>
          <w:rFonts w:ascii="Times New Roman" w:hAnsi="Times New Roman" w:cs="Times New Roman"/>
          <w:sz w:val="24"/>
          <w:szCs w:val="24"/>
        </w:rPr>
        <w:t xml:space="preserve"> (b, f), </w:t>
      </w:r>
      <w:r w:rsidRPr="003208BD">
        <w:rPr>
          <w:rFonts w:ascii="Times New Roman" w:hAnsi="Times New Roman" w:cs="Times New Roman"/>
          <w:b w:val="0"/>
          <w:bCs w:val="0"/>
          <w:sz w:val="24"/>
          <w:szCs w:val="24"/>
        </w:rPr>
        <w:t>WS500</w:t>
      </w:r>
      <w:r w:rsidRPr="003208BD">
        <w:rPr>
          <w:rFonts w:ascii="Times New Roman" w:hAnsi="Times New Roman" w:cs="Times New Roman"/>
          <w:sz w:val="24"/>
          <w:szCs w:val="24"/>
        </w:rPr>
        <w:t xml:space="preserve"> (c, g) </w:t>
      </w:r>
      <w:r w:rsidRPr="003208BD">
        <w:rPr>
          <w:rFonts w:ascii="Times New Roman" w:hAnsi="Times New Roman" w:cs="Times New Roman"/>
          <w:b w:val="0"/>
          <w:bCs w:val="0"/>
          <w:sz w:val="24"/>
          <w:szCs w:val="24"/>
        </w:rPr>
        <w:t>and</w:t>
      </w:r>
      <w:r w:rsidRPr="003208BD">
        <w:rPr>
          <w:rFonts w:ascii="Times New Roman" w:hAnsi="Times New Roman" w:cs="Times New Roman"/>
          <w:sz w:val="24"/>
          <w:szCs w:val="24"/>
        </w:rPr>
        <w:t xml:space="preserve"> </w:t>
      </w:r>
      <w:r w:rsidRPr="003208BD">
        <w:rPr>
          <w:rFonts w:ascii="Times New Roman" w:hAnsi="Times New Roman" w:cs="Times New Roman"/>
          <w:b w:val="0"/>
          <w:bCs w:val="0"/>
          <w:sz w:val="24"/>
          <w:szCs w:val="24"/>
        </w:rPr>
        <w:t>DD850</w:t>
      </w:r>
      <w:r w:rsidRPr="003208BD">
        <w:rPr>
          <w:rFonts w:ascii="Times New Roman" w:hAnsi="Times New Roman" w:cs="Times New Roman"/>
          <w:sz w:val="24"/>
          <w:szCs w:val="24"/>
        </w:rPr>
        <w:t xml:space="preserve"> (d, h).</w:t>
      </w:r>
    </w:p>
    <w:p w14:paraId="7D7E97F5" w14:textId="77777777" w:rsidR="002071DD" w:rsidRDefault="002071DD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0B9D2D" w14:textId="59D7083E" w:rsidR="003208BD" w:rsidRPr="002071DD" w:rsidRDefault="002071DD" w:rsidP="002071DD">
      <w:pPr>
        <w:pStyle w:val="ab"/>
        <w:rPr>
          <w:rFonts w:ascii="Times New Roman" w:hAnsi="Times New Roman" w:cs="Times New Roman"/>
          <w:sz w:val="24"/>
          <w:szCs w:val="24"/>
        </w:rPr>
      </w:pPr>
      <w:r w:rsidRPr="002071D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641DF9" wp14:editId="30D5B736">
            <wp:extent cx="5731510" cy="4562475"/>
            <wp:effectExtent l="0" t="0" r="2540" b="9525"/>
            <wp:docPr id="6" name="그림 5" descr="텍스트, 친필, 도표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79180675-7796-A04A-8EB4-B2591C8B0F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 descr="텍스트, 친필, 도표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79180675-7796-A04A-8EB4-B2591C8B0F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EB5E" w14:textId="058A32AD" w:rsidR="006E1CEE" w:rsidRDefault="002071DD" w:rsidP="006E1CEE">
      <w:pPr>
        <w:pStyle w:val="ab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071DD">
        <w:rPr>
          <w:rFonts w:ascii="Times New Roman" w:hAnsi="Times New Roman" w:cs="Times New Roman"/>
          <w:sz w:val="24"/>
          <w:szCs w:val="24"/>
        </w:rPr>
        <w:t>Figure S1</w:t>
      </w:r>
      <w:r w:rsidR="0041224A">
        <w:rPr>
          <w:rFonts w:ascii="Times New Roman" w:hAnsi="Times New Roman" w:cs="Times New Roman" w:hint="eastAsia"/>
          <w:sz w:val="24"/>
          <w:szCs w:val="24"/>
        </w:rPr>
        <w:t>3</w:t>
      </w:r>
      <w:r w:rsidRPr="002071DD">
        <w:rPr>
          <w:rFonts w:ascii="Times New Roman" w:hAnsi="Times New Roman" w:cs="Times New Roman"/>
          <w:sz w:val="24"/>
          <w:szCs w:val="24"/>
        </w:rPr>
        <w:t xml:space="preserve">. May–September anomalies (1980–2023) of temperature (t, red; right axis) and relative humidity (RH, blue; left axis) at 1000 </w:t>
      </w:r>
      <w:proofErr w:type="spellStart"/>
      <w:r w:rsidRPr="002071DD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2071DD">
        <w:rPr>
          <w:rFonts w:ascii="Times New Roman" w:hAnsi="Times New Roman" w:cs="Times New Roman"/>
          <w:sz w:val="24"/>
          <w:szCs w:val="24"/>
        </w:rPr>
        <w:t xml:space="preserve"> (dark hues; near-surface) and 700 </w:t>
      </w:r>
      <w:proofErr w:type="spellStart"/>
      <w:r w:rsidRPr="002071DD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2071DD">
        <w:rPr>
          <w:rFonts w:ascii="Times New Roman" w:hAnsi="Times New Roman" w:cs="Times New Roman"/>
          <w:sz w:val="24"/>
          <w:szCs w:val="24"/>
        </w:rPr>
        <w:t xml:space="preserve"> (light hues; mid-troposphere) for (a) 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>ALL,</w:t>
      </w:r>
      <w:r w:rsidRPr="002071DD">
        <w:rPr>
          <w:rFonts w:ascii="Times New Roman" w:hAnsi="Times New Roman" w:cs="Times New Roman"/>
          <w:sz w:val="24"/>
          <w:szCs w:val="24"/>
        </w:rPr>
        <w:t xml:space="preserve"> (b) 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>Yukon,</w:t>
      </w:r>
      <w:r w:rsidRPr="002071DD">
        <w:rPr>
          <w:rFonts w:ascii="Times New Roman" w:hAnsi="Times New Roman" w:cs="Times New Roman"/>
          <w:sz w:val="24"/>
          <w:szCs w:val="24"/>
        </w:rPr>
        <w:t xml:space="preserve"> (c) 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>Northwest Territories, and</w:t>
      </w:r>
      <w:r w:rsidRPr="002071DD">
        <w:rPr>
          <w:rFonts w:ascii="Times New Roman" w:hAnsi="Times New Roman" w:cs="Times New Roman"/>
          <w:sz w:val="24"/>
          <w:szCs w:val="24"/>
        </w:rPr>
        <w:t xml:space="preserve"> (d) 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>Nunavut.</w:t>
      </w:r>
      <w:r w:rsidRPr="002071DD">
        <w:rPr>
          <w:rFonts w:ascii="Times New Roman" w:hAnsi="Times New Roman" w:cs="Times New Roman"/>
          <w:sz w:val="24"/>
          <w:szCs w:val="24"/>
        </w:rPr>
        <w:t xml:space="preserve"> 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Solid lines indicate annual anomalies, and dashed lines represent linear trends. </w:t>
      </w:r>
      <w:r w:rsidRPr="002071DD">
        <w:rPr>
          <w:rFonts w:ascii="Times New Roman" w:hAnsi="Times New Roman" w:cs="Times New Roman"/>
          <w:sz w:val="24"/>
          <w:szCs w:val="24"/>
        </w:rPr>
        <w:t>Boldface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an asterisk (</w:t>
      </w:r>
      <w:r w:rsidRPr="002071DD">
        <w:rPr>
          <w:rFonts w:ascii="Times New Roman" w:hAnsi="Times New Roman" w:cs="Times New Roman"/>
          <w:sz w:val="24"/>
          <w:szCs w:val="24"/>
        </w:rPr>
        <w:t>*</w:t>
      </w:r>
      <w:r w:rsidRPr="002071DD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denote statistically significant slopes (p &lt; 0.05). </w:t>
      </w:r>
    </w:p>
    <w:p w14:paraId="34DD7C58" w14:textId="77777777" w:rsidR="006E1CEE" w:rsidRDefault="006E1CE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2C4AE5" w14:textId="3AE4D28A" w:rsidR="002071DD" w:rsidRPr="006E1CEE" w:rsidRDefault="006E1CEE" w:rsidP="006E1CEE">
      <w:pPr>
        <w:pStyle w:val="ab"/>
        <w:rPr>
          <w:rFonts w:ascii="Times New Roman" w:hAnsi="Times New Roman" w:cs="Times New Roman"/>
          <w:sz w:val="24"/>
          <w:szCs w:val="24"/>
        </w:rPr>
      </w:pPr>
      <w:r w:rsidRPr="006E1CE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6DC7B4" wp14:editId="5ABD763B">
            <wp:extent cx="5731510" cy="3512820"/>
            <wp:effectExtent l="0" t="0" r="2540" b="0"/>
            <wp:docPr id="607814231" name="그림 3" descr="텍스트, 스크린샷, 평행, 폰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84267DD-D580-304D-B4D5-CC9814C580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14231" name="그림 3" descr="텍스트, 스크린샷, 평행, 폰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84267DD-D580-304D-B4D5-CC9814C580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9D79" w14:textId="62D69D9D" w:rsidR="006E1CEE" w:rsidRPr="006E1CEE" w:rsidRDefault="006E1CEE" w:rsidP="006E1CEE">
      <w:pPr>
        <w:pStyle w:val="ab"/>
        <w:rPr>
          <w:rFonts w:ascii="Times New Roman" w:hAnsi="Times New Roman" w:cs="Times New Roman"/>
          <w:sz w:val="24"/>
          <w:szCs w:val="24"/>
        </w:rPr>
      </w:pPr>
      <w:r w:rsidRPr="006E1CEE">
        <w:rPr>
          <w:rFonts w:ascii="Times New Roman" w:hAnsi="Times New Roman" w:cs="Times New Roman"/>
          <w:sz w:val="24"/>
          <w:szCs w:val="24"/>
        </w:rPr>
        <w:t>Figure S1</w:t>
      </w:r>
      <w:r w:rsidR="0041224A">
        <w:rPr>
          <w:rFonts w:ascii="Times New Roman" w:hAnsi="Times New Roman" w:cs="Times New Roman" w:hint="eastAsia"/>
          <w:sz w:val="24"/>
          <w:szCs w:val="24"/>
        </w:rPr>
        <w:t>4</w:t>
      </w:r>
      <w:r w:rsidRPr="006E1CEE">
        <w:rPr>
          <w:rFonts w:ascii="Times New Roman" w:hAnsi="Times New Roman" w:cs="Times New Roman"/>
          <w:sz w:val="24"/>
          <w:szCs w:val="24"/>
        </w:rPr>
        <w:t xml:space="preserve">. Projected trends in mid-tropospheric moisture (Q700–500), near-surface temperature (T2m), and relative humidity (RH) from 2023 to 2100 under the SSP2-4.5 scenario in the three northern territories of Canada (Yukon, Northwest Territories, and Nunavut). </w:t>
      </w:r>
      <w:r w:rsidRPr="006E1C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The annotated slope values are shown on each panel, with </w:t>
      </w:r>
      <w:r w:rsidRPr="006E1CEE">
        <w:rPr>
          <w:rFonts w:ascii="Times New Roman" w:hAnsi="Times New Roman" w:cs="Times New Roman"/>
          <w:sz w:val="24"/>
          <w:szCs w:val="24"/>
        </w:rPr>
        <w:t>boldface</w:t>
      </w:r>
      <w:r w:rsidRPr="006E1CEE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and an asterisk (</w:t>
      </w:r>
      <w:r w:rsidRPr="006E1CEE">
        <w:rPr>
          <w:rFonts w:ascii="Times New Roman" w:hAnsi="Times New Roman" w:cs="Times New Roman"/>
          <w:sz w:val="24"/>
          <w:szCs w:val="24"/>
        </w:rPr>
        <w:t>*</w:t>
      </w:r>
      <w:r w:rsidRPr="006E1CEE">
        <w:rPr>
          <w:rFonts w:ascii="Times New Roman" w:hAnsi="Times New Roman" w:cs="Times New Roman"/>
          <w:b w:val="0"/>
          <w:bCs w:val="0"/>
          <w:sz w:val="24"/>
          <w:szCs w:val="24"/>
        </w:rPr>
        <w:t>) indicating statistically significant trends (p &lt; 0.05).</w:t>
      </w:r>
    </w:p>
    <w:p w14:paraId="56FB159D" w14:textId="77777777" w:rsidR="006E1CEE" w:rsidRPr="006E1CEE" w:rsidRDefault="006E1CEE" w:rsidP="006E1CEE"/>
    <w:sectPr w:rsidR="006E1CEE" w:rsidRPr="006E1CEE" w:rsidSect="001116E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47619" w14:textId="77777777" w:rsidR="004C5B35" w:rsidRDefault="004C5B35" w:rsidP="00ED33AA">
      <w:pPr>
        <w:spacing w:after="0" w:line="240" w:lineRule="auto"/>
      </w:pPr>
      <w:r>
        <w:separator/>
      </w:r>
    </w:p>
  </w:endnote>
  <w:endnote w:type="continuationSeparator" w:id="0">
    <w:p w14:paraId="4D172745" w14:textId="77777777" w:rsidR="004C5B35" w:rsidRDefault="004C5B35" w:rsidP="00ED3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937A5" w14:textId="77777777" w:rsidR="004C5B35" w:rsidRDefault="004C5B35" w:rsidP="00ED33AA">
      <w:pPr>
        <w:spacing w:after="0" w:line="240" w:lineRule="auto"/>
      </w:pPr>
      <w:r>
        <w:separator/>
      </w:r>
    </w:p>
  </w:footnote>
  <w:footnote w:type="continuationSeparator" w:id="0">
    <w:p w14:paraId="4DDFEA28" w14:textId="77777777" w:rsidR="004C5B35" w:rsidRDefault="004C5B35" w:rsidP="00ED33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63"/>
    <w:rsid w:val="00047325"/>
    <w:rsid w:val="000A3CC7"/>
    <w:rsid w:val="000C1D38"/>
    <w:rsid w:val="000F4492"/>
    <w:rsid w:val="001116E8"/>
    <w:rsid w:val="00113189"/>
    <w:rsid w:val="001140A7"/>
    <w:rsid w:val="00115A44"/>
    <w:rsid w:val="00151EB8"/>
    <w:rsid w:val="001821AC"/>
    <w:rsid w:val="00183AFE"/>
    <w:rsid w:val="00197063"/>
    <w:rsid w:val="002071DD"/>
    <w:rsid w:val="00291F4C"/>
    <w:rsid w:val="003208BD"/>
    <w:rsid w:val="00326F63"/>
    <w:rsid w:val="003310A2"/>
    <w:rsid w:val="0041224A"/>
    <w:rsid w:val="00416FED"/>
    <w:rsid w:val="004C5B35"/>
    <w:rsid w:val="0059539E"/>
    <w:rsid w:val="00606BA9"/>
    <w:rsid w:val="006607C1"/>
    <w:rsid w:val="006B15DE"/>
    <w:rsid w:val="006E1CEE"/>
    <w:rsid w:val="007C0FCC"/>
    <w:rsid w:val="00810BB3"/>
    <w:rsid w:val="00814971"/>
    <w:rsid w:val="008C2712"/>
    <w:rsid w:val="009201FA"/>
    <w:rsid w:val="009407A3"/>
    <w:rsid w:val="0098583F"/>
    <w:rsid w:val="009D55D4"/>
    <w:rsid w:val="00A6372C"/>
    <w:rsid w:val="00BA1AA3"/>
    <w:rsid w:val="00BF2E9D"/>
    <w:rsid w:val="00C368AF"/>
    <w:rsid w:val="00C9793F"/>
    <w:rsid w:val="00D318EA"/>
    <w:rsid w:val="00DF6FB3"/>
    <w:rsid w:val="00E63F2C"/>
    <w:rsid w:val="00EA7341"/>
    <w:rsid w:val="00ED33AA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701CA5"/>
  <w15:chartTrackingRefBased/>
  <w15:docId w15:val="{EC86154D-C72B-4018-8E78-A63188698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auto"/>
    </w:pPr>
  </w:style>
  <w:style w:type="paragraph" w:styleId="1">
    <w:name w:val="heading 1"/>
    <w:basedOn w:val="a"/>
    <w:next w:val="a"/>
    <w:link w:val="1Char"/>
    <w:uiPriority w:val="9"/>
    <w:qFormat/>
    <w:rsid w:val="0019706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970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9706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9706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9706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9706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9706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9706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9706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19706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19706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197063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19706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19706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1970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9706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1970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970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197063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97063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97063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970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197063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97063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9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DF6FB3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DF6FB3"/>
    <w:pPr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  <w14:ligatures w14:val="none"/>
    </w:rPr>
  </w:style>
  <w:style w:type="paragraph" w:styleId="ad">
    <w:name w:val="header"/>
    <w:basedOn w:val="a"/>
    <w:link w:val="Char3"/>
    <w:uiPriority w:val="99"/>
    <w:unhideWhenUsed/>
    <w:rsid w:val="00ED33AA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d"/>
    <w:uiPriority w:val="99"/>
    <w:rsid w:val="00ED33AA"/>
  </w:style>
  <w:style w:type="paragraph" w:styleId="ae">
    <w:name w:val="footer"/>
    <w:basedOn w:val="a"/>
    <w:link w:val="Char4"/>
    <w:uiPriority w:val="99"/>
    <w:unhideWhenUsed/>
    <w:rsid w:val="00ED33AA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e"/>
    <w:uiPriority w:val="99"/>
    <w:rsid w:val="00ED3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17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배진일</dc:creator>
  <cp:keywords/>
  <dc:description/>
  <cp:lastModifiedBy>배진일</cp:lastModifiedBy>
  <cp:revision>56</cp:revision>
  <dcterms:created xsi:type="dcterms:W3CDTF">2025-12-15T06:44:00Z</dcterms:created>
  <dcterms:modified xsi:type="dcterms:W3CDTF">2026-05-27T10:33:00Z</dcterms:modified>
</cp:coreProperties>
</file>