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2A9E1" w14:textId="77777777" w:rsidR="00EE3C2F" w:rsidRDefault="00000000">
      <w:pPr>
        <w:spacing w:after="0"/>
        <w:jc w:val="center"/>
      </w:pPr>
      <w:r>
        <w:rPr>
          <w:b/>
        </w:rPr>
        <w:t>Supplementary information for BMC Cardiovascular Disorders submission</w:t>
      </w:r>
    </w:p>
    <w:p w14:paraId="08CBC966" w14:textId="77777777" w:rsidR="00EE3C2F" w:rsidRDefault="00000000">
      <w:pPr>
        <w:spacing w:after="0"/>
      </w:pPr>
      <w:r>
        <w:t>Supplementary Figures S1-S22</w:t>
      </w:r>
    </w:p>
    <w:p w14:paraId="0CFA0B6D" w14:textId="77777777" w:rsidR="00EE3C2F" w:rsidRDefault="00000000">
      <w:pPr>
        <w:spacing w:after="0"/>
      </w:pPr>
      <w:r>
        <w:t>Supplementary Tables S1-S5</w:t>
      </w:r>
    </w:p>
    <w:p w14:paraId="6F94FF01" w14:textId="77777777" w:rsidR="00EE3C2F" w:rsidRDefault="00000000">
      <w:pPr>
        <w:spacing w:after="0"/>
      </w:pPr>
      <w:r>
        <w:rPr>
          <w:b/>
        </w:rPr>
        <w:t>Supplementary Methods</w:t>
      </w:r>
    </w:p>
    <w:p w14:paraId="4207C239" w14:textId="77777777" w:rsidR="00EE3C2F" w:rsidRDefault="00000000">
      <w:pPr>
        <w:spacing w:after="0"/>
      </w:pPr>
      <w:r>
        <w:t>Data provenance and evidence-boundary note</w:t>
      </w:r>
    </w:p>
    <w:p w14:paraId="3EB2DE19" w14:textId="77777777" w:rsidR="00EE3C2F" w:rsidRDefault="00000000">
      <w:pPr>
        <w:spacing w:after="0"/>
      </w:pPr>
      <w:r>
        <w:t>Clinical group labels used for the GSE309462 single-cell reanalysis were derived from the original public dataset annotations and were used only for secondary, hypothesis-generating interpretation. Donor-level summaries were emphasized for compositional comparisons to reduce pseudo-replication. Exploratory genetic-prioritization, CAD risk-gene burden and metabolic signature analyses were retained as contextual evidence and were not used as primary causal proof. The molecular-dynamics residue-decomposition panel was interpreted only after excluding the ligand self-term from protein-side residue discussion.</w:t>
      </w:r>
    </w:p>
    <w:p w14:paraId="6EFF334E" w14:textId="77777777" w:rsidR="00EE3C2F" w:rsidRDefault="00000000">
      <w:pPr>
        <w:spacing w:after="0"/>
      </w:pPr>
      <w:r>
        <w:rPr>
          <w:b/>
        </w:rPr>
        <w:t>Single-cell quality control and annotation</w:t>
      </w:r>
    </w:p>
    <w:p w14:paraId="4F602973" w14:textId="77777777" w:rsidR="00EE3C2F" w:rsidRDefault="00000000">
      <w:pPr>
        <w:spacing w:after="0"/>
      </w:pPr>
      <w:r>
        <w:t>Cells with low detected-gene complexity, extreme feature counts or high mitochondrial transcript fraction were excluded before normalization and integration. Cell identities were assigned using canonical marker hierarchies rather than single-marker labeling. Donor-level summaries were retained for compositional interpretation to reduce pseudo-replication.</w:t>
      </w:r>
    </w:p>
    <w:p w14:paraId="37231332" w14:textId="77777777" w:rsidR="00EE3C2F" w:rsidRDefault="00000000">
      <w:pPr>
        <w:spacing w:after="0"/>
      </w:pPr>
      <w:r>
        <w:rPr>
          <w:b/>
        </w:rPr>
        <w:t>Functional scoring and trajectory summaries</w:t>
      </w:r>
    </w:p>
    <w:p w14:paraId="57A426A6" w14:textId="77777777" w:rsidR="00EE3C2F" w:rsidRDefault="00000000">
      <w:pPr>
        <w:spacing w:after="0"/>
      </w:pPr>
      <w:r>
        <w:t>Rank-based signature scoring was used to summarize calcification, fibrosis, inflammation, lipid-metabolism and glycolysis-related programs across annotated cell types. Trajectory analyses were used only to visualize ordered transcriptional programs within major lineages and were not interpreted as definitive temporal proof.</w:t>
      </w:r>
    </w:p>
    <w:p w14:paraId="4F6BA511" w14:textId="77777777" w:rsidR="00EE3C2F" w:rsidRDefault="00000000">
      <w:pPr>
        <w:spacing w:after="0"/>
      </w:pPr>
      <w:r>
        <w:rPr>
          <w:b/>
        </w:rPr>
        <w:t>Exploratory genetic-prioritization analyses</w:t>
      </w:r>
    </w:p>
    <w:p w14:paraId="6FA85331" w14:textId="77777777" w:rsidR="00EE3C2F" w:rsidRDefault="00000000">
      <w:pPr>
        <w:spacing w:after="0"/>
      </w:pPr>
      <w:r>
        <w:t>Cell-type-stratified Mendelian randomization and CAD risk-gene burden analyses were retained as exploratory contextual analyses. They were not used as the primary basis for the article's mechanistic conclusion. For this reason, all captions refer to these outputs as putative, genetically informed or hypothesis-generating.</w:t>
      </w:r>
    </w:p>
    <w:p w14:paraId="278C6CB9" w14:textId="77777777" w:rsidR="00EE3C2F" w:rsidRDefault="00000000">
      <w:pPr>
        <w:spacing w:after="0"/>
      </w:pPr>
      <w:r>
        <w:rPr>
          <w:b/>
        </w:rPr>
        <w:t>Docking and molecular dynamics reporting</w:t>
      </w:r>
    </w:p>
    <w:p w14:paraId="5133BAAA" w14:textId="77777777" w:rsidR="00EE3C2F" w:rsidRDefault="00000000">
      <w:pPr>
        <w:spacing w:after="0"/>
      </w:pPr>
      <w:r>
        <w:t>Molecular docking and molecular dynamics simulation were used to evaluate structural compatibility. The MM/GBSA residue-decomposition interpretation excludes the ligand self-term and focuses only on protein-side residues. The 100-ns trajectory is interpreted as supportive structural plausibility, not as biochemical confirmation of direct in vivo target engagement.</w:t>
      </w:r>
    </w:p>
    <w:p w14:paraId="488CF435" w14:textId="77777777" w:rsidR="00EE3C2F" w:rsidRDefault="00000000">
      <w:pPr>
        <w:spacing w:after="0"/>
      </w:pPr>
      <w:r>
        <w:rPr>
          <w:b/>
        </w:rPr>
        <w:t>Macrophage perturbation experiments</w:t>
      </w:r>
    </w:p>
    <w:p w14:paraId="62817709" w14:textId="77777777" w:rsidR="00EE3C2F" w:rsidRDefault="00000000">
      <w:pPr>
        <w:spacing w:after="0"/>
      </w:pPr>
      <w:r>
        <w:t>RAW264.7 and THP-1-derived macrophage experiments were used to test whether colchicine attenuates an oxLDL-induced inflammatory-proteolytic state. TNF rescue and Tnf knockdown were interpreted as pathway-positioning experiments within the tested macrophage framework rather than as definitive proof of an exclusive upstream regulator.</w:t>
      </w:r>
    </w:p>
    <w:p w14:paraId="1BC06FAF" w14:textId="77777777" w:rsidR="00EE3C2F" w:rsidRDefault="00000000">
      <w:pPr>
        <w:spacing w:after="0"/>
      </w:pPr>
      <w:r>
        <w:rPr>
          <w:b/>
        </w:rPr>
        <w:t>Supplementary Figures</w:t>
      </w:r>
    </w:p>
    <w:p w14:paraId="40895721" w14:textId="77777777" w:rsidR="00EE3C2F" w:rsidRDefault="00000000">
      <w:pPr>
        <w:spacing w:after="0"/>
        <w:jc w:val="center"/>
      </w:pPr>
      <w:r>
        <w:rPr>
          <w:noProof/>
        </w:rPr>
        <w:lastRenderedPageBreak/>
        <w:drawing>
          <wp:inline distT="0" distB="0" distL="0" distR="0" wp14:anchorId="25F9A6AC" wp14:editId="757BE6D4">
            <wp:extent cx="5715000" cy="5432545"/>
            <wp:effectExtent l="0" t="0" r="0" b="0"/>
            <wp:docPr id="1" name="Picture 1" descr="Supplementary Figure S1 supporting quality control, annotation, pathway, communication, validation, cell-assay or molecular-dynamics analyse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mage1.jpeg"/>
                    <pic:cNvPicPr/>
                  </pic:nvPicPr>
                  <pic:blipFill>
                    <a:blip r:embed="rId8"/>
                    <a:stretch>
                      <a:fillRect/>
                    </a:stretch>
                  </pic:blipFill>
                  <pic:spPr>
                    <a:xfrm>
                      <a:off x="0" y="0"/>
                      <a:ext cx="5715000" cy="5432545"/>
                    </a:xfrm>
                    <a:prstGeom prst="rect">
                      <a:avLst/>
                    </a:prstGeom>
                  </pic:spPr>
                </pic:pic>
              </a:graphicData>
            </a:graphic>
          </wp:inline>
        </w:drawing>
      </w:r>
    </w:p>
    <w:p w14:paraId="6FE05C8F" w14:textId="77777777" w:rsidR="00EE3C2F" w:rsidRDefault="00000000">
      <w:pPr>
        <w:spacing w:after="0"/>
      </w:pPr>
      <w:r>
        <w:t>Supplementary Figure 1. Quality control, feature selection and integration of carotid plaque scRNA-seq (GSE309462). Violin plots, depth-complexity relationships, highly variable genes and pre/post-integration embeddings summarize the single-cell quality-control and integration workflow.</w:t>
      </w:r>
    </w:p>
    <w:p w14:paraId="0D4BD669" w14:textId="77777777" w:rsidR="00EE3C2F" w:rsidRDefault="00000000">
      <w:pPr>
        <w:spacing w:after="0"/>
        <w:jc w:val="center"/>
      </w:pPr>
      <w:r>
        <w:rPr>
          <w:noProof/>
        </w:rPr>
        <w:lastRenderedPageBreak/>
        <w:drawing>
          <wp:inline distT="0" distB="0" distL="0" distR="0" wp14:anchorId="2D5344C2" wp14:editId="6E81961F">
            <wp:extent cx="5715000" cy="5715000"/>
            <wp:effectExtent l="0" t="0" r="0" b="0"/>
            <wp:docPr id="2" name="Picture 2" descr="Supplementary Figure S2 supporting quality control, annotation, pathway, communication, validation, cell-assay or molecular-dynamics analyse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mage2.jpeg"/>
                    <pic:cNvPicPr/>
                  </pic:nvPicPr>
                  <pic:blipFill>
                    <a:blip r:embed="rId9"/>
                    <a:stretch>
                      <a:fillRect/>
                    </a:stretch>
                  </pic:blipFill>
                  <pic:spPr>
                    <a:xfrm>
                      <a:off x="0" y="0"/>
                      <a:ext cx="5715000" cy="5715000"/>
                    </a:xfrm>
                    <a:prstGeom prst="rect">
                      <a:avLst/>
                    </a:prstGeom>
                  </pic:spPr>
                </pic:pic>
              </a:graphicData>
            </a:graphic>
          </wp:inline>
        </w:drawing>
      </w:r>
    </w:p>
    <w:p w14:paraId="316D2262" w14:textId="77777777" w:rsidR="00EE3C2F" w:rsidRDefault="00000000">
      <w:pPr>
        <w:spacing w:after="0"/>
      </w:pPr>
      <w:r>
        <w:t>Supplementary Figure 2. Group structure, principal components and clustering topology of carotid plaque scRNA-seq. The panels summarize group distribution, principal-component structure and clustering-resolution stability used to guide annotation.</w:t>
      </w:r>
    </w:p>
    <w:p w14:paraId="42CCD1D5" w14:textId="77777777" w:rsidR="00EE3C2F" w:rsidRDefault="00000000">
      <w:pPr>
        <w:spacing w:after="0"/>
        <w:jc w:val="center"/>
      </w:pPr>
      <w:r>
        <w:rPr>
          <w:noProof/>
        </w:rPr>
        <w:lastRenderedPageBreak/>
        <w:drawing>
          <wp:inline distT="0" distB="0" distL="0" distR="0" wp14:anchorId="7C6926AF" wp14:editId="68FDF87D">
            <wp:extent cx="5715000" cy="6885190"/>
            <wp:effectExtent l="0" t="0" r="0" b="0"/>
            <wp:docPr id="3" name="Picture 3" descr="Supplementary Figure S3 supporting quality control, annotation, pathway, communication, validation, cell-assay or molecular-dynamics analyse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mage3.jpeg"/>
                    <pic:cNvPicPr/>
                  </pic:nvPicPr>
                  <pic:blipFill>
                    <a:blip r:embed="rId10"/>
                    <a:stretch>
                      <a:fillRect/>
                    </a:stretch>
                  </pic:blipFill>
                  <pic:spPr>
                    <a:xfrm>
                      <a:off x="0" y="0"/>
                      <a:ext cx="5715000" cy="6885190"/>
                    </a:xfrm>
                    <a:prstGeom prst="rect">
                      <a:avLst/>
                    </a:prstGeom>
                  </pic:spPr>
                </pic:pic>
              </a:graphicData>
            </a:graphic>
          </wp:inline>
        </w:drawing>
      </w:r>
    </w:p>
    <w:p w14:paraId="469AB61D" w14:textId="77777777" w:rsidR="00EE3C2F" w:rsidRDefault="00000000">
      <w:pPr>
        <w:spacing w:after="0"/>
      </w:pPr>
      <w:r>
        <w:t>Supplementary Figure 3. Cluster-defining marker genes support cell-type annotation of carotid plaque scRNA-seq. Heat map of scaled marker expression across unsupervised clusters shows stromal, vascular, myeloid, lymphoid, plasma-cell and mast-cell programs.</w:t>
      </w:r>
    </w:p>
    <w:p w14:paraId="3849594B" w14:textId="77777777" w:rsidR="00EE3C2F" w:rsidRDefault="00000000">
      <w:pPr>
        <w:spacing w:after="0"/>
        <w:jc w:val="center"/>
      </w:pPr>
      <w:r>
        <w:rPr>
          <w:noProof/>
        </w:rPr>
        <w:lastRenderedPageBreak/>
        <w:drawing>
          <wp:inline distT="0" distB="0" distL="0" distR="0" wp14:anchorId="7232C96B" wp14:editId="2166114C">
            <wp:extent cx="5715000" cy="5791560"/>
            <wp:effectExtent l="0" t="0" r="0" b="0"/>
            <wp:docPr id="4" name="Picture 4" descr="Supplementary Figure S4 supporting quality control, annotation, pathway, communication, validation, cell-assay or molecular-dynamics analyse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mage4.jpeg"/>
                    <pic:cNvPicPr/>
                  </pic:nvPicPr>
                  <pic:blipFill>
                    <a:blip r:embed="rId11"/>
                    <a:stretch>
                      <a:fillRect/>
                    </a:stretch>
                  </pic:blipFill>
                  <pic:spPr>
                    <a:xfrm>
                      <a:off x="0" y="0"/>
                      <a:ext cx="5715000" cy="5791560"/>
                    </a:xfrm>
                    <a:prstGeom prst="rect">
                      <a:avLst/>
                    </a:prstGeom>
                  </pic:spPr>
                </pic:pic>
              </a:graphicData>
            </a:graphic>
          </wp:inline>
        </w:drawing>
      </w:r>
    </w:p>
    <w:p w14:paraId="70F35528" w14:textId="77777777" w:rsidR="00EE3C2F" w:rsidRDefault="00000000">
      <w:pPr>
        <w:spacing w:after="0"/>
      </w:pPr>
      <w:r>
        <w:t>Supplementary Figure 4. Unsupervised clustering and HVG-level differential expression between symptomatic and asymptomatic plaques. t-SNE, UMAP and volcano representations summarize cluster topology and disease-associated highly variable genes.</w:t>
      </w:r>
    </w:p>
    <w:p w14:paraId="4216C13D" w14:textId="77777777" w:rsidR="00EE3C2F" w:rsidRDefault="00000000">
      <w:pPr>
        <w:spacing w:after="0"/>
        <w:jc w:val="center"/>
      </w:pPr>
      <w:r>
        <w:rPr>
          <w:noProof/>
        </w:rPr>
        <w:lastRenderedPageBreak/>
        <w:drawing>
          <wp:inline distT="0" distB="0" distL="0" distR="0" wp14:anchorId="63B25B29" wp14:editId="4C6029D5">
            <wp:extent cx="5715000" cy="5715000"/>
            <wp:effectExtent l="0" t="0" r="0" b="0"/>
            <wp:docPr id="5" name="Picture 5" descr="Supplementary Figure S5 supporting quality control, annotation, pathway, communication, validation, cell-assay or molecular-dynamics analyse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mage5.jpeg"/>
                    <pic:cNvPicPr/>
                  </pic:nvPicPr>
                  <pic:blipFill>
                    <a:blip r:embed="rId12"/>
                    <a:stretch>
                      <a:fillRect/>
                    </a:stretch>
                  </pic:blipFill>
                  <pic:spPr>
                    <a:xfrm>
                      <a:off x="0" y="0"/>
                      <a:ext cx="5715000" cy="5715000"/>
                    </a:xfrm>
                    <a:prstGeom prst="rect">
                      <a:avLst/>
                    </a:prstGeom>
                  </pic:spPr>
                </pic:pic>
              </a:graphicData>
            </a:graphic>
          </wp:inline>
        </w:drawing>
      </w:r>
    </w:p>
    <w:p w14:paraId="7E00159A" w14:textId="77777777" w:rsidR="00EE3C2F" w:rsidRDefault="00000000">
      <w:pPr>
        <w:spacing w:after="0"/>
      </w:pPr>
      <w:r>
        <w:t>Supplementary Figure 5. Gene programs associated with trajectory ordering in carotid plaque cells. Heat map of pseudotime-associated genes highlights extracellular-matrix, inflammatory, immune-activation and chemotaxis-related transcriptional programs. This analysis is descriptive and hypothesis-generating.</w:t>
      </w:r>
    </w:p>
    <w:p w14:paraId="6449A9FB" w14:textId="77777777" w:rsidR="00EE3C2F" w:rsidRDefault="00000000">
      <w:pPr>
        <w:spacing w:after="0"/>
        <w:jc w:val="center"/>
      </w:pPr>
      <w:r>
        <w:rPr>
          <w:noProof/>
        </w:rPr>
        <w:lastRenderedPageBreak/>
        <w:drawing>
          <wp:inline distT="0" distB="0" distL="0" distR="0" wp14:anchorId="2031A679" wp14:editId="2BCC3E7C">
            <wp:extent cx="5715000" cy="6714190"/>
            <wp:effectExtent l="0" t="0" r="0" b="0"/>
            <wp:docPr id="6" name="Picture 6" descr="Supplementary Figure S6 supporting quality control, annotation, pathway, communication, validation, cell-assay or molecular-dynamics analyse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mage6.jpeg"/>
                    <pic:cNvPicPr/>
                  </pic:nvPicPr>
                  <pic:blipFill>
                    <a:blip r:embed="rId13"/>
                    <a:stretch>
                      <a:fillRect/>
                    </a:stretch>
                  </pic:blipFill>
                  <pic:spPr>
                    <a:xfrm>
                      <a:off x="0" y="0"/>
                      <a:ext cx="5715000" cy="6714190"/>
                    </a:xfrm>
                    <a:prstGeom prst="rect">
                      <a:avLst/>
                    </a:prstGeom>
                  </pic:spPr>
                </pic:pic>
              </a:graphicData>
            </a:graphic>
          </wp:inline>
        </w:drawing>
      </w:r>
    </w:p>
    <w:p w14:paraId="790AF7E5" w14:textId="77777777" w:rsidR="00EE3C2F" w:rsidRDefault="00000000">
      <w:pPr>
        <w:spacing w:after="0"/>
      </w:pPr>
      <w:r>
        <w:t>Supplementary Figure 6. Global cell-cell communication landscape in asymptomatic and symptomatic carotid plaques. CellChat inference summarizes total inferred interaction number, aggregate interaction strength and pathway-level information flow.</w:t>
      </w:r>
    </w:p>
    <w:p w14:paraId="34D4F3BE" w14:textId="77777777" w:rsidR="00EE3C2F" w:rsidRDefault="00000000">
      <w:pPr>
        <w:spacing w:after="0"/>
        <w:jc w:val="center"/>
      </w:pPr>
      <w:r>
        <w:rPr>
          <w:noProof/>
        </w:rPr>
        <w:lastRenderedPageBreak/>
        <w:drawing>
          <wp:inline distT="0" distB="0" distL="0" distR="0" wp14:anchorId="5585DC4F" wp14:editId="0B61A48F">
            <wp:extent cx="5715000" cy="5715000"/>
            <wp:effectExtent l="0" t="0" r="0" b="0"/>
            <wp:docPr id="7" name="Picture 7" descr="Supplementary Figure S7 supporting quality control, annotation, pathway, communication, validation, cell-assay or molecular-dynamics analyses."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image7.jpeg"/>
                    <pic:cNvPicPr/>
                  </pic:nvPicPr>
                  <pic:blipFill>
                    <a:blip r:embed="rId14"/>
                    <a:stretch>
                      <a:fillRect/>
                    </a:stretch>
                  </pic:blipFill>
                  <pic:spPr>
                    <a:xfrm>
                      <a:off x="0" y="0"/>
                      <a:ext cx="5715000" cy="5715000"/>
                    </a:xfrm>
                    <a:prstGeom prst="rect">
                      <a:avLst/>
                    </a:prstGeom>
                  </pic:spPr>
                </pic:pic>
              </a:graphicData>
            </a:graphic>
          </wp:inline>
        </w:drawing>
      </w:r>
    </w:p>
    <w:p w14:paraId="68979B0F" w14:textId="77777777" w:rsidR="00EE3C2F" w:rsidRDefault="00000000">
      <w:pPr>
        <w:spacing w:after="0"/>
      </w:pPr>
      <w:r>
        <w:t>Supplementary Figure 7. Endothelial- versus smooth muscle-derived outgoing signaling bias. Diverging bars and dot plots compare EC-derived and SMC-derived inferred outgoing ligand-receptor interactions across recipient cell populations.</w:t>
      </w:r>
    </w:p>
    <w:p w14:paraId="1B2482E4" w14:textId="77777777" w:rsidR="00EE3C2F" w:rsidRDefault="00000000">
      <w:pPr>
        <w:spacing w:after="0"/>
        <w:jc w:val="center"/>
      </w:pPr>
      <w:r>
        <w:rPr>
          <w:noProof/>
        </w:rPr>
        <w:lastRenderedPageBreak/>
        <w:drawing>
          <wp:inline distT="0" distB="0" distL="0" distR="0" wp14:anchorId="3BF2BDF8" wp14:editId="6A6E9986">
            <wp:extent cx="5715000" cy="5147553"/>
            <wp:effectExtent l="0" t="0" r="0" b="0"/>
            <wp:docPr id="8" name="Picture 8" descr="Supplementary Figure S8 supporting quality control, annotation, pathway, communication, validation, cell-assay or molecular-dynamics analyse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image8.jpeg"/>
                    <pic:cNvPicPr/>
                  </pic:nvPicPr>
                  <pic:blipFill>
                    <a:blip r:embed="rId15"/>
                    <a:stretch>
                      <a:fillRect/>
                    </a:stretch>
                  </pic:blipFill>
                  <pic:spPr>
                    <a:xfrm>
                      <a:off x="0" y="0"/>
                      <a:ext cx="5715000" cy="5147553"/>
                    </a:xfrm>
                    <a:prstGeom prst="rect">
                      <a:avLst/>
                    </a:prstGeom>
                  </pic:spPr>
                </pic:pic>
              </a:graphicData>
            </a:graphic>
          </wp:inline>
        </w:drawing>
      </w:r>
    </w:p>
    <w:p w14:paraId="62BE22A4" w14:textId="77777777" w:rsidR="00EE3C2F" w:rsidRDefault="00000000">
      <w:pPr>
        <w:spacing w:after="0"/>
      </w:pPr>
      <w:r>
        <w:t>Supplementary Figure 8. Lineage-resolved pseudotime trajectories and disease enrichment along progression. Endothelial, myeloid and mural lineage trajectories are shown with inferred pseudotime and symptomatic/asymptomatic representation along the ordered axis.</w:t>
      </w:r>
    </w:p>
    <w:p w14:paraId="3343E829" w14:textId="77777777" w:rsidR="00EE3C2F" w:rsidRDefault="00000000">
      <w:pPr>
        <w:spacing w:after="0"/>
        <w:jc w:val="center"/>
      </w:pPr>
      <w:r>
        <w:rPr>
          <w:noProof/>
        </w:rPr>
        <w:lastRenderedPageBreak/>
        <w:drawing>
          <wp:inline distT="0" distB="0" distL="0" distR="0" wp14:anchorId="30049FFE" wp14:editId="3C7AA5D8">
            <wp:extent cx="5715000" cy="8288216"/>
            <wp:effectExtent l="0" t="0" r="0" b="0"/>
            <wp:docPr id="9" name="Picture 9" descr="Supplementary Figure S9 supporting quality control, annotation, pathway, communication, validation, cell-assay or molecular-dynamics analyses."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image9.jpeg"/>
                    <pic:cNvPicPr/>
                  </pic:nvPicPr>
                  <pic:blipFill>
                    <a:blip r:embed="rId16"/>
                    <a:stretch>
                      <a:fillRect/>
                    </a:stretch>
                  </pic:blipFill>
                  <pic:spPr>
                    <a:xfrm>
                      <a:off x="0" y="0"/>
                      <a:ext cx="5715000" cy="8288216"/>
                    </a:xfrm>
                    <a:prstGeom prst="rect">
                      <a:avLst/>
                    </a:prstGeom>
                  </pic:spPr>
                </pic:pic>
              </a:graphicData>
            </a:graphic>
          </wp:inline>
        </w:drawing>
      </w:r>
    </w:p>
    <w:p w14:paraId="4F2E4D07" w14:textId="77777777" w:rsidR="00EE3C2F" w:rsidRDefault="00000000">
      <w:pPr>
        <w:spacing w:after="0"/>
      </w:pPr>
      <w:r>
        <w:t>Supplementary Figure 9. Exploratory immune cell-type-specific genetically informed prioritization landscape. Cell-type-stratified analyses nominate putative driver genes. These analyses are retained only as exploratory genetic context and are not used as definitive causal evidence.</w:t>
      </w:r>
    </w:p>
    <w:p w14:paraId="3E4DE11B" w14:textId="77777777" w:rsidR="00EE3C2F" w:rsidRDefault="00000000">
      <w:pPr>
        <w:spacing w:after="0"/>
        <w:jc w:val="center"/>
      </w:pPr>
      <w:r>
        <w:rPr>
          <w:noProof/>
        </w:rPr>
        <w:lastRenderedPageBreak/>
        <w:drawing>
          <wp:inline distT="0" distB="0" distL="0" distR="0" wp14:anchorId="48392FC0" wp14:editId="54E9C240">
            <wp:extent cx="5715000" cy="4899858"/>
            <wp:effectExtent l="0" t="0" r="0" b="0"/>
            <wp:docPr id="10" name="Picture 10" descr="Supplementary Figure S10 supporting quality control, annotation, pathway, communication, validation, cell-assay or molecular-dynamics analyses."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image10.jpeg"/>
                    <pic:cNvPicPr/>
                  </pic:nvPicPr>
                  <pic:blipFill>
                    <a:blip r:embed="rId17"/>
                    <a:stretch>
                      <a:fillRect/>
                    </a:stretch>
                  </pic:blipFill>
                  <pic:spPr>
                    <a:xfrm>
                      <a:off x="0" y="0"/>
                      <a:ext cx="5715000" cy="4899858"/>
                    </a:xfrm>
                    <a:prstGeom prst="rect">
                      <a:avLst/>
                    </a:prstGeom>
                  </pic:spPr>
                </pic:pic>
              </a:graphicData>
            </a:graphic>
          </wp:inline>
        </w:drawing>
      </w:r>
    </w:p>
    <w:p w14:paraId="4CC1A14C" w14:textId="77777777" w:rsidR="00EE3C2F" w:rsidRDefault="00000000">
      <w:pPr>
        <w:spacing w:after="0"/>
      </w:pPr>
      <w:r>
        <w:t>Supplementary Figure 10. Cell-type-resolved pathological signature activity in symptomatic versus asymptomatic carotid atherosclerosis. UCell rank-based scoring summarizes calcification, fibrosis, inflammation and lipid-metabolism programs across cell types.</w:t>
      </w:r>
    </w:p>
    <w:p w14:paraId="3B55CE4E" w14:textId="77777777" w:rsidR="00EE3C2F" w:rsidRDefault="00000000">
      <w:pPr>
        <w:spacing w:after="0"/>
        <w:jc w:val="center"/>
      </w:pPr>
      <w:r>
        <w:rPr>
          <w:noProof/>
        </w:rPr>
        <w:lastRenderedPageBreak/>
        <w:drawing>
          <wp:inline distT="0" distB="0" distL="0" distR="0" wp14:anchorId="26CDE180" wp14:editId="4350B395">
            <wp:extent cx="5715000" cy="5715000"/>
            <wp:effectExtent l="0" t="0" r="0" b="0"/>
            <wp:docPr id="11" name="Picture 11" descr="Supplementary Figure S11 supporting quality control, annotation, pathway, communication, validation, cell-assay or molecular-dynamics analyses."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mage11.jpeg"/>
                    <pic:cNvPicPr/>
                  </pic:nvPicPr>
                  <pic:blipFill>
                    <a:blip r:embed="rId18"/>
                    <a:stretch>
                      <a:fillRect/>
                    </a:stretch>
                  </pic:blipFill>
                  <pic:spPr>
                    <a:xfrm>
                      <a:off x="0" y="0"/>
                      <a:ext cx="5715000" cy="5715000"/>
                    </a:xfrm>
                    <a:prstGeom prst="rect">
                      <a:avLst/>
                    </a:prstGeom>
                  </pic:spPr>
                </pic:pic>
              </a:graphicData>
            </a:graphic>
          </wp:inline>
        </w:drawing>
      </w:r>
    </w:p>
    <w:p w14:paraId="65D85D2D" w14:textId="77777777" w:rsidR="00EE3C2F" w:rsidRDefault="00000000">
      <w:pPr>
        <w:spacing w:after="0"/>
      </w:pPr>
      <w:r>
        <w:t>Supplementary Figure 11. Cell-lineage-resolved functional remodeling in symptomatic versus asymptomatic carotid plaques. Heat maps and feature visualizations summarize functional shifts across vascular and immune compartments.</w:t>
      </w:r>
    </w:p>
    <w:p w14:paraId="387B7531" w14:textId="77777777" w:rsidR="00EE3C2F" w:rsidRDefault="00000000">
      <w:pPr>
        <w:spacing w:after="0"/>
        <w:jc w:val="center"/>
      </w:pPr>
      <w:r>
        <w:rPr>
          <w:noProof/>
        </w:rPr>
        <w:lastRenderedPageBreak/>
        <w:drawing>
          <wp:inline distT="0" distB="0" distL="0" distR="0" wp14:anchorId="0A062AEE" wp14:editId="29A9B119">
            <wp:extent cx="5715000" cy="3958617"/>
            <wp:effectExtent l="0" t="0" r="0" b="0"/>
            <wp:docPr id="12" name="Picture 12" descr="Supplementary Figure S12 supporting quality control, annotation, pathway, communication, validation, cell-assay or molecular-dynamics analyse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image12.jpeg"/>
                    <pic:cNvPicPr/>
                  </pic:nvPicPr>
                  <pic:blipFill>
                    <a:blip r:embed="rId19"/>
                    <a:stretch>
                      <a:fillRect/>
                    </a:stretch>
                  </pic:blipFill>
                  <pic:spPr>
                    <a:xfrm>
                      <a:off x="0" y="0"/>
                      <a:ext cx="5715000" cy="3958617"/>
                    </a:xfrm>
                    <a:prstGeom prst="rect">
                      <a:avLst/>
                    </a:prstGeom>
                  </pic:spPr>
                </pic:pic>
              </a:graphicData>
            </a:graphic>
          </wp:inline>
        </w:drawing>
      </w:r>
    </w:p>
    <w:p w14:paraId="734BBD94" w14:textId="77777777" w:rsidR="00EE3C2F" w:rsidRDefault="00000000">
      <w:pPr>
        <w:spacing w:after="0"/>
      </w:pPr>
      <w:r>
        <w:t>Supplementary Figure 12. Exploratory cell-type-specific CAD genetic risk burden and glycolytic reprogramming across symptomatic status. These analyses provide contextual support for vascular and metabolic remodeling but are not interpreted as primary causal evidence.</w:t>
      </w:r>
    </w:p>
    <w:p w14:paraId="3BB4BC5E" w14:textId="77777777" w:rsidR="00EE3C2F" w:rsidRDefault="00000000">
      <w:pPr>
        <w:spacing w:after="0"/>
        <w:jc w:val="center"/>
      </w:pPr>
      <w:r>
        <w:rPr>
          <w:noProof/>
        </w:rPr>
        <w:lastRenderedPageBreak/>
        <w:drawing>
          <wp:inline distT="0" distB="0" distL="0" distR="0" wp14:anchorId="6DFBCE3E" wp14:editId="70240945">
            <wp:extent cx="5715000" cy="5715000"/>
            <wp:effectExtent l="0" t="0" r="0" b="0"/>
            <wp:docPr id="13" name="Picture 13" descr="Supplementary Figure S13 supporting quality control, annotation, pathway, communication, validation, cell-assay or molecular-dynamics analyse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image13.jpeg"/>
                    <pic:cNvPicPr/>
                  </pic:nvPicPr>
                  <pic:blipFill>
                    <a:blip r:embed="rId20"/>
                    <a:stretch>
                      <a:fillRect/>
                    </a:stretch>
                  </pic:blipFill>
                  <pic:spPr>
                    <a:xfrm>
                      <a:off x="0" y="0"/>
                      <a:ext cx="5715000" cy="5715000"/>
                    </a:xfrm>
                    <a:prstGeom prst="rect">
                      <a:avLst/>
                    </a:prstGeom>
                  </pic:spPr>
                </pic:pic>
              </a:graphicData>
            </a:graphic>
          </wp:inline>
        </w:drawing>
      </w:r>
    </w:p>
    <w:p w14:paraId="1FAB47AE" w14:textId="77777777" w:rsidR="00EE3C2F" w:rsidRDefault="00000000">
      <w:pPr>
        <w:spacing w:after="0"/>
      </w:pPr>
      <w:r>
        <w:t>Supplementary Figure 13. Systems-level module discovery and machine-learning feature selection for candidate genes. WGCNA, feature-selection filters and overlap analyses support candidate prioritization.</w:t>
      </w:r>
    </w:p>
    <w:p w14:paraId="08E99669" w14:textId="77777777" w:rsidR="00EE3C2F" w:rsidRDefault="00000000">
      <w:pPr>
        <w:spacing w:after="0"/>
        <w:jc w:val="center"/>
      </w:pPr>
      <w:r>
        <w:rPr>
          <w:noProof/>
        </w:rPr>
        <w:lastRenderedPageBreak/>
        <w:drawing>
          <wp:inline distT="0" distB="0" distL="0" distR="0" wp14:anchorId="318499DF" wp14:editId="470FD8F4">
            <wp:extent cx="5715000" cy="5715000"/>
            <wp:effectExtent l="0" t="0" r="0" b="0"/>
            <wp:docPr id="14" name="Picture 14" descr="Supplementary Figure S14 supporting quality control, annotation, pathway, communication, validation, cell-assay or molecular-dynamics analyse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image14.jpeg"/>
                    <pic:cNvPicPr/>
                  </pic:nvPicPr>
                  <pic:blipFill>
                    <a:blip r:embed="rId21"/>
                    <a:stretch>
                      <a:fillRect/>
                    </a:stretch>
                  </pic:blipFill>
                  <pic:spPr>
                    <a:xfrm>
                      <a:off x="0" y="0"/>
                      <a:ext cx="5715000" cy="5715000"/>
                    </a:xfrm>
                    <a:prstGeom prst="rect">
                      <a:avLst/>
                    </a:prstGeom>
                  </pic:spPr>
                </pic:pic>
              </a:graphicData>
            </a:graphic>
          </wp:inline>
        </w:drawing>
      </w:r>
    </w:p>
    <w:p w14:paraId="043BF677" w14:textId="77777777" w:rsidR="00EE3C2F" w:rsidRDefault="00000000">
      <w:pPr>
        <w:spacing w:after="0"/>
      </w:pPr>
      <w:r>
        <w:t>Supplementary Figure 14. Multi-database functional enrichment landscape of candidate gene set. Pathway and disease-enrichment summaries support inflammatory, proteolytic and vascular-remodeling interpretation of the candidate genes.</w:t>
      </w:r>
    </w:p>
    <w:p w14:paraId="0B6AEF2D" w14:textId="77777777" w:rsidR="00EE3C2F" w:rsidRDefault="00000000">
      <w:pPr>
        <w:spacing w:after="0"/>
        <w:jc w:val="center"/>
      </w:pPr>
      <w:r>
        <w:rPr>
          <w:noProof/>
        </w:rPr>
        <w:lastRenderedPageBreak/>
        <w:drawing>
          <wp:inline distT="0" distB="0" distL="0" distR="0" wp14:anchorId="4602D36B" wp14:editId="75759459">
            <wp:extent cx="5715000" cy="6079191"/>
            <wp:effectExtent l="0" t="0" r="0" b="0"/>
            <wp:docPr id="15" name="Picture 15" descr="Supplementary Figure S15 supporting quality control, annotation, pathway, communication, validation, cell-assay or molecular-dynamics analyses."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image15.jpeg"/>
                    <pic:cNvPicPr/>
                  </pic:nvPicPr>
                  <pic:blipFill>
                    <a:blip r:embed="rId22"/>
                    <a:stretch>
                      <a:fillRect/>
                    </a:stretch>
                  </pic:blipFill>
                  <pic:spPr>
                    <a:xfrm>
                      <a:off x="0" y="0"/>
                      <a:ext cx="5715000" cy="6079191"/>
                    </a:xfrm>
                    <a:prstGeom prst="rect">
                      <a:avLst/>
                    </a:prstGeom>
                  </pic:spPr>
                </pic:pic>
              </a:graphicData>
            </a:graphic>
          </wp:inline>
        </w:drawing>
      </w:r>
    </w:p>
    <w:p w14:paraId="206650D0" w14:textId="77777777" w:rsidR="00EE3C2F" w:rsidRDefault="00000000">
      <w:pPr>
        <w:spacing w:after="0"/>
      </w:pPr>
      <w:r>
        <w:t>Supplementary Figure 15. Colchicine suppresses NF-kappa B/NLRP3 activation and TNF-alpha rescues MMP9 expression and foam-cell formation. Western blotting, nuclear fractionation, ELISA and Oil Red O analyses support the macrophage inflammatory-proteolytic framework.</w:t>
      </w:r>
    </w:p>
    <w:p w14:paraId="10370FA3" w14:textId="77777777" w:rsidR="00EE3C2F" w:rsidRDefault="00000000">
      <w:pPr>
        <w:spacing w:after="0"/>
        <w:jc w:val="center"/>
      </w:pPr>
      <w:r>
        <w:rPr>
          <w:noProof/>
        </w:rPr>
        <w:lastRenderedPageBreak/>
        <w:drawing>
          <wp:inline distT="0" distB="0" distL="0" distR="0" wp14:anchorId="3AC90A6D" wp14:editId="4DA1C73F">
            <wp:extent cx="5715000" cy="5237624"/>
            <wp:effectExtent l="0" t="0" r="0" b="0"/>
            <wp:docPr id="16" name="Picture 16" descr="Supplementary Figure S16 supporting quality control, annotation, pathway, communication, validation, cell-assay or molecular-dynamics analyses."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image16.png"/>
                    <pic:cNvPicPr/>
                  </pic:nvPicPr>
                  <pic:blipFill>
                    <a:blip r:embed="rId23"/>
                    <a:stretch>
                      <a:fillRect/>
                    </a:stretch>
                  </pic:blipFill>
                  <pic:spPr>
                    <a:xfrm>
                      <a:off x="0" y="0"/>
                      <a:ext cx="5715000" cy="5237624"/>
                    </a:xfrm>
                    <a:prstGeom prst="rect">
                      <a:avLst/>
                    </a:prstGeom>
                  </pic:spPr>
                </pic:pic>
              </a:graphicData>
            </a:graphic>
          </wp:inline>
        </w:drawing>
      </w:r>
    </w:p>
    <w:p w14:paraId="2B5F8C0D" w14:textId="77777777" w:rsidR="00EE3C2F" w:rsidRDefault="00000000">
      <w:pPr>
        <w:spacing w:after="0"/>
      </w:pPr>
      <w:r>
        <w:t>Supplementary Figure 16. Independent transcriptomic validation and marker-level discrimination of TNF, MMP9 and IL6 in external atherosclerosis datasets. Receiver operating characteristic curves are descriptive marker-level summaries and are not diagnostic model validation.</w:t>
      </w:r>
    </w:p>
    <w:p w14:paraId="0B8C8C2B" w14:textId="77777777" w:rsidR="00EE3C2F" w:rsidRDefault="00000000">
      <w:pPr>
        <w:spacing w:after="0"/>
        <w:jc w:val="center"/>
      </w:pPr>
      <w:r>
        <w:rPr>
          <w:noProof/>
        </w:rPr>
        <w:drawing>
          <wp:inline distT="0" distB="0" distL="0" distR="0" wp14:anchorId="526598F2" wp14:editId="1EA96CAF">
            <wp:extent cx="5715000" cy="3189767"/>
            <wp:effectExtent l="0" t="0" r="0" b="0"/>
            <wp:docPr id="17" name="Picture 17" descr="Supplementary Figure S17 supporting quality control, annotation, pathway, communication, validation, cell-assay or molecular-dynamics analyse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image17.png"/>
                    <pic:cNvPicPr/>
                  </pic:nvPicPr>
                  <pic:blipFill>
                    <a:blip r:embed="rId24"/>
                    <a:stretch>
                      <a:fillRect/>
                    </a:stretch>
                  </pic:blipFill>
                  <pic:spPr>
                    <a:xfrm>
                      <a:off x="0" y="0"/>
                      <a:ext cx="5715000" cy="3189767"/>
                    </a:xfrm>
                    <a:prstGeom prst="rect">
                      <a:avLst/>
                    </a:prstGeom>
                  </pic:spPr>
                </pic:pic>
              </a:graphicData>
            </a:graphic>
          </wp:inline>
        </w:drawing>
      </w:r>
    </w:p>
    <w:p w14:paraId="29E9FF00" w14:textId="77777777" w:rsidR="00EE3C2F" w:rsidRDefault="00000000">
      <w:pPr>
        <w:spacing w:after="0"/>
      </w:pPr>
      <w:r>
        <w:lastRenderedPageBreak/>
        <w:t>Supplementary Figure 17. TNF loss-of-function defines the upstream position of TNF in the colchicine-responsive macrophage inflammatory-proteolytic program in oxLDL-primed RAW264.7 foam cells.</w:t>
      </w:r>
    </w:p>
    <w:p w14:paraId="10E87161" w14:textId="77777777" w:rsidR="00EE3C2F" w:rsidRDefault="00000000">
      <w:pPr>
        <w:spacing w:after="0"/>
        <w:jc w:val="center"/>
      </w:pPr>
      <w:r>
        <w:rPr>
          <w:noProof/>
        </w:rPr>
        <w:drawing>
          <wp:inline distT="0" distB="0" distL="0" distR="0" wp14:anchorId="64BB3736" wp14:editId="7D41F0F3">
            <wp:extent cx="5715000" cy="3834114"/>
            <wp:effectExtent l="0" t="0" r="0" b="0"/>
            <wp:docPr id="18" name="Picture 18" descr="Supplementary Figure S18 supporting quality control, annotation, pathway, communication, validation, cell-assay or molecular-dynamics analyse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image18.png"/>
                    <pic:cNvPicPr/>
                  </pic:nvPicPr>
                  <pic:blipFill>
                    <a:blip r:embed="rId25"/>
                    <a:stretch>
                      <a:fillRect/>
                    </a:stretch>
                  </pic:blipFill>
                  <pic:spPr>
                    <a:xfrm>
                      <a:off x="0" y="0"/>
                      <a:ext cx="5715000" cy="3834114"/>
                    </a:xfrm>
                    <a:prstGeom prst="rect">
                      <a:avLst/>
                    </a:prstGeom>
                  </pic:spPr>
                </pic:pic>
              </a:graphicData>
            </a:graphic>
          </wp:inline>
        </w:drawing>
      </w:r>
    </w:p>
    <w:p w14:paraId="40524991" w14:textId="77777777" w:rsidR="00EE3C2F" w:rsidRDefault="00000000">
      <w:pPr>
        <w:spacing w:after="0"/>
      </w:pPr>
      <w:r>
        <w:t>Supplementary Figure 18. Orthogonal support for colchicine-responsive inflammatory-proteolytic modulation in oxLDL-primed THP-1-derived macrophage foam cells.</w:t>
      </w:r>
    </w:p>
    <w:p w14:paraId="2FDD036A" w14:textId="77777777" w:rsidR="00EE3C2F" w:rsidRDefault="00000000">
      <w:pPr>
        <w:spacing w:after="0"/>
        <w:jc w:val="center"/>
      </w:pPr>
      <w:r>
        <w:rPr>
          <w:noProof/>
        </w:rPr>
        <w:lastRenderedPageBreak/>
        <w:drawing>
          <wp:inline distT="0" distB="0" distL="0" distR="0" wp14:anchorId="65C58E6A" wp14:editId="66F56753">
            <wp:extent cx="5715000" cy="5715000"/>
            <wp:effectExtent l="0" t="0" r="0" b="0"/>
            <wp:docPr id="19" name="Picture 19" descr="Supplementary Figure S19 supporting quality control, annotation, pathway, communication, validation, cell-assay or molecular-dynamics analyses."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_image19.jpg"/>
                    <pic:cNvPicPr/>
                  </pic:nvPicPr>
                  <pic:blipFill>
                    <a:blip r:embed="rId26"/>
                    <a:stretch>
                      <a:fillRect/>
                    </a:stretch>
                  </pic:blipFill>
                  <pic:spPr>
                    <a:xfrm>
                      <a:off x="0" y="0"/>
                      <a:ext cx="5715000" cy="5715000"/>
                    </a:xfrm>
                    <a:prstGeom prst="rect">
                      <a:avLst/>
                    </a:prstGeom>
                  </pic:spPr>
                </pic:pic>
              </a:graphicData>
            </a:graphic>
          </wp:inline>
        </w:drawing>
      </w:r>
    </w:p>
    <w:p w14:paraId="4CD8B4C7" w14:textId="77777777" w:rsidR="00EE3C2F" w:rsidRDefault="00000000">
      <w:pPr>
        <w:spacing w:after="0"/>
      </w:pPr>
      <w:r>
        <w:t>Supplementary Figure 19. Marker-based validation and hierarchical relationships among plaque cell types.</w:t>
      </w:r>
    </w:p>
    <w:p w14:paraId="309C03C5" w14:textId="77777777" w:rsidR="00EE3C2F" w:rsidRDefault="00000000">
      <w:pPr>
        <w:spacing w:after="0"/>
        <w:jc w:val="center"/>
      </w:pPr>
      <w:r>
        <w:rPr>
          <w:noProof/>
        </w:rPr>
        <w:lastRenderedPageBreak/>
        <w:drawing>
          <wp:inline distT="0" distB="0" distL="0" distR="0" wp14:anchorId="6F89CDCA" wp14:editId="14A8BB24">
            <wp:extent cx="5715000" cy="5715000"/>
            <wp:effectExtent l="0" t="0" r="0" b="0"/>
            <wp:docPr id="20" name="Picture 20" descr="Supplementary Figure S20 supporting quality control, annotation, pathway, communication, validation, cell-assay or molecular-dynamics analyses."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image20.jpg"/>
                    <pic:cNvPicPr/>
                  </pic:nvPicPr>
                  <pic:blipFill>
                    <a:blip r:embed="rId27"/>
                    <a:stretch>
                      <a:fillRect/>
                    </a:stretch>
                  </pic:blipFill>
                  <pic:spPr>
                    <a:xfrm>
                      <a:off x="0" y="0"/>
                      <a:ext cx="5715000" cy="5715000"/>
                    </a:xfrm>
                    <a:prstGeom prst="rect">
                      <a:avLst/>
                    </a:prstGeom>
                  </pic:spPr>
                </pic:pic>
              </a:graphicData>
            </a:graphic>
          </wp:inline>
        </w:drawing>
      </w:r>
    </w:p>
    <w:p w14:paraId="6C496F5C" w14:textId="77777777" w:rsidR="00EE3C2F" w:rsidRDefault="00000000">
      <w:pPr>
        <w:spacing w:after="0"/>
      </w:pPr>
      <w:r>
        <w:t>Supplementary Figure 20. Subject-level compositional modeling of symptomatic versus asymptomatic carotid plaques.</w:t>
      </w:r>
    </w:p>
    <w:p w14:paraId="5842119C" w14:textId="77777777" w:rsidR="00EE3C2F" w:rsidRDefault="00000000">
      <w:pPr>
        <w:spacing w:after="0"/>
        <w:jc w:val="center"/>
      </w:pPr>
      <w:r>
        <w:rPr>
          <w:noProof/>
        </w:rPr>
        <w:lastRenderedPageBreak/>
        <w:drawing>
          <wp:inline distT="0" distB="0" distL="0" distR="0" wp14:anchorId="28201831" wp14:editId="724CC78B">
            <wp:extent cx="5715000" cy="5715000"/>
            <wp:effectExtent l="0" t="0" r="0" b="0"/>
            <wp:docPr id="21" name="Picture 21" descr="Supplementary Figure S21 supporting quality control, annotation, pathway, communication, validation, cell-assay or molecular-dynamics analyses."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image21.jpg"/>
                    <pic:cNvPicPr/>
                  </pic:nvPicPr>
                  <pic:blipFill>
                    <a:blip r:embed="rId28"/>
                    <a:stretch>
                      <a:fillRect/>
                    </a:stretch>
                  </pic:blipFill>
                  <pic:spPr>
                    <a:xfrm>
                      <a:off x="0" y="0"/>
                      <a:ext cx="5715000" cy="5715000"/>
                    </a:xfrm>
                    <a:prstGeom prst="rect">
                      <a:avLst/>
                    </a:prstGeom>
                  </pic:spPr>
                </pic:pic>
              </a:graphicData>
            </a:graphic>
          </wp:inline>
        </w:drawing>
      </w:r>
    </w:p>
    <w:p w14:paraId="79AA6ACE" w14:textId="77777777" w:rsidR="00EE3C2F" w:rsidRDefault="00000000">
      <w:pPr>
        <w:spacing w:after="0"/>
      </w:pPr>
      <w:r>
        <w:t>Supplementary Figure 21. Functional fingerprinting and pathway co-regulation across key vascular and immune compartments.</w:t>
      </w:r>
    </w:p>
    <w:p w14:paraId="7DFBB743" w14:textId="77777777" w:rsidR="00223267" w:rsidRDefault="00223267">
      <w:pPr>
        <w:spacing w:after="200" w:line="276" w:lineRule="auto"/>
        <w:rPr>
          <w:noProof/>
        </w:rPr>
      </w:pPr>
      <w:r>
        <w:rPr>
          <w:noProof/>
        </w:rPr>
        <w:br w:type="page"/>
      </w:r>
    </w:p>
    <w:p w14:paraId="19D05893" w14:textId="617FC6D5" w:rsidR="00EE3C2F" w:rsidRDefault="00000000">
      <w:pPr>
        <w:spacing w:after="0"/>
        <w:jc w:val="center"/>
      </w:pPr>
      <w:r>
        <w:rPr>
          <w:noProof/>
        </w:rPr>
        <w:lastRenderedPageBreak/>
        <w:drawing>
          <wp:inline distT="0" distB="0" distL="0" distR="0" wp14:anchorId="06902519" wp14:editId="62EBDE76">
            <wp:extent cx="5715000" cy="2958116"/>
            <wp:effectExtent l="0" t="0" r="0" b="0"/>
            <wp:docPr id="22" name="Picture 22" descr="Supplementary Figure S22 supporting quality control, annotation, pathway, communication, validation, cell-assay or molecular-dynamics analyses."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image22.png"/>
                    <pic:cNvPicPr/>
                  </pic:nvPicPr>
                  <pic:blipFill>
                    <a:blip r:embed="rId29"/>
                    <a:stretch>
                      <a:fillRect/>
                    </a:stretch>
                  </pic:blipFill>
                  <pic:spPr>
                    <a:xfrm>
                      <a:off x="0" y="0"/>
                      <a:ext cx="5715000" cy="2958116"/>
                    </a:xfrm>
                    <a:prstGeom prst="rect">
                      <a:avLst/>
                    </a:prstGeom>
                  </pic:spPr>
                </pic:pic>
              </a:graphicData>
            </a:graphic>
          </wp:inline>
        </w:drawing>
      </w:r>
    </w:p>
    <w:p w14:paraId="68E2BD11" w14:textId="77777777" w:rsidR="00EE3C2F" w:rsidRDefault="00000000">
      <w:pPr>
        <w:spacing w:after="0"/>
      </w:pPr>
      <w:r>
        <w:t>Supplementary Figure 22. Molecular dynamics simulation of the colchicine-MMP9 complex. RMSD, radius of gyration, RMSF, protein-ligand distance, buried solvent-accessible surface area and MM/GBSA decomposition support structural plausibility while retaining the boundary that MD does not prove direct biochemical target engagement. The corrected decomposition panel displays protein-side residue contributions after excluding the ligand self-term, and the trajectory is interpreted as predominant or recurrent pocket engagement with transient excursions rather than as experimental proof of binding.</w:t>
      </w:r>
    </w:p>
    <w:p w14:paraId="181D3921" w14:textId="77777777" w:rsidR="00223267" w:rsidRDefault="00223267">
      <w:pPr>
        <w:spacing w:after="200" w:line="276" w:lineRule="auto"/>
        <w:rPr>
          <w:b/>
        </w:rPr>
      </w:pPr>
      <w:r>
        <w:rPr>
          <w:b/>
        </w:rPr>
        <w:br w:type="page"/>
      </w:r>
    </w:p>
    <w:p w14:paraId="5D7C21D2" w14:textId="38A7CAD6" w:rsidR="00EE3C2F" w:rsidRDefault="00000000">
      <w:pPr>
        <w:spacing w:after="0"/>
      </w:pPr>
      <w:r>
        <w:rPr>
          <w:b/>
        </w:rPr>
        <w:lastRenderedPageBreak/>
        <w:t>Supplementary Tables</w:t>
      </w:r>
    </w:p>
    <w:p w14:paraId="7E2A5DA9" w14:textId="77777777" w:rsidR="00EE3C2F" w:rsidRDefault="00000000">
      <w:pPr>
        <w:spacing w:after="0"/>
      </w:pPr>
      <w:r>
        <w:rPr>
          <w:b/>
        </w:rPr>
        <w:t>Supplementary Table 1. Molecular docking results of colchicine with core targets. Predicted Ki values were removed from the main table because docking scores should not be overinterpreted as experimental binding constants.</w:t>
      </w:r>
    </w:p>
    <w:tbl>
      <w:tblPr>
        <w:tblStyle w:val="aff1"/>
        <w:tblW w:w="0" w:type="auto"/>
        <w:jc w:val="center"/>
        <w:tblLook w:val="04A0" w:firstRow="1" w:lastRow="0" w:firstColumn="1" w:lastColumn="0" w:noHBand="0" w:noVBand="1"/>
      </w:tblPr>
      <w:tblGrid>
        <w:gridCol w:w="1606"/>
        <w:gridCol w:w="1606"/>
        <w:gridCol w:w="1606"/>
        <w:gridCol w:w="1606"/>
        <w:gridCol w:w="1606"/>
        <w:gridCol w:w="1606"/>
      </w:tblGrid>
      <w:tr w:rsidR="00EE3C2F" w14:paraId="7D34E531" w14:textId="77777777">
        <w:trPr>
          <w:jc w:val="center"/>
        </w:trPr>
        <w:tc>
          <w:tcPr>
            <w:tcW w:w="1606" w:type="dxa"/>
            <w:shd w:val="clear" w:color="auto" w:fill="D9EAF7"/>
            <w:tcMar>
              <w:top w:w="50" w:type="dxa"/>
              <w:left w:w="50" w:type="dxa"/>
              <w:bottom w:w="50" w:type="dxa"/>
              <w:right w:w="50" w:type="dxa"/>
            </w:tcMar>
            <w:vAlign w:val="center"/>
          </w:tcPr>
          <w:p w14:paraId="3A581D92" w14:textId="77777777" w:rsidR="00EE3C2F" w:rsidRDefault="00000000">
            <w:pPr>
              <w:spacing w:after="0"/>
            </w:pPr>
            <w:r>
              <w:rPr>
                <w:b/>
              </w:rPr>
              <w:t>Ligand</w:t>
            </w:r>
          </w:p>
        </w:tc>
        <w:tc>
          <w:tcPr>
            <w:tcW w:w="1606" w:type="dxa"/>
            <w:shd w:val="clear" w:color="auto" w:fill="D9EAF7"/>
            <w:tcMar>
              <w:top w:w="50" w:type="dxa"/>
              <w:left w:w="50" w:type="dxa"/>
              <w:bottom w:w="50" w:type="dxa"/>
              <w:right w:w="50" w:type="dxa"/>
            </w:tcMar>
            <w:vAlign w:val="center"/>
          </w:tcPr>
          <w:p w14:paraId="61734992" w14:textId="77777777" w:rsidR="00EE3C2F" w:rsidRDefault="00000000">
            <w:pPr>
              <w:spacing w:after="0"/>
            </w:pPr>
            <w:r>
              <w:rPr>
                <w:b/>
              </w:rPr>
              <w:t>PubChem CID</w:t>
            </w:r>
          </w:p>
        </w:tc>
        <w:tc>
          <w:tcPr>
            <w:tcW w:w="1606" w:type="dxa"/>
            <w:shd w:val="clear" w:color="auto" w:fill="D9EAF7"/>
            <w:tcMar>
              <w:top w:w="50" w:type="dxa"/>
              <w:left w:w="50" w:type="dxa"/>
              <w:bottom w:w="50" w:type="dxa"/>
              <w:right w:w="50" w:type="dxa"/>
            </w:tcMar>
            <w:vAlign w:val="center"/>
          </w:tcPr>
          <w:p w14:paraId="1EDA5695" w14:textId="77777777" w:rsidR="00EE3C2F" w:rsidRDefault="00000000">
            <w:pPr>
              <w:spacing w:after="0"/>
            </w:pPr>
            <w:r>
              <w:rPr>
                <w:b/>
              </w:rPr>
              <w:t>Receptor protein</w:t>
            </w:r>
          </w:p>
        </w:tc>
        <w:tc>
          <w:tcPr>
            <w:tcW w:w="1606" w:type="dxa"/>
            <w:shd w:val="clear" w:color="auto" w:fill="D9EAF7"/>
            <w:tcMar>
              <w:top w:w="50" w:type="dxa"/>
              <w:left w:w="50" w:type="dxa"/>
              <w:bottom w:w="50" w:type="dxa"/>
              <w:right w:w="50" w:type="dxa"/>
            </w:tcMar>
            <w:vAlign w:val="center"/>
          </w:tcPr>
          <w:p w14:paraId="3938653A" w14:textId="77777777" w:rsidR="00EE3C2F" w:rsidRDefault="00000000">
            <w:pPr>
              <w:spacing w:after="0"/>
            </w:pPr>
            <w:r>
              <w:rPr>
                <w:b/>
              </w:rPr>
              <w:t>PDB ID</w:t>
            </w:r>
          </w:p>
        </w:tc>
        <w:tc>
          <w:tcPr>
            <w:tcW w:w="1606" w:type="dxa"/>
            <w:shd w:val="clear" w:color="auto" w:fill="D9EAF7"/>
            <w:tcMar>
              <w:top w:w="50" w:type="dxa"/>
              <w:left w:w="50" w:type="dxa"/>
              <w:bottom w:w="50" w:type="dxa"/>
              <w:right w:w="50" w:type="dxa"/>
            </w:tcMar>
            <w:vAlign w:val="center"/>
          </w:tcPr>
          <w:p w14:paraId="43902668" w14:textId="77777777" w:rsidR="00EE3C2F" w:rsidRDefault="00000000">
            <w:pPr>
              <w:spacing w:after="0"/>
            </w:pPr>
            <w:r>
              <w:rPr>
                <w:b/>
              </w:rPr>
              <w:t>Docking affinity (kcal/mol)</w:t>
            </w:r>
          </w:p>
        </w:tc>
        <w:tc>
          <w:tcPr>
            <w:tcW w:w="1606" w:type="dxa"/>
            <w:shd w:val="clear" w:color="auto" w:fill="D9EAF7"/>
            <w:tcMar>
              <w:top w:w="50" w:type="dxa"/>
              <w:left w:w="50" w:type="dxa"/>
              <w:bottom w:w="50" w:type="dxa"/>
              <w:right w:w="50" w:type="dxa"/>
            </w:tcMar>
            <w:vAlign w:val="center"/>
          </w:tcPr>
          <w:p w14:paraId="0C1E3070" w14:textId="77777777" w:rsidR="00EE3C2F" w:rsidRDefault="00000000">
            <w:pPr>
              <w:spacing w:after="0"/>
            </w:pPr>
            <w:r>
              <w:rPr>
                <w:b/>
              </w:rPr>
              <w:t>Ligand efficiency</w:t>
            </w:r>
          </w:p>
        </w:tc>
      </w:tr>
      <w:tr w:rsidR="00EE3C2F" w14:paraId="4D7DCB6D" w14:textId="77777777">
        <w:trPr>
          <w:jc w:val="center"/>
        </w:trPr>
        <w:tc>
          <w:tcPr>
            <w:tcW w:w="1606" w:type="dxa"/>
            <w:tcMar>
              <w:top w:w="50" w:type="dxa"/>
              <w:left w:w="50" w:type="dxa"/>
              <w:bottom w:w="50" w:type="dxa"/>
              <w:right w:w="50" w:type="dxa"/>
            </w:tcMar>
            <w:vAlign w:val="center"/>
          </w:tcPr>
          <w:p w14:paraId="714984F4" w14:textId="77777777" w:rsidR="00EE3C2F" w:rsidRDefault="00000000">
            <w:pPr>
              <w:spacing w:after="0"/>
            </w:pPr>
            <w:r>
              <w:t>Colchicine</w:t>
            </w:r>
          </w:p>
        </w:tc>
        <w:tc>
          <w:tcPr>
            <w:tcW w:w="1606" w:type="dxa"/>
            <w:tcMar>
              <w:top w:w="50" w:type="dxa"/>
              <w:left w:w="50" w:type="dxa"/>
              <w:bottom w:w="50" w:type="dxa"/>
              <w:right w:w="50" w:type="dxa"/>
            </w:tcMar>
            <w:vAlign w:val="center"/>
          </w:tcPr>
          <w:p w14:paraId="2C7E8418" w14:textId="77777777" w:rsidR="00EE3C2F" w:rsidRDefault="00000000">
            <w:pPr>
              <w:spacing w:after="0"/>
            </w:pPr>
            <w:r>
              <w:t>6167</w:t>
            </w:r>
          </w:p>
        </w:tc>
        <w:tc>
          <w:tcPr>
            <w:tcW w:w="1606" w:type="dxa"/>
            <w:tcMar>
              <w:top w:w="50" w:type="dxa"/>
              <w:left w:w="50" w:type="dxa"/>
              <w:bottom w:w="50" w:type="dxa"/>
              <w:right w:w="50" w:type="dxa"/>
            </w:tcMar>
            <w:vAlign w:val="center"/>
          </w:tcPr>
          <w:p w14:paraId="0C9E6583" w14:textId="77777777" w:rsidR="00EE3C2F" w:rsidRDefault="00000000">
            <w:pPr>
              <w:spacing w:after="0"/>
            </w:pPr>
            <w:r>
              <w:t>Matrix metallopeptidase 9 (MMP9)</w:t>
            </w:r>
          </w:p>
        </w:tc>
        <w:tc>
          <w:tcPr>
            <w:tcW w:w="1606" w:type="dxa"/>
            <w:tcMar>
              <w:top w:w="50" w:type="dxa"/>
              <w:left w:w="50" w:type="dxa"/>
              <w:bottom w:w="50" w:type="dxa"/>
              <w:right w:w="50" w:type="dxa"/>
            </w:tcMar>
            <w:vAlign w:val="center"/>
          </w:tcPr>
          <w:p w14:paraId="33A90F6F" w14:textId="77777777" w:rsidR="00EE3C2F" w:rsidRDefault="00000000">
            <w:pPr>
              <w:spacing w:after="0"/>
            </w:pPr>
            <w:r>
              <w:t>4WZV</w:t>
            </w:r>
          </w:p>
        </w:tc>
        <w:tc>
          <w:tcPr>
            <w:tcW w:w="1606" w:type="dxa"/>
            <w:tcMar>
              <w:top w:w="50" w:type="dxa"/>
              <w:left w:w="50" w:type="dxa"/>
              <w:bottom w:w="50" w:type="dxa"/>
              <w:right w:w="50" w:type="dxa"/>
            </w:tcMar>
            <w:vAlign w:val="center"/>
          </w:tcPr>
          <w:p w14:paraId="77C1DBAE" w14:textId="77777777" w:rsidR="00EE3C2F" w:rsidRDefault="00000000">
            <w:pPr>
              <w:spacing w:after="0"/>
            </w:pPr>
            <w:r>
              <w:t>-12.22</w:t>
            </w:r>
          </w:p>
        </w:tc>
        <w:tc>
          <w:tcPr>
            <w:tcW w:w="1606" w:type="dxa"/>
            <w:tcMar>
              <w:top w:w="50" w:type="dxa"/>
              <w:left w:w="50" w:type="dxa"/>
              <w:bottom w:w="50" w:type="dxa"/>
              <w:right w:w="50" w:type="dxa"/>
            </w:tcMar>
            <w:vAlign w:val="center"/>
          </w:tcPr>
          <w:p w14:paraId="6315918D" w14:textId="77777777" w:rsidR="00EE3C2F" w:rsidRDefault="00000000">
            <w:pPr>
              <w:spacing w:after="0"/>
            </w:pPr>
            <w:r>
              <w:t>0.421</w:t>
            </w:r>
          </w:p>
        </w:tc>
      </w:tr>
      <w:tr w:rsidR="00EE3C2F" w14:paraId="02EFE200" w14:textId="77777777">
        <w:trPr>
          <w:jc w:val="center"/>
        </w:trPr>
        <w:tc>
          <w:tcPr>
            <w:tcW w:w="1606" w:type="dxa"/>
            <w:tcMar>
              <w:top w:w="50" w:type="dxa"/>
              <w:left w:w="50" w:type="dxa"/>
              <w:bottom w:w="50" w:type="dxa"/>
              <w:right w:w="50" w:type="dxa"/>
            </w:tcMar>
            <w:vAlign w:val="center"/>
          </w:tcPr>
          <w:p w14:paraId="6DF20271" w14:textId="77777777" w:rsidR="00EE3C2F" w:rsidRDefault="00000000">
            <w:pPr>
              <w:spacing w:after="0"/>
            </w:pPr>
            <w:r>
              <w:t>Colchicine</w:t>
            </w:r>
          </w:p>
        </w:tc>
        <w:tc>
          <w:tcPr>
            <w:tcW w:w="1606" w:type="dxa"/>
            <w:tcMar>
              <w:top w:w="50" w:type="dxa"/>
              <w:left w:w="50" w:type="dxa"/>
              <w:bottom w:w="50" w:type="dxa"/>
              <w:right w:w="50" w:type="dxa"/>
            </w:tcMar>
            <w:vAlign w:val="center"/>
          </w:tcPr>
          <w:p w14:paraId="78548DD4" w14:textId="77777777" w:rsidR="00EE3C2F" w:rsidRDefault="00000000">
            <w:pPr>
              <w:spacing w:after="0"/>
            </w:pPr>
            <w:r>
              <w:t>6167</w:t>
            </w:r>
          </w:p>
        </w:tc>
        <w:tc>
          <w:tcPr>
            <w:tcW w:w="1606" w:type="dxa"/>
            <w:tcMar>
              <w:top w:w="50" w:type="dxa"/>
              <w:left w:w="50" w:type="dxa"/>
              <w:bottom w:w="50" w:type="dxa"/>
              <w:right w:w="50" w:type="dxa"/>
            </w:tcMar>
            <w:vAlign w:val="center"/>
          </w:tcPr>
          <w:p w14:paraId="5ED1E3B1" w14:textId="77777777" w:rsidR="00EE3C2F" w:rsidRDefault="00000000">
            <w:pPr>
              <w:spacing w:after="0"/>
            </w:pPr>
            <w:r>
              <w:t>Tumor necrosis factor alpha (TNF-alpha)</w:t>
            </w:r>
          </w:p>
        </w:tc>
        <w:tc>
          <w:tcPr>
            <w:tcW w:w="1606" w:type="dxa"/>
            <w:tcMar>
              <w:top w:w="50" w:type="dxa"/>
              <w:left w:w="50" w:type="dxa"/>
              <w:bottom w:w="50" w:type="dxa"/>
              <w:right w:w="50" w:type="dxa"/>
            </w:tcMar>
            <w:vAlign w:val="center"/>
          </w:tcPr>
          <w:p w14:paraId="3518E9DF" w14:textId="77777777" w:rsidR="00EE3C2F" w:rsidRDefault="00000000">
            <w:pPr>
              <w:spacing w:after="0"/>
            </w:pPr>
            <w:r>
              <w:t>2AZ5</w:t>
            </w:r>
          </w:p>
        </w:tc>
        <w:tc>
          <w:tcPr>
            <w:tcW w:w="1606" w:type="dxa"/>
            <w:tcMar>
              <w:top w:w="50" w:type="dxa"/>
              <w:left w:w="50" w:type="dxa"/>
              <w:bottom w:w="50" w:type="dxa"/>
              <w:right w:w="50" w:type="dxa"/>
            </w:tcMar>
            <w:vAlign w:val="center"/>
          </w:tcPr>
          <w:p w14:paraId="17D0F16C" w14:textId="77777777" w:rsidR="00EE3C2F" w:rsidRDefault="00000000">
            <w:pPr>
              <w:spacing w:after="0"/>
            </w:pPr>
            <w:r>
              <w:t>-6.769</w:t>
            </w:r>
          </w:p>
        </w:tc>
        <w:tc>
          <w:tcPr>
            <w:tcW w:w="1606" w:type="dxa"/>
            <w:tcMar>
              <w:top w:w="50" w:type="dxa"/>
              <w:left w:w="50" w:type="dxa"/>
              <w:bottom w:w="50" w:type="dxa"/>
              <w:right w:w="50" w:type="dxa"/>
            </w:tcMar>
            <w:vAlign w:val="center"/>
          </w:tcPr>
          <w:p w14:paraId="45CA74CE" w14:textId="77777777" w:rsidR="00EE3C2F" w:rsidRDefault="00000000">
            <w:pPr>
              <w:spacing w:after="0"/>
            </w:pPr>
            <w:r>
              <w:t>0.233</w:t>
            </w:r>
          </w:p>
        </w:tc>
      </w:tr>
    </w:tbl>
    <w:p w14:paraId="47BDC156" w14:textId="77777777" w:rsidR="00EE3C2F" w:rsidRDefault="00EE3C2F">
      <w:pPr>
        <w:spacing w:after="0"/>
      </w:pPr>
    </w:p>
    <w:p w14:paraId="55AEE7F2" w14:textId="77777777" w:rsidR="00EE3C2F" w:rsidRDefault="00000000">
      <w:pPr>
        <w:spacing w:after="0"/>
      </w:pPr>
      <w:r>
        <w:rPr>
          <w:b/>
        </w:rPr>
        <w:t>Supplementary Table 2. Primary antibodies for Western blotting.</w:t>
      </w:r>
    </w:p>
    <w:tbl>
      <w:tblPr>
        <w:tblStyle w:val="aff1"/>
        <w:tblW w:w="0" w:type="auto"/>
        <w:jc w:val="center"/>
        <w:tblLook w:val="04A0" w:firstRow="1" w:lastRow="0" w:firstColumn="1" w:lastColumn="0" w:noHBand="0" w:noVBand="1"/>
      </w:tblPr>
      <w:tblGrid>
        <w:gridCol w:w="2409"/>
        <w:gridCol w:w="2409"/>
        <w:gridCol w:w="2409"/>
        <w:gridCol w:w="2409"/>
      </w:tblGrid>
      <w:tr w:rsidR="00EE3C2F" w14:paraId="6C71E67E" w14:textId="77777777">
        <w:trPr>
          <w:jc w:val="center"/>
        </w:trPr>
        <w:tc>
          <w:tcPr>
            <w:tcW w:w="2409" w:type="dxa"/>
            <w:shd w:val="clear" w:color="auto" w:fill="D9EAF7"/>
            <w:tcMar>
              <w:top w:w="50" w:type="dxa"/>
              <w:left w:w="50" w:type="dxa"/>
              <w:bottom w:w="50" w:type="dxa"/>
              <w:right w:w="50" w:type="dxa"/>
            </w:tcMar>
            <w:vAlign w:val="center"/>
          </w:tcPr>
          <w:p w14:paraId="32050861" w14:textId="77777777" w:rsidR="00EE3C2F" w:rsidRDefault="00000000">
            <w:pPr>
              <w:spacing w:after="0"/>
            </w:pPr>
            <w:r>
              <w:rPr>
                <w:b/>
              </w:rPr>
              <w:t>Target protein</w:t>
            </w:r>
          </w:p>
        </w:tc>
        <w:tc>
          <w:tcPr>
            <w:tcW w:w="2409" w:type="dxa"/>
            <w:shd w:val="clear" w:color="auto" w:fill="D9EAF7"/>
            <w:tcMar>
              <w:top w:w="50" w:type="dxa"/>
              <w:left w:w="50" w:type="dxa"/>
              <w:bottom w:w="50" w:type="dxa"/>
              <w:right w:w="50" w:type="dxa"/>
            </w:tcMar>
            <w:vAlign w:val="center"/>
          </w:tcPr>
          <w:p w14:paraId="061F4670" w14:textId="77777777" w:rsidR="00EE3C2F" w:rsidRDefault="00000000">
            <w:pPr>
              <w:spacing w:after="0"/>
            </w:pPr>
            <w:r>
              <w:rPr>
                <w:b/>
              </w:rPr>
              <w:t>Expected molecular weight (kDa)</w:t>
            </w:r>
          </w:p>
        </w:tc>
        <w:tc>
          <w:tcPr>
            <w:tcW w:w="2409" w:type="dxa"/>
            <w:shd w:val="clear" w:color="auto" w:fill="D9EAF7"/>
            <w:tcMar>
              <w:top w:w="50" w:type="dxa"/>
              <w:left w:w="50" w:type="dxa"/>
              <w:bottom w:w="50" w:type="dxa"/>
              <w:right w:w="50" w:type="dxa"/>
            </w:tcMar>
            <w:vAlign w:val="center"/>
          </w:tcPr>
          <w:p w14:paraId="78DDD7F4" w14:textId="77777777" w:rsidR="00EE3C2F" w:rsidRDefault="00000000">
            <w:pPr>
              <w:spacing w:after="0"/>
            </w:pPr>
            <w:r>
              <w:rPr>
                <w:b/>
              </w:rPr>
              <w:t>Host species / clonality</w:t>
            </w:r>
          </w:p>
        </w:tc>
        <w:tc>
          <w:tcPr>
            <w:tcW w:w="2409" w:type="dxa"/>
            <w:shd w:val="clear" w:color="auto" w:fill="D9EAF7"/>
            <w:tcMar>
              <w:top w:w="50" w:type="dxa"/>
              <w:left w:w="50" w:type="dxa"/>
              <w:bottom w:w="50" w:type="dxa"/>
              <w:right w:w="50" w:type="dxa"/>
            </w:tcMar>
            <w:vAlign w:val="center"/>
          </w:tcPr>
          <w:p w14:paraId="71B29E5A" w14:textId="77777777" w:rsidR="00EE3C2F" w:rsidRDefault="00000000">
            <w:pPr>
              <w:spacing w:after="0"/>
            </w:pPr>
            <w:r>
              <w:rPr>
                <w:b/>
              </w:rPr>
              <w:t>Dilution</w:t>
            </w:r>
          </w:p>
        </w:tc>
      </w:tr>
      <w:tr w:rsidR="00EE3C2F" w14:paraId="20D99F04" w14:textId="77777777">
        <w:trPr>
          <w:jc w:val="center"/>
        </w:trPr>
        <w:tc>
          <w:tcPr>
            <w:tcW w:w="2409" w:type="dxa"/>
            <w:tcMar>
              <w:top w:w="50" w:type="dxa"/>
              <w:left w:w="50" w:type="dxa"/>
              <w:bottom w:w="50" w:type="dxa"/>
              <w:right w:w="50" w:type="dxa"/>
            </w:tcMar>
            <w:vAlign w:val="center"/>
          </w:tcPr>
          <w:p w14:paraId="68A45D17" w14:textId="77777777" w:rsidR="00EE3C2F" w:rsidRDefault="00000000">
            <w:pPr>
              <w:spacing w:after="0"/>
            </w:pPr>
            <w:r>
              <w:t>MMP-9</w:t>
            </w:r>
          </w:p>
        </w:tc>
        <w:tc>
          <w:tcPr>
            <w:tcW w:w="2409" w:type="dxa"/>
            <w:tcMar>
              <w:top w:w="50" w:type="dxa"/>
              <w:left w:w="50" w:type="dxa"/>
              <w:bottom w:w="50" w:type="dxa"/>
              <w:right w:w="50" w:type="dxa"/>
            </w:tcMar>
            <w:vAlign w:val="center"/>
          </w:tcPr>
          <w:p w14:paraId="04943C29" w14:textId="77777777" w:rsidR="00EE3C2F" w:rsidRDefault="00000000">
            <w:pPr>
              <w:spacing w:after="0"/>
            </w:pPr>
            <w:r>
              <w:t>~92 (Pro) / ~84 (Active)</w:t>
            </w:r>
          </w:p>
        </w:tc>
        <w:tc>
          <w:tcPr>
            <w:tcW w:w="2409" w:type="dxa"/>
            <w:tcMar>
              <w:top w:w="50" w:type="dxa"/>
              <w:left w:w="50" w:type="dxa"/>
              <w:bottom w:w="50" w:type="dxa"/>
              <w:right w:w="50" w:type="dxa"/>
            </w:tcMar>
            <w:vAlign w:val="center"/>
          </w:tcPr>
          <w:p w14:paraId="45D4AD96" w14:textId="77777777" w:rsidR="00EE3C2F" w:rsidRDefault="00000000">
            <w:pPr>
              <w:spacing w:after="0"/>
            </w:pPr>
            <w:r>
              <w:t>Rabbit polyclonal</w:t>
            </w:r>
          </w:p>
        </w:tc>
        <w:tc>
          <w:tcPr>
            <w:tcW w:w="2409" w:type="dxa"/>
            <w:tcMar>
              <w:top w:w="50" w:type="dxa"/>
              <w:left w:w="50" w:type="dxa"/>
              <w:bottom w:w="50" w:type="dxa"/>
              <w:right w:w="50" w:type="dxa"/>
            </w:tcMar>
            <w:vAlign w:val="center"/>
          </w:tcPr>
          <w:p w14:paraId="0B143248" w14:textId="77777777" w:rsidR="00EE3C2F" w:rsidRDefault="00000000">
            <w:pPr>
              <w:spacing w:after="0"/>
            </w:pPr>
            <w:r>
              <w:t>1:1000</w:t>
            </w:r>
          </w:p>
        </w:tc>
      </w:tr>
      <w:tr w:rsidR="00EE3C2F" w14:paraId="2A230FBE" w14:textId="77777777">
        <w:trPr>
          <w:jc w:val="center"/>
        </w:trPr>
        <w:tc>
          <w:tcPr>
            <w:tcW w:w="2409" w:type="dxa"/>
            <w:tcMar>
              <w:top w:w="50" w:type="dxa"/>
              <w:left w:w="50" w:type="dxa"/>
              <w:bottom w:w="50" w:type="dxa"/>
              <w:right w:w="50" w:type="dxa"/>
            </w:tcMar>
            <w:vAlign w:val="center"/>
          </w:tcPr>
          <w:p w14:paraId="57B63265" w14:textId="77777777" w:rsidR="00EE3C2F" w:rsidRDefault="00000000">
            <w:pPr>
              <w:spacing w:after="0"/>
            </w:pPr>
            <w:r>
              <w:t>TNF-alpha</w:t>
            </w:r>
          </w:p>
        </w:tc>
        <w:tc>
          <w:tcPr>
            <w:tcW w:w="2409" w:type="dxa"/>
            <w:tcMar>
              <w:top w:w="50" w:type="dxa"/>
              <w:left w:w="50" w:type="dxa"/>
              <w:bottom w:w="50" w:type="dxa"/>
              <w:right w:w="50" w:type="dxa"/>
            </w:tcMar>
            <w:vAlign w:val="center"/>
          </w:tcPr>
          <w:p w14:paraId="03B833A6" w14:textId="77777777" w:rsidR="00EE3C2F" w:rsidRDefault="00000000">
            <w:pPr>
              <w:spacing w:after="0"/>
            </w:pPr>
            <w:r>
              <w:t>~26 (membrane) / ~17 (soluble)</w:t>
            </w:r>
          </w:p>
        </w:tc>
        <w:tc>
          <w:tcPr>
            <w:tcW w:w="2409" w:type="dxa"/>
            <w:tcMar>
              <w:top w:w="50" w:type="dxa"/>
              <w:left w:w="50" w:type="dxa"/>
              <w:bottom w:w="50" w:type="dxa"/>
              <w:right w:w="50" w:type="dxa"/>
            </w:tcMar>
            <w:vAlign w:val="center"/>
          </w:tcPr>
          <w:p w14:paraId="4CA20A72" w14:textId="77777777" w:rsidR="00EE3C2F" w:rsidRDefault="00000000">
            <w:pPr>
              <w:spacing w:after="0"/>
            </w:pPr>
            <w:r>
              <w:t>Rabbit polyclonal</w:t>
            </w:r>
          </w:p>
        </w:tc>
        <w:tc>
          <w:tcPr>
            <w:tcW w:w="2409" w:type="dxa"/>
            <w:tcMar>
              <w:top w:w="50" w:type="dxa"/>
              <w:left w:w="50" w:type="dxa"/>
              <w:bottom w:w="50" w:type="dxa"/>
              <w:right w:w="50" w:type="dxa"/>
            </w:tcMar>
            <w:vAlign w:val="center"/>
          </w:tcPr>
          <w:p w14:paraId="7F779885" w14:textId="77777777" w:rsidR="00EE3C2F" w:rsidRDefault="00000000">
            <w:pPr>
              <w:spacing w:after="0"/>
            </w:pPr>
            <w:r>
              <w:t>1:1000</w:t>
            </w:r>
          </w:p>
        </w:tc>
      </w:tr>
      <w:tr w:rsidR="00EE3C2F" w14:paraId="30C7ADF2" w14:textId="77777777">
        <w:trPr>
          <w:jc w:val="center"/>
        </w:trPr>
        <w:tc>
          <w:tcPr>
            <w:tcW w:w="2409" w:type="dxa"/>
            <w:tcMar>
              <w:top w:w="50" w:type="dxa"/>
              <w:left w:w="50" w:type="dxa"/>
              <w:bottom w:w="50" w:type="dxa"/>
              <w:right w:w="50" w:type="dxa"/>
            </w:tcMar>
            <w:vAlign w:val="center"/>
          </w:tcPr>
          <w:p w14:paraId="1E1FB561" w14:textId="77777777" w:rsidR="00EE3C2F" w:rsidRDefault="00000000">
            <w:pPr>
              <w:spacing w:after="0"/>
            </w:pPr>
            <w:r>
              <w:t>CD36</w:t>
            </w:r>
          </w:p>
        </w:tc>
        <w:tc>
          <w:tcPr>
            <w:tcW w:w="2409" w:type="dxa"/>
            <w:tcMar>
              <w:top w:w="50" w:type="dxa"/>
              <w:left w:w="50" w:type="dxa"/>
              <w:bottom w:w="50" w:type="dxa"/>
              <w:right w:w="50" w:type="dxa"/>
            </w:tcMar>
            <w:vAlign w:val="center"/>
          </w:tcPr>
          <w:p w14:paraId="417E1D69" w14:textId="77777777" w:rsidR="00EE3C2F" w:rsidRDefault="00000000">
            <w:pPr>
              <w:spacing w:after="0"/>
            </w:pPr>
            <w:r>
              <w:t>88</w:t>
            </w:r>
          </w:p>
        </w:tc>
        <w:tc>
          <w:tcPr>
            <w:tcW w:w="2409" w:type="dxa"/>
            <w:tcMar>
              <w:top w:w="50" w:type="dxa"/>
              <w:left w:w="50" w:type="dxa"/>
              <w:bottom w:w="50" w:type="dxa"/>
              <w:right w:w="50" w:type="dxa"/>
            </w:tcMar>
            <w:vAlign w:val="center"/>
          </w:tcPr>
          <w:p w14:paraId="1E3B1073" w14:textId="77777777" w:rsidR="00EE3C2F" w:rsidRDefault="00000000">
            <w:pPr>
              <w:spacing w:after="0"/>
            </w:pPr>
            <w:r>
              <w:t>Rabbit monoclonal</w:t>
            </w:r>
          </w:p>
        </w:tc>
        <w:tc>
          <w:tcPr>
            <w:tcW w:w="2409" w:type="dxa"/>
            <w:tcMar>
              <w:top w:w="50" w:type="dxa"/>
              <w:left w:w="50" w:type="dxa"/>
              <w:bottom w:w="50" w:type="dxa"/>
              <w:right w:w="50" w:type="dxa"/>
            </w:tcMar>
            <w:vAlign w:val="center"/>
          </w:tcPr>
          <w:p w14:paraId="5AF2D44E" w14:textId="77777777" w:rsidR="00EE3C2F" w:rsidRDefault="00000000">
            <w:pPr>
              <w:spacing w:after="0"/>
            </w:pPr>
            <w:r>
              <w:t>1:1000</w:t>
            </w:r>
          </w:p>
        </w:tc>
      </w:tr>
      <w:tr w:rsidR="00EE3C2F" w14:paraId="79BEDAE2" w14:textId="77777777">
        <w:trPr>
          <w:jc w:val="center"/>
        </w:trPr>
        <w:tc>
          <w:tcPr>
            <w:tcW w:w="2409" w:type="dxa"/>
            <w:tcMar>
              <w:top w:w="50" w:type="dxa"/>
              <w:left w:w="50" w:type="dxa"/>
              <w:bottom w:w="50" w:type="dxa"/>
              <w:right w:w="50" w:type="dxa"/>
            </w:tcMar>
            <w:vAlign w:val="center"/>
          </w:tcPr>
          <w:p w14:paraId="7768EF2F" w14:textId="77777777" w:rsidR="00EE3C2F" w:rsidRDefault="00000000">
            <w:pPr>
              <w:spacing w:after="0"/>
            </w:pPr>
            <w:r>
              <w:t>NF-kappa B p65</w:t>
            </w:r>
          </w:p>
        </w:tc>
        <w:tc>
          <w:tcPr>
            <w:tcW w:w="2409" w:type="dxa"/>
            <w:tcMar>
              <w:top w:w="50" w:type="dxa"/>
              <w:left w:w="50" w:type="dxa"/>
              <w:bottom w:w="50" w:type="dxa"/>
              <w:right w:w="50" w:type="dxa"/>
            </w:tcMar>
            <w:vAlign w:val="center"/>
          </w:tcPr>
          <w:p w14:paraId="0FACC8DA" w14:textId="77777777" w:rsidR="00EE3C2F" w:rsidRDefault="00000000">
            <w:pPr>
              <w:spacing w:after="0"/>
            </w:pPr>
            <w:r>
              <w:t>65</w:t>
            </w:r>
          </w:p>
        </w:tc>
        <w:tc>
          <w:tcPr>
            <w:tcW w:w="2409" w:type="dxa"/>
            <w:tcMar>
              <w:top w:w="50" w:type="dxa"/>
              <w:left w:w="50" w:type="dxa"/>
              <w:bottom w:w="50" w:type="dxa"/>
              <w:right w:w="50" w:type="dxa"/>
            </w:tcMar>
            <w:vAlign w:val="center"/>
          </w:tcPr>
          <w:p w14:paraId="72A20086" w14:textId="77777777" w:rsidR="00EE3C2F" w:rsidRDefault="00000000">
            <w:pPr>
              <w:spacing w:after="0"/>
            </w:pPr>
            <w:r>
              <w:t>Rabbit monoclonal</w:t>
            </w:r>
          </w:p>
        </w:tc>
        <w:tc>
          <w:tcPr>
            <w:tcW w:w="2409" w:type="dxa"/>
            <w:tcMar>
              <w:top w:w="50" w:type="dxa"/>
              <w:left w:w="50" w:type="dxa"/>
              <w:bottom w:w="50" w:type="dxa"/>
              <w:right w:w="50" w:type="dxa"/>
            </w:tcMar>
            <w:vAlign w:val="center"/>
          </w:tcPr>
          <w:p w14:paraId="4BFB10C3" w14:textId="77777777" w:rsidR="00EE3C2F" w:rsidRDefault="00000000">
            <w:pPr>
              <w:spacing w:after="0"/>
            </w:pPr>
            <w:r>
              <w:t>1:1000</w:t>
            </w:r>
          </w:p>
        </w:tc>
      </w:tr>
      <w:tr w:rsidR="00EE3C2F" w14:paraId="1EDD0A4E" w14:textId="77777777">
        <w:trPr>
          <w:jc w:val="center"/>
        </w:trPr>
        <w:tc>
          <w:tcPr>
            <w:tcW w:w="2409" w:type="dxa"/>
            <w:tcMar>
              <w:top w:w="50" w:type="dxa"/>
              <w:left w:w="50" w:type="dxa"/>
              <w:bottom w:w="50" w:type="dxa"/>
              <w:right w:w="50" w:type="dxa"/>
            </w:tcMar>
            <w:vAlign w:val="center"/>
          </w:tcPr>
          <w:p w14:paraId="29E00C56" w14:textId="77777777" w:rsidR="00EE3C2F" w:rsidRDefault="00000000">
            <w:pPr>
              <w:spacing w:after="0"/>
            </w:pPr>
            <w:r>
              <w:t>NLRP3</w:t>
            </w:r>
          </w:p>
        </w:tc>
        <w:tc>
          <w:tcPr>
            <w:tcW w:w="2409" w:type="dxa"/>
            <w:tcMar>
              <w:top w:w="50" w:type="dxa"/>
              <w:left w:w="50" w:type="dxa"/>
              <w:bottom w:w="50" w:type="dxa"/>
              <w:right w:w="50" w:type="dxa"/>
            </w:tcMar>
            <w:vAlign w:val="center"/>
          </w:tcPr>
          <w:p w14:paraId="1345F904" w14:textId="77777777" w:rsidR="00EE3C2F" w:rsidRDefault="00000000">
            <w:pPr>
              <w:spacing w:after="0"/>
            </w:pPr>
            <w:r>
              <w:t>~118</w:t>
            </w:r>
          </w:p>
        </w:tc>
        <w:tc>
          <w:tcPr>
            <w:tcW w:w="2409" w:type="dxa"/>
            <w:tcMar>
              <w:top w:w="50" w:type="dxa"/>
              <w:left w:w="50" w:type="dxa"/>
              <w:bottom w:w="50" w:type="dxa"/>
              <w:right w:w="50" w:type="dxa"/>
            </w:tcMar>
            <w:vAlign w:val="center"/>
          </w:tcPr>
          <w:p w14:paraId="7E6EC3A6" w14:textId="77777777" w:rsidR="00EE3C2F" w:rsidRDefault="00000000">
            <w:pPr>
              <w:spacing w:after="0"/>
            </w:pPr>
            <w:r>
              <w:t>Rabbit monoclonal</w:t>
            </w:r>
          </w:p>
        </w:tc>
        <w:tc>
          <w:tcPr>
            <w:tcW w:w="2409" w:type="dxa"/>
            <w:tcMar>
              <w:top w:w="50" w:type="dxa"/>
              <w:left w:w="50" w:type="dxa"/>
              <w:bottom w:w="50" w:type="dxa"/>
              <w:right w:w="50" w:type="dxa"/>
            </w:tcMar>
            <w:vAlign w:val="center"/>
          </w:tcPr>
          <w:p w14:paraId="7A54B628" w14:textId="77777777" w:rsidR="00EE3C2F" w:rsidRDefault="00000000">
            <w:pPr>
              <w:spacing w:after="0"/>
            </w:pPr>
            <w:r>
              <w:t>1:1000</w:t>
            </w:r>
          </w:p>
        </w:tc>
      </w:tr>
      <w:tr w:rsidR="00EE3C2F" w14:paraId="09510B63" w14:textId="77777777">
        <w:trPr>
          <w:jc w:val="center"/>
        </w:trPr>
        <w:tc>
          <w:tcPr>
            <w:tcW w:w="2409" w:type="dxa"/>
            <w:tcMar>
              <w:top w:w="50" w:type="dxa"/>
              <w:left w:w="50" w:type="dxa"/>
              <w:bottom w:w="50" w:type="dxa"/>
              <w:right w:w="50" w:type="dxa"/>
            </w:tcMar>
            <w:vAlign w:val="center"/>
          </w:tcPr>
          <w:p w14:paraId="20E109DC" w14:textId="77777777" w:rsidR="00EE3C2F" w:rsidRDefault="00000000">
            <w:pPr>
              <w:spacing w:after="0"/>
            </w:pPr>
            <w:r>
              <w:t>Caspase-1</w:t>
            </w:r>
          </w:p>
        </w:tc>
        <w:tc>
          <w:tcPr>
            <w:tcW w:w="2409" w:type="dxa"/>
            <w:tcMar>
              <w:top w:w="50" w:type="dxa"/>
              <w:left w:w="50" w:type="dxa"/>
              <w:bottom w:w="50" w:type="dxa"/>
              <w:right w:w="50" w:type="dxa"/>
            </w:tcMar>
            <w:vAlign w:val="center"/>
          </w:tcPr>
          <w:p w14:paraId="7444073F" w14:textId="77777777" w:rsidR="00EE3C2F" w:rsidRDefault="00000000">
            <w:pPr>
              <w:spacing w:after="0"/>
            </w:pPr>
            <w:r>
              <w:t>~45 (pro) / ~20 (cleaved)</w:t>
            </w:r>
          </w:p>
        </w:tc>
        <w:tc>
          <w:tcPr>
            <w:tcW w:w="2409" w:type="dxa"/>
            <w:tcMar>
              <w:top w:w="50" w:type="dxa"/>
              <w:left w:w="50" w:type="dxa"/>
              <w:bottom w:w="50" w:type="dxa"/>
              <w:right w:w="50" w:type="dxa"/>
            </w:tcMar>
            <w:vAlign w:val="center"/>
          </w:tcPr>
          <w:p w14:paraId="70D70348" w14:textId="77777777" w:rsidR="00EE3C2F" w:rsidRDefault="00000000">
            <w:pPr>
              <w:spacing w:after="0"/>
            </w:pPr>
            <w:r>
              <w:t>Rabbit monoclonal</w:t>
            </w:r>
          </w:p>
        </w:tc>
        <w:tc>
          <w:tcPr>
            <w:tcW w:w="2409" w:type="dxa"/>
            <w:tcMar>
              <w:top w:w="50" w:type="dxa"/>
              <w:left w:w="50" w:type="dxa"/>
              <w:bottom w:w="50" w:type="dxa"/>
              <w:right w:w="50" w:type="dxa"/>
            </w:tcMar>
            <w:vAlign w:val="center"/>
          </w:tcPr>
          <w:p w14:paraId="03A5C3B1" w14:textId="77777777" w:rsidR="00EE3C2F" w:rsidRDefault="00000000">
            <w:pPr>
              <w:spacing w:after="0"/>
            </w:pPr>
            <w:r>
              <w:t>1:1000</w:t>
            </w:r>
          </w:p>
        </w:tc>
      </w:tr>
      <w:tr w:rsidR="00EE3C2F" w14:paraId="1739CFF9" w14:textId="77777777">
        <w:trPr>
          <w:jc w:val="center"/>
        </w:trPr>
        <w:tc>
          <w:tcPr>
            <w:tcW w:w="2409" w:type="dxa"/>
            <w:tcMar>
              <w:top w:w="50" w:type="dxa"/>
              <w:left w:w="50" w:type="dxa"/>
              <w:bottom w:w="50" w:type="dxa"/>
              <w:right w:w="50" w:type="dxa"/>
            </w:tcMar>
            <w:vAlign w:val="center"/>
          </w:tcPr>
          <w:p w14:paraId="052E7D48" w14:textId="77777777" w:rsidR="00EE3C2F" w:rsidRDefault="00000000">
            <w:pPr>
              <w:spacing w:after="0"/>
            </w:pPr>
            <w:r>
              <w:t>Lamin B1</w:t>
            </w:r>
          </w:p>
        </w:tc>
        <w:tc>
          <w:tcPr>
            <w:tcW w:w="2409" w:type="dxa"/>
            <w:tcMar>
              <w:top w:w="50" w:type="dxa"/>
              <w:left w:w="50" w:type="dxa"/>
              <w:bottom w:w="50" w:type="dxa"/>
              <w:right w:w="50" w:type="dxa"/>
            </w:tcMar>
            <w:vAlign w:val="center"/>
          </w:tcPr>
          <w:p w14:paraId="6388DBFE" w14:textId="77777777" w:rsidR="00EE3C2F" w:rsidRDefault="00000000">
            <w:pPr>
              <w:spacing w:after="0"/>
            </w:pPr>
            <w:r>
              <w:t>66</w:t>
            </w:r>
          </w:p>
        </w:tc>
        <w:tc>
          <w:tcPr>
            <w:tcW w:w="2409" w:type="dxa"/>
            <w:tcMar>
              <w:top w:w="50" w:type="dxa"/>
              <w:left w:w="50" w:type="dxa"/>
              <w:bottom w:w="50" w:type="dxa"/>
              <w:right w:w="50" w:type="dxa"/>
            </w:tcMar>
            <w:vAlign w:val="center"/>
          </w:tcPr>
          <w:p w14:paraId="146C78E4" w14:textId="77777777" w:rsidR="00EE3C2F" w:rsidRDefault="00000000">
            <w:pPr>
              <w:spacing w:after="0"/>
            </w:pPr>
            <w:r>
              <w:t>Rabbit monoclonal</w:t>
            </w:r>
          </w:p>
        </w:tc>
        <w:tc>
          <w:tcPr>
            <w:tcW w:w="2409" w:type="dxa"/>
            <w:tcMar>
              <w:top w:w="50" w:type="dxa"/>
              <w:left w:w="50" w:type="dxa"/>
              <w:bottom w:w="50" w:type="dxa"/>
              <w:right w:w="50" w:type="dxa"/>
            </w:tcMar>
            <w:vAlign w:val="center"/>
          </w:tcPr>
          <w:p w14:paraId="20667F99" w14:textId="77777777" w:rsidR="00EE3C2F" w:rsidRDefault="00000000">
            <w:pPr>
              <w:spacing w:after="0"/>
            </w:pPr>
            <w:r>
              <w:t>1:2000</w:t>
            </w:r>
          </w:p>
        </w:tc>
      </w:tr>
      <w:tr w:rsidR="00EE3C2F" w14:paraId="52870904" w14:textId="77777777">
        <w:trPr>
          <w:jc w:val="center"/>
        </w:trPr>
        <w:tc>
          <w:tcPr>
            <w:tcW w:w="2409" w:type="dxa"/>
            <w:tcMar>
              <w:top w:w="50" w:type="dxa"/>
              <w:left w:w="50" w:type="dxa"/>
              <w:bottom w:w="50" w:type="dxa"/>
              <w:right w:w="50" w:type="dxa"/>
            </w:tcMar>
            <w:vAlign w:val="center"/>
          </w:tcPr>
          <w:p w14:paraId="1FEC508F" w14:textId="77777777" w:rsidR="00EE3C2F" w:rsidRDefault="00000000">
            <w:pPr>
              <w:spacing w:after="0"/>
            </w:pPr>
            <w:r>
              <w:t>GAPDH</w:t>
            </w:r>
          </w:p>
        </w:tc>
        <w:tc>
          <w:tcPr>
            <w:tcW w:w="2409" w:type="dxa"/>
            <w:tcMar>
              <w:top w:w="50" w:type="dxa"/>
              <w:left w:w="50" w:type="dxa"/>
              <w:bottom w:w="50" w:type="dxa"/>
              <w:right w:w="50" w:type="dxa"/>
            </w:tcMar>
            <w:vAlign w:val="center"/>
          </w:tcPr>
          <w:p w14:paraId="47DB5444" w14:textId="77777777" w:rsidR="00EE3C2F" w:rsidRDefault="00000000">
            <w:pPr>
              <w:spacing w:after="0"/>
            </w:pPr>
            <w:r>
              <w:t>36</w:t>
            </w:r>
          </w:p>
        </w:tc>
        <w:tc>
          <w:tcPr>
            <w:tcW w:w="2409" w:type="dxa"/>
            <w:tcMar>
              <w:top w:w="50" w:type="dxa"/>
              <w:left w:w="50" w:type="dxa"/>
              <w:bottom w:w="50" w:type="dxa"/>
              <w:right w:w="50" w:type="dxa"/>
            </w:tcMar>
            <w:vAlign w:val="center"/>
          </w:tcPr>
          <w:p w14:paraId="443C9822" w14:textId="77777777" w:rsidR="00EE3C2F" w:rsidRDefault="00000000">
            <w:pPr>
              <w:spacing w:after="0"/>
            </w:pPr>
            <w:r>
              <w:t>Rabbit monoclonal</w:t>
            </w:r>
          </w:p>
        </w:tc>
        <w:tc>
          <w:tcPr>
            <w:tcW w:w="2409" w:type="dxa"/>
            <w:tcMar>
              <w:top w:w="50" w:type="dxa"/>
              <w:left w:w="50" w:type="dxa"/>
              <w:bottom w:w="50" w:type="dxa"/>
              <w:right w:w="50" w:type="dxa"/>
            </w:tcMar>
            <w:vAlign w:val="center"/>
          </w:tcPr>
          <w:p w14:paraId="63A52B9D" w14:textId="77777777" w:rsidR="00EE3C2F" w:rsidRDefault="00000000">
            <w:pPr>
              <w:spacing w:after="0"/>
            </w:pPr>
            <w:r>
              <w:t>1:5000</w:t>
            </w:r>
          </w:p>
        </w:tc>
      </w:tr>
      <w:tr w:rsidR="00EE3C2F" w14:paraId="333B39F7" w14:textId="77777777">
        <w:trPr>
          <w:jc w:val="center"/>
        </w:trPr>
        <w:tc>
          <w:tcPr>
            <w:tcW w:w="2409" w:type="dxa"/>
            <w:tcMar>
              <w:top w:w="50" w:type="dxa"/>
              <w:left w:w="50" w:type="dxa"/>
              <w:bottom w:w="50" w:type="dxa"/>
              <w:right w:w="50" w:type="dxa"/>
            </w:tcMar>
            <w:vAlign w:val="center"/>
          </w:tcPr>
          <w:p w14:paraId="2171B645" w14:textId="77777777" w:rsidR="00EE3C2F" w:rsidRDefault="00000000">
            <w:pPr>
              <w:spacing w:after="0"/>
            </w:pPr>
            <w:r>
              <w:t>Histone H3</w:t>
            </w:r>
          </w:p>
        </w:tc>
        <w:tc>
          <w:tcPr>
            <w:tcW w:w="2409" w:type="dxa"/>
            <w:tcMar>
              <w:top w:w="50" w:type="dxa"/>
              <w:left w:w="50" w:type="dxa"/>
              <w:bottom w:w="50" w:type="dxa"/>
              <w:right w:w="50" w:type="dxa"/>
            </w:tcMar>
            <w:vAlign w:val="center"/>
          </w:tcPr>
          <w:p w14:paraId="226A4A69" w14:textId="77777777" w:rsidR="00EE3C2F" w:rsidRDefault="00000000">
            <w:pPr>
              <w:spacing w:after="0"/>
            </w:pPr>
            <w:r>
              <w:t>17</w:t>
            </w:r>
          </w:p>
        </w:tc>
        <w:tc>
          <w:tcPr>
            <w:tcW w:w="2409" w:type="dxa"/>
            <w:tcMar>
              <w:top w:w="50" w:type="dxa"/>
              <w:left w:w="50" w:type="dxa"/>
              <w:bottom w:w="50" w:type="dxa"/>
              <w:right w:w="50" w:type="dxa"/>
            </w:tcMar>
            <w:vAlign w:val="center"/>
          </w:tcPr>
          <w:p w14:paraId="62B573B6" w14:textId="77777777" w:rsidR="00EE3C2F" w:rsidRDefault="00000000">
            <w:pPr>
              <w:spacing w:after="0"/>
            </w:pPr>
            <w:r>
              <w:t>Rabbit monoclonal</w:t>
            </w:r>
          </w:p>
        </w:tc>
        <w:tc>
          <w:tcPr>
            <w:tcW w:w="2409" w:type="dxa"/>
            <w:tcMar>
              <w:top w:w="50" w:type="dxa"/>
              <w:left w:w="50" w:type="dxa"/>
              <w:bottom w:w="50" w:type="dxa"/>
              <w:right w:w="50" w:type="dxa"/>
            </w:tcMar>
            <w:vAlign w:val="center"/>
          </w:tcPr>
          <w:p w14:paraId="6624F797" w14:textId="77777777" w:rsidR="00EE3C2F" w:rsidRDefault="00000000">
            <w:pPr>
              <w:spacing w:after="0"/>
            </w:pPr>
            <w:r>
              <w:t>1:2000</w:t>
            </w:r>
          </w:p>
        </w:tc>
      </w:tr>
    </w:tbl>
    <w:p w14:paraId="022B97F8" w14:textId="77777777" w:rsidR="00EE3C2F" w:rsidRDefault="00EE3C2F">
      <w:pPr>
        <w:spacing w:after="0"/>
      </w:pPr>
    </w:p>
    <w:p w14:paraId="5D71B366" w14:textId="77777777" w:rsidR="00EE3C2F" w:rsidRDefault="00000000">
      <w:pPr>
        <w:spacing w:after="0"/>
      </w:pPr>
      <w:r>
        <w:rPr>
          <w:b/>
        </w:rPr>
        <w:t>Supplementary Table 3. Oligonucleotide sequences for RT-qPCR.</w:t>
      </w:r>
    </w:p>
    <w:tbl>
      <w:tblPr>
        <w:tblStyle w:val="aff1"/>
        <w:tblW w:w="0" w:type="auto"/>
        <w:jc w:val="center"/>
        <w:tblLook w:val="04A0" w:firstRow="1" w:lastRow="0" w:firstColumn="1" w:lastColumn="0" w:noHBand="0" w:noVBand="1"/>
      </w:tblPr>
      <w:tblGrid>
        <w:gridCol w:w="1045"/>
        <w:gridCol w:w="1150"/>
        <w:gridCol w:w="3067"/>
        <w:gridCol w:w="3234"/>
        <w:gridCol w:w="1206"/>
      </w:tblGrid>
      <w:tr w:rsidR="00EE3C2F" w14:paraId="259BE439" w14:textId="77777777">
        <w:trPr>
          <w:jc w:val="center"/>
        </w:trPr>
        <w:tc>
          <w:tcPr>
            <w:tcW w:w="1928" w:type="dxa"/>
            <w:shd w:val="clear" w:color="auto" w:fill="D9EAF7"/>
            <w:tcMar>
              <w:top w:w="50" w:type="dxa"/>
              <w:left w:w="50" w:type="dxa"/>
              <w:bottom w:w="50" w:type="dxa"/>
              <w:right w:w="50" w:type="dxa"/>
            </w:tcMar>
            <w:vAlign w:val="center"/>
          </w:tcPr>
          <w:p w14:paraId="6DFC33A2" w14:textId="77777777" w:rsidR="00EE3C2F" w:rsidRDefault="00000000">
            <w:pPr>
              <w:spacing w:after="0"/>
            </w:pPr>
            <w:r>
              <w:rPr>
                <w:b/>
              </w:rPr>
              <w:t>Gene symbol</w:t>
            </w:r>
          </w:p>
        </w:tc>
        <w:tc>
          <w:tcPr>
            <w:tcW w:w="1928" w:type="dxa"/>
            <w:shd w:val="clear" w:color="auto" w:fill="D9EAF7"/>
            <w:tcMar>
              <w:top w:w="50" w:type="dxa"/>
              <w:left w:w="50" w:type="dxa"/>
              <w:bottom w:w="50" w:type="dxa"/>
              <w:right w:w="50" w:type="dxa"/>
            </w:tcMar>
            <w:vAlign w:val="center"/>
          </w:tcPr>
          <w:p w14:paraId="7F55CE0D" w14:textId="77777777" w:rsidR="00EE3C2F" w:rsidRDefault="00000000">
            <w:pPr>
              <w:spacing w:after="0"/>
            </w:pPr>
            <w:r>
              <w:rPr>
                <w:b/>
              </w:rPr>
              <w:t>Species</w:t>
            </w:r>
          </w:p>
        </w:tc>
        <w:tc>
          <w:tcPr>
            <w:tcW w:w="1928" w:type="dxa"/>
            <w:shd w:val="clear" w:color="auto" w:fill="D9EAF7"/>
            <w:tcMar>
              <w:top w:w="50" w:type="dxa"/>
              <w:left w:w="50" w:type="dxa"/>
              <w:bottom w:w="50" w:type="dxa"/>
              <w:right w:w="50" w:type="dxa"/>
            </w:tcMar>
            <w:vAlign w:val="center"/>
          </w:tcPr>
          <w:p w14:paraId="19CEC0D6" w14:textId="77777777" w:rsidR="00EE3C2F" w:rsidRDefault="00000000">
            <w:pPr>
              <w:spacing w:after="0"/>
            </w:pPr>
            <w:r>
              <w:rPr>
                <w:b/>
              </w:rPr>
              <w:t>Forward primer sequence (5′ to 3′)</w:t>
            </w:r>
          </w:p>
        </w:tc>
        <w:tc>
          <w:tcPr>
            <w:tcW w:w="1928" w:type="dxa"/>
            <w:shd w:val="clear" w:color="auto" w:fill="D9EAF7"/>
            <w:tcMar>
              <w:top w:w="50" w:type="dxa"/>
              <w:left w:w="50" w:type="dxa"/>
              <w:bottom w:w="50" w:type="dxa"/>
              <w:right w:w="50" w:type="dxa"/>
            </w:tcMar>
            <w:vAlign w:val="center"/>
          </w:tcPr>
          <w:p w14:paraId="2BC88BD0" w14:textId="77777777" w:rsidR="00EE3C2F" w:rsidRDefault="00000000">
            <w:pPr>
              <w:spacing w:after="0"/>
            </w:pPr>
            <w:r>
              <w:rPr>
                <w:b/>
              </w:rPr>
              <w:t>Reverse primer sequence (5′ to 3′)</w:t>
            </w:r>
          </w:p>
        </w:tc>
        <w:tc>
          <w:tcPr>
            <w:tcW w:w="1928" w:type="dxa"/>
            <w:shd w:val="clear" w:color="auto" w:fill="D9EAF7"/>
            <w:tcMar>
              <w:top w:w="50" w:type="dxa"/>
              <w:left w:w="50" w:type="dxa"/>
              <w:bottom w:w="50" w:type="dxa"/>
              <w:right w:w="50" w:type="dxa"/>
            </w:tcMar>
            <w:vAlign w:val="center"/>
          </w:tcPr>
          <w:p w14:paraId="47A87BA3" w14:textId="77777777" w:rsidR="00EE3C2F" w:rsidRDefault="00000000">
            <w:pPr>
              <w:spacing w:after="0"/>
            </w:pPr>
            <w:r>
              <w:rPr>
                <w:b/>
              </w:rPr>
              <w:t>Amplicon size (bp)</w:t>
            </w:r>
          </w:p>
        </w:tc>
      </w:tr>
      <w:tr w:rsidR="00EE3C2F" w14:paraId="1FF4CADB" w14:textId="77777777">
        <w:trPr>
          <w:jc w:val="center"/>
        </w:trPr>
        <w:tc>
          <w:tcPr>
            <w:tcW w:w="1928" w:type="dxa"/>
            <w:tcMar>
              <w:top w:w="50" w:type="dxa"/>
              <w:left w:w="50" w:type="dxa"/>
              <w:bottom w:w="50" w:type="dxa"/>
              <w:right w:w="50" w:type="dxa"/>
            </w:tcMar>
            <w:vAlign w:val="center"/>
          </w:tcPr>
          <w:p w14:paraId="688F2789" w14:textId="77777777" w:rsidR="00EE3C2F" w:rsidRDefault="00000000">
            <w:pPr>
              <w:spacing w:after="0"/>
            </w:pPr>
            <w:r>
              <w:t>Tnf</w:t>
            </w:r>
          </w:p>
        </w:tc>
        <w:tc>
          <w:tcPr>
            <w:tcW w:w="1928" w:type="dxa"/>
            <w:tcMar>
              <w:top w:w="50" w:type="dxa"/>
              <w:left w:w="50" w:type="dxa"/>
              <w:bottom w:w="50" w:type="dxa"/>
              <w:right w:w="50" w:type="dxa"/>
            </w:tcMar>
            <w:vAlign w:val="center"/>
          </w:tcPr>
          <w:p w14:paraId="56ECA1E3" w14:textId="77777777" w:rsidR="00EE3C2F" w:rsidRDefault="00000000">
            <w:pPr>
              <w:spacing w:after="0"/>
            </w:pPr>
            <w:r>
              <w:t>Mus musculus</w:t>
            </w:r>
          </w:p>
        </w:tc>
        <w:tc>
          <w:tcPr>
            <w:tcW w:w="1928" w:type="dxa"/>
            <w:tcMar>
              <w:top w:w="50" w:type="dxa"/>
              <w:left w:w="50" w:type="dxa"/>
              <w:bottom w:w="50" w:type="dxa"/>
              <w:right w:w="50" w:type="dxa"/>
            </w:tcMar>
            <w:vAlign w:val="center"/>
          </w:tcPr>
          <w:p w14:paraId="4F0B699D" w14:textId="77777777" w:rsidR="00EE3C2F" w:rsidRDefault="00000000">
            <w:pPr>
              <w:spacing w:after="0"/>
            </w:pPr>
            <w:r>
              <w:t>CCTGTAGCCCACGTCGTAG</w:t>
            </w:r>
          </w:p>
        </w:tc>
        <w:tc>
          <w:tcPr>
            <w:tcW w:w="1928" w:type="dxa"/>
            <w:tcMar>
              <w:top w:w="50" w:type="dxa"/>
              <w:left w:w="50" w:type="dxa"/>
              <w:bottom w:w="50" w:type="dxa"/>
              <w:right w:w="50" w:type="dxa"/>
            </w:tcMar>
            <w:vAlign w:val="center"/>
          </w:tcPr>
          <w:p w14:paraId="03DF984F" w14:textId="77777777" w:rsidR="00EE3C2F" w:rsidRDefault="00000000">
            <w:pPr>
              <w:spacing w:after="0"/>
            </w:pPr>
            <w:r>
              <w:t>GGGAGTAGACAAGGTACAACCC</w:t>
            </w:r>
          </w:p>
        </w:tc>
        <w:tc>
          <w:tcPr>
            <w:tcW w:w="1928" w:type="dxa"/>
            <w:tcMar>
              <w:top w:w="50" w:type="dxa"/>
              <w:left w:w="50" w:type="dxa"/>
              <w:bottom w:w="50" w:type="dxa"/>
              <w:right w:w="50" w:type="dxa"/>
            </w:tcMar>
            <w:vAlign w:val="center"/>
          </w:tcPr>
          <w:p w14:paraId="33E2D43C" w14:textId="77777777" w:rsidR="00EE3C2F" w:rsidRDefault="00000000">
            <w:pPr>
              <w:spacing w:after="0"/>
            </w:pPr>
            <w:r>
              <w:t>108</w:t>
            </w:r>
          </w:p>
        </w:tc>
      </w:tr>
      <w:tr w:rsidR="00EE3C2F" w14:paraId="0AB7C8B8" w14:textId="77777777">
        <w:trPr>
          <w:jc w:val="center"/>
        </w:trPr>
        <w:tc>
          <w:tcPr>
            <w:tcW w:w="1928" w:type="dxa"/>
            <w:tcMar>
              <w:top w:w="50" w:type="dxa"/>
              <w:left w:w="50" w:type="dxa"/>
              <w:bottom w:w="50" w:type="dxa"/>
              <w:right w:w="50" w:type="dxa"/>
            </w:tcMar>
            <w:vAlign w:val="center"/>
          </w:tcPr>
          <w:p w14:paraId="0D16EADC" w14:textId="77777777" w:rsidR="00EE3C2F" w:rsidRDefault="00000000">
            <w:pPr>
              <w:spacing w:after="0"/>
            </w:pPr>
            <w:r>
              <w:t>Mmp9</w:t>
            </w:r>
          </w:p>
        </w:tc>
        <w:tc>
          <w:tcPr>
            <w:tcW w:w="1928" w:type="dxa"/>
            <w:tcMar>
              <w:top w:w="50" w:type="dxa"/>
              <w:left w:w="50" w:type="dxa"/>
              <w:bottom w:w="50" w:type="dxa"/>
              <w:right w:w="50" w:type="dxa"/>
            </w:tcMar>
            <w:vAlign w:val="center"/>
          </w:tcPr>
          <w:p w14:paraId="433CAF59" w14:textId="77777777" w:rsidR="00EE3C2F" w:rsidRDefault="00000000">
            <w:pPr>
              <w:spacing w:after="0"/>
            </w:pPr>
            <w:r>
              <w:t>Mus musculus</w:t>
            </w:r>
          </w:p>
        </w:tc>
        <w:tc>
          <w:tcPr>
            <w:tcW w:w="1928" w:type="dxa"/>
            <w:tcMar>
              <w:top w:w="50" w:type="dxa"/>
              <w:left w:w="50" w:type="dxa"/>
              <w:bottom w:w="50" w:type="dxa"/>
              <w:right w:w="50" w:type="dxa"/>
            </w:tcMar>
            <w:vAlign w:val="center"/>
          </w:tcPr>
          <w:p w14:paraId="0A1FB05E" w14:textId="77777777" w:rsidR="00EE3C2F" w:rsidRDefault="00000000">
            <w:pPr>
              <w:spacing w:after="0"/>
            </w:pPr>
            <w:r>
              <w:t>CTGGACAGCCAGACACTAAAG</w:t>
            </w:r>
          </w:p>
        </w:tc>
        <w:tc>
          <w:tcPr>
            <w:tcW w:w="1928" w:type="dxa"/>
            <w:tcMar>
              <w:top w:w="50" w:type="dxa"/>
              <w:left w:w="50" w:type="dxa"/>
              <w:bottom w:w="50" w:type="dxa"/>
              <w:right w:w="50" w:type="dxa"/>
            </w:tcMar>
            <w:vAlign w:val="center"/>
          </w:tcPr>
          <w:p w14:paraId="7CBDC11D" w14:textId="77777777" w:rsidR="00EE3C2F" w:rsidRDefault="00000000">
            <w:pPr>
              <w:spacing w:after="0"/>
            </w:pPr>
            <w:r>
              <w:t>CTCGCGGCAAGTCTTCAGAG</w:t>
            </w:r>
          </w:p>
        </w:tc>
        <w:tc>
          <w:tcPr>
            <w:tcW w:w="1928" w:type="dxa"/>
            <w:tcMar>
              <w:top w:w="50" w:type="dxa"/>
              <w:left w:w="50" w:type="dxa"/>
              <w:bottom w:w="50" w:type="dxa"/>
              <w:right w:w="50" w:type="dxa"/>
            </w:tcMar>
            <w:vAlign w:val="center"/>
          </w:tcPr>
          <w:p w14:paraId="16A673DE" w14:textId="77777777" w:rsidR="00EE3C2F" w:rsidRDefault="00000000">
            <w:pPr>
              <w:spacing w:after="0"/>
            </w:pPr>
            <w:r>
              <w:t>134</w:t>
            </w:r>
          </w:p>
        </w:tc>
      </w:tr>
      <w:tr w:rsidR="00EE3C2F" w14:paraId="590EC624" w14:textId="77777777">
        <w:trPr>
          <w:jc w:val="center"/>
        </w:trPr>
        <w:tc>
          <w:tcPr>
            <w:tcW w:w="1928" w:type="dxa"/>
            <w:tcMar>
              <w:top w:w="50" w:type="dxa"/>
              <w:left w:w="50" w:type="dxa"/>
              <w:bottom w:w="50" w:type="dxa"/>
              <w:right w:w="50" w:type="dxa"/>
            </w:tcMar>
            <w:vAlign w:val="center"/>
          </w:tcPr>
          <w:p w14:paraId="479BEFBE" w14:textId="77777777" w:rsidR="00EE3C2F" w:rsidRDefault="00000000">
            <w:pPr>
              <w:spacing w:after="0"/>
            </w:pPr>
            <w:r>
              <w:t>Cd36</w:t>
            </w:r>
          </w:p>
        </w:tc>
        <w:tc>
          <w:tcPr>
            <w:tcW w:w="1928" w:type="dxa"/>
            <w:tcMar>
              <w:top w:w="50" w:type="dxa"/>
              <w:left w:w="50" w:type="dxa"/>
              <w:bottom w:w="50" w:type="dxa"/>
              <w:right w:w="50" w:type="dxa"/>
            </w:tcMar>
            <w:vAlign w:val="center"/>
          </w:tcPr>
          <w:p w14:paraId="44492F01" w14:textId="77777777" w:rsidR="00EE3C2F" w:rsidRDefault="00000000">
            <w:pPr>
              <w:spacing w:after="0"/>
            </w:pPr>
            <w:r>
              <w:t>Mus musculus</w:t>
            </w:r>
          </w:p>
        </w:tc>
        <w:tc>
          <w:tcPr>
            <w:tcW w:w="1928" w:type="dxa"/>
            <w:tcMar>
              <w:top w:w="50" w:type="dxa"/>
              <w:left w:w="50" w:type="dxa"/>
              <w:bottom w:w="50" w:type="dxa"/>
              <w:right w:w="50" w:type="dxa"/>
            </w:tcMar>
            <w:vAlign w:val="center"/>
          </w:tcPr>
          <w:p w14:paraId="469D112E" w14:textId="77777777" w:rsidR="00EE3C2F" w:rsidRDefault="00000000">
            <w:pPr>
              <w:spacing w:after="0"/>
            </w:pPr>
            <w:r>
              <w:t>ATGGGCTGTGATCGGAACTG</w:t>
            </w:r>
          </w:p>
        </w:tc>
        <w:tc>
          <w:tcPr>
            <w:tcW w:w="1928" w:type="dxa"/>
            <w:tcMar>
              <w:top w:w="50" w:type="dxa"/>
              <w:left w:w="50" w:type="dxa"/>
              <w:bottom w:w="50" w:type="dxa"/>
              <w:right w:w="50" w:type="dxa"/>
            </w:tcMar>
            <w:vAlign w:val="center"/>
          </w:tcPr>
          <w:p w14:paraId="12A8E70F" w14:textId="77777777" w:rsidR="00EE3C2F" w:rsidRDefault="00000000">
            <w:pPr>
              <w:spacing w:after="0"/>
            </w:pPr>
            <w:r>
              <w:t>GTCTTCCCAATAAGCATGTCTCC</w:t>
            </w:r>
          </w:p>
        </w:tc>
        <w:tc>
          <w:tcPr>
            <w:tcW w:w="1928" w:type="dxa"/>
            <w:tcMar>
              <w:top w:w="50" w:type="dxa"/>
              <w:left w:w="50" w:type="dxa"/>
              <w:bottom w:w="50" w:type="dxa"/>
              <w:right w:w="50" w:type="dxa"/>
            </w:tcMar>
            <w:vAlign w:val="center"/>
          </w:tcPr>
          <w:p w14:paraId="74B4D9A7" w14:textId="77777777" w:rsidR="00EE3C2F" w:rsidRDefault="00000000">
            <w:pPr>
              <w:spacing w:after="0"/>
            </w:pPr>
            <w:r>
              <w:t>165</w:t>
            </w:r>
          </w:p>
        </w:tc>
      </w:tr>
      <w:tr w:rsidR="00EE3C2F" w14:paraId="3AAB4723" w14:textId="77777777">
        <w:trPr>
          <w:jc w:val="center"/>
        </w:trPr>
        <w:tc>
          <w:tcPr>
            <w:tcW w:w="1928" w:type="dxa"/>
            <w:tcMar>
              <w:top w:w="50" w:type="dxa"/>
              <w:left w:w="50" w:type="dxa"/>
              <w:bottom w:w="50" w:type="dxa"/>
              <w:right w:w="50" w:type="dxa"/>
            </w:tcMar>
            <w:vAlign w:val="center"/>
          </w:tcPr>
          <w:p w14:paraId="26D43144" w14:textId="77777777" w:rsidR="00EE3C2F" w:rsidRDefault="00000000">
            <w:pPr>
              <w:spacing w:after="0"/>
            </w:pPr>
            <w:r>
              <w:lastRenderedPageBreak/>
              <w:t>Il1b</w:t>
            </w:r>
          </w:p>
        </w:tc>
        <w:tc>
          <w:tcPr>
            <w:tcW w:w="1928" w:type="dxa"/>
            <w:tcMar>
              <w:top w:w="50" w:type="dxa"/>
              <w:left w:w="50" w:type="dxa"/>
              <w:bottom w:w="50" w:type="dxa"/>
              <w:right w:w="50" w:type="dxa"/>
            </w:tcMar>
            <w:vAlign w:val="center"/>
          </w:tcPr>
          <w:p w14:paraId="3572BD8B" w14:textId="77777777" w:rsidR="00EE3C2F" w:rsidRDefault="00000000">
            <w:pPr>
              <w:spacing w:after="0"/>
            </w:pPr>
            <w:r>
              <w:t>Mus musculus</w:t>
            </w:r>
          </w:p>
        </w:tc>
        <w:tc>
          <w:tcPr>
            <w:tcW w:w="1928" w:type="dxa"/>
            <w:tcMar>
              <w:top w:w="50" w:type="dxa"/>
              <w:left w:w="50" w:type="dxa"/>
              <w:bottom w:w="50" w:type="dxa"/>
              <w:right w:w="50" w:type="dxa"/>
            </w:tcMar>
            <w:vAlign w:val="center"/>
          </w:tcPr>
          <w:p w14:paraId="0DDE4E0C" w14:textId="77777777" w:rsidR="00EE3C2F" w:rsidRDefault="00000000">
            <w:pPr>
              <w:spacing w:after="0"/>
            </w:pPr>
            <w:r>
              <w:t>GCAACTGTTCCTGAACTCAACT</w:t>
            </w:r>
          </w:p>
        </w:tc>
        <w:tc>
          <w:tcPr>
            <w:tcW w:w="1928" w:type="dxa"/>
            <w:tcMar>
              <w:top w:w="50" w:type="dxa"/>
              <w:left w:w="50" w:type="dxa"/>
              <w:bottom w:w="50" w:type="dxa"/>
              <w:right w:w="50" w:type="dxa"/>
            </w:tcMar>
            <w:vAlign w:val="center"/>
          </w:tcPr>
          <w:p w14:paraId="2464DFF4" w14:textId="77777777" w:rsidR="00EE3C2F" w:rsidRDefault="00000000">
            <w:pPr>
              <w:spacing w:after="0"/>
            </w:pPr>
            <w:r>
              <w:t>ATCTTTTGGGGTCCGTCAACT</w:t>
            </w:r>
          </w:p>
        </w:tc>
        <w:tc>
          <w:tcPr>
            <w:tcW w:w="1928" w:type="dxa"/>
            <w:tcMar>
              <w:top w:w="50" w:type="dxa"/>
              <w:left w:w="50" w:type="dxa"/>
              <w:bottom w:w="50" w:type="dxa"/>
              <w:right w:w="50" w:type="dxa"/>
            </w:tcMar>
            <w:vAlign w:val="center"/>
          </w:tcPr>
          <w:p w14:paraId="4CF052F4" w14:textId="77777777" w:rsidR="00EE3C2F" w:rsidRDefault="00000000">
            <w:pPr>
              <w:spacing w:after="0"/>
            </w:pPr>
            <w:r>
              <w:t>152</w:t>
            </w:r>
          </w:p>
        </w:tc>
      </w:tr>
      <w:tr w:rsidR="00EE3C2F" w14:paraId="0044FEB9" w14:textId="77777777">
        <w:trPr>
          <w:jc w:val="center"/>
        </w:trPr>
        <w:tc>
          <w:tcPr>
            <w:tcW w:w="1928" w:type="dxa"/>
            <w:tcMar>
              <w:top w:w="50" w:type="dxa"/>
              <w:left w:w="50" w:type="dxa"/>
              <w:bottom w:w="50" w:type="dxa"/>
              <w:right w:w="50" w:type="dxa"/>
            </w:tcMar>
            <w:vAlign w:val="center"/>
          </w:tcPr>
          <w:p w14:paraId="57D4E427" w14:textId="77777777" w:rsidR="00EE3C2F" w:rsidRDefault="00000000">
            <w:pPr>
              <w:spacing w:after="0"/>
            </w:pPr>
            <w:r>
              <w:t>Gapdh</w:t>
            </w:r>
          </w:p>
        </w:tc>
        <w:tc>
          <w:tcPr>
            <w:tcW w:w="1928" w:type="dxa"/>
            <w:tcMar>
              <w:top w:w="50" w:type="dxa"/>
              <w:left w:w="50" w:type="dxa"/>
              <w:bottom w:w="50" w:type="dxa"/>
              <w:right w:w="50" w:type="dxa"/>
            </w:tcMar>
            <w:vAlign w:val="center"/>
          </w:tcPr>
          <w:p w14:paraId="1D418F3A" w14:textId="77777777" w:rsidR="00EE3C2F" w:rsidRDefault="00000000">
            <w:pPr>
              <w:spacing w:after="0"/>
            </w:pPr>
            <w:r>
              <w:t>Mus musculus</w:t>
            </w:r>
          </w:p>
        </w:tc>
        <w:tc>
          <w:tcPr>
            <w:tcW w:w="1928" w:type="dxa"/>
            <w:tcMar>
              <w:top w:w="50" w:type="dxa"/>
              <w:left w:w="50" w:type="dxa"/>
              <w:bottom w:w="50" w:type="dxa"/>
              <w:right w:w="50" w:type="dxa"/>
            </w:tcMar>
            <w:vAlign w:val="center"/>
          </w:tcPr>
          <w:p w14:paraId="77205C7D" w14:textId="77777777" w:rsidR="00EE3C2F" w:rsidRDefault="00000000">
            <w:pPr>
              <w:spacing w:after="0"/>
            </w:pPr>
            <w:r>
              <w:t>AGGTCGGTGTGAACGGATTTG</w:t>
            </w:r>
          </w:p>
        </w:tc>
        <w:tc>
          <w:tcPr>
            <w:tcW w:w="1928" w:type="dxa"/>
            <w:tcMar>
              <w:top w:w="50" w:type="dxa"/>
              <w:left w:w="50" w:type="dxa"/>
              <w:bottom w:w="50" w:type="dxa"/>
              <w:right w:w="50" w:type="dxa"/>
            </w:tcMar>
            <w:vAlign w:val="center"/>
          </w:tcPr>
          <w:p w14:paraId="2F891EFF" w14:textId="77777777" w:rsidR="00EE3C2F" w:rsidRDefault="00000000">
            <w:pPr>
              <w:spacing w:after="0"/>
            </w:pPr>
            <w:r>
              <w:t>TGTAGACCATGTAGTTGAGGTCA</w:t>
            </w:r>
          </w:p>
        </w:tc>
        <w:tc>
          <w:tcPr>
            <w:tcW w:w="1928" w:type="dxa"/>
            <w:tcMar>
              <w:top w:w="50" w:type="dxa"/>
              <w:left w:w="50" w:type="dxa"/>
              <w:bottom w:w="50" w:type="dxa"/>
              <w:right w:w="50" w:type="dxa"/>
            </w:tcMar>
            <w:vAlign w:val="center"/>
          </w:tcPr>
          <w:p w14:paraId="3A76F295" w14:textId="77777777" w:rsidR="00EE3C2F" w:rsidRDefault="00000000">
            <w:pPr>
              <w:spacing w:after="0"/>
            </w:pPr>
            <w:r>
              <w:t>123</w:t>
            </w:r>
          </w:p>
        </w:tc>
      </w:tr>
    </w:tbl>
    <w:p w14:paraId="71ECA258" w14:textId="77777777" w:rsidR="00EE3C2F" w:rsidRDefault="00EE3C2F">
      <w:pPr>
        <w:spacing w:after="0"/>
      </w:pPr>
    </w:p>
    <w:p w14:paraId="1E1D1171" w14:textId="77777777" w:rsidR="00EE3C2F" w:rsidRPr="00223267" w:rsidRDefault="00000000">
      <w:pPr>
        <w:spacing w:after="0"/>
        <w:rPr>
          <w:b/>
          <w:bCs/>
        </w:rPr>
      </w:pPr>
      <w:r w:rsidRPr="00223267">
        <w:rPr>
          <w:b/>
          <w:bCs/>
        </w:rPr>
        <w:t>Supplementary Table 4. Public datasets and analytical roles.</w:t>
      </w:r>
    </w:p>
    <w:tbl>
      <w:tblPr>
        <w:tblStyle w:val="aff1"/>
        <w:tblW w:w="0" w:type="auto"/>
        <w:tblLook w:val="04A0" w:firstRow="1" w:lastRow="0" w:firstColumn="1" w:lastColumn="0" w:noHBand="0" w:noVBand="1"/>
      </w:tblPr>
      <w:tblGrid>
        <w:gridCol w:w="2409"/>
        <w:gridCol w:w="2409"/>
        <w:gridCol w:w="2409"/>
        <w:gridCol w:w="2409"/>
      </w:tblGrid>
      <w:tr w:rsidR="00EE3C2F" w14:paraId="0EFF9084" w14:textId="77777777">
        <w:tc>
          <w:tcPr>
            <w:tcW w:w="2409" w:type="dxa"/>
            <w:tcMar>
              <w:top w:w="50" w:type="dxa"/>
              <w:left w:w="50" w:type="dxa"/>
              <w:bottom w:w="50" w:type="dxa"/>
              <w:right w:w="50" w:type="dxa"/>
            </w:tcMar>
          </w:tcPr>
          <w:p w14:paraId="5C32ED7F" w14:textId="77777777" w:rsidR="00EE3C2F" w:rsidRDefault="00000000">
            <w:pPr>
              <w:spacing w:after="0"/>
            </w:pPr>
            <w:r>
              <w:rPr>
                <w:b/>
              </w:rPr>
              <w:t>Dataset</w:t>
            </w:r>
          </w:p>
        </w:tc>
        <w:tc>
          <w:tcPr>
            <w:tcW w:w="2409" w:type="dxa"/>
            <w:tcMar>
              <w:top w:w="50" w:type="dxa"/>
              <w:left w:w="50" w:type="dxa"/>
              <w:bottom w:w="50" w:type="dxa"/>
              <w:right w:w="50" w:type="dxa"/>
            </w:tcMar>
          </w:tcPr>
          <w:p w14:paraId="28CE0BFC" w14:textId="77777777" w:rsidR="00EE3C2F" w:rsidRDefault="00000000">
            <w:pPr>
              <w:spacing w:after="0"/>
            </w:pPr>
            <w:r>
              <w:rPr>
                <w:b/>
              </w:rPr>
              <w:t>Data type</w:t>
            </w:r>
          </w:p>
        </w:tc>
        <w:tc>
          <w:tcPr>
            <w:tcW w:w="2409" w:type="dxa"/>
            <w:tcMar>
              <w:top w:w="50" w:type="dxa"/>
              <w:left w:w="50" w:type="dxa"/>
              <w:bottom w:w="50" w:type="dxa"/>
              <w:right w:w="50" w:type="dxa"/>
            </w:tcMar>
          </w:tcPr>
          <w:p w14:paraId="03AE9D24" w14:textId="77777777" w:rsidR="00EE3C2F" w:rsidRDefault="00000000">
            <w:pPr>
              <w:spacing w:after="0"/>
            </w:pPr>
            <w:r>
              <w:rPr>
                <w:b/>
              </w:rPr>
              <w:t>Primary role in this study</w:t>
            </w:r>
          </w:p>
        </w:tc>
        <w:tc>
          <w:tcPr>
            <w:tcW w:w="2409" w:type="dxa"/>
            <w:tcMar>
              <w:top w:w="50" w:type="dxa"/>
              <w:left w:w="50" w:type="dxa"/>
              <w:bottom w:w="50" w:type="dxa"/>
              <w:right w:w="50" w:type="dxa"/>
            </w:tcMar>
          </w:tcPr>
          <w:p w14:paraId="5CCF1258" w14:textId="77777777" w:rsidR="00EE3C2F" w:rsidRDefault="00000000">
            <w:pPr>
              <w:spacing w:after="0"/>
            </w:pPr>
            <w:r>
              <w:rPr>
                <w:b/>
              </w:rPr>
              <w:t>Interpretation boundary</w:t>
            </w:r>
          </w:p>
        </w:tc>
      </w:tr>
      <w:tr w:rsidR="00EE3C2F" w14:paraId="72E8B9A5" w14:textId="77777777">
        <w:tc>
          <w:tcPr>
            <w:tcW w:w="2409" w:type="dxa"/>
            <w:tcMar>
              <w:top w:w="50" w:type="dxa"/>
              <w:left w:w="50" w:type="dxa"/>
              <w:bottom w:w="50" w:type="dxa"/>
              <w:right w:w="50" w:type="dxa"/>
            </w:tcMar>
          </w:tcPr>
          <w:p w14:paraId="7D57C38F" w14:textId="77777777" w:rsidR="00EE3C2F" w:rsidRDefault="00000000">
            <w:pPr>
              <w:spacing w:after="0"/>
            </w:pPr>
            <w:r>
              <w:t>GSE41622</w:t>
            </w:r>
          </w:p>
        </w:tc>
        <w:tc>
          <w:tcPr>
            <w:tcW w:w="2409" w:type="dxa"/>
            <w:tcMar>
              <w:top w:w="50" w:type="dxa"/>
              <w:left w:w="50" w:type="dxa"/>
              <w:bottom w:w="50" w:type="dxa"/>
              <w:right w:w="50" w:type="dxa"/>
            </w:tcMar>
          </w:tcPr>
          <w:p w14:paraId="2AF63A37" w14:textId="77777777" w:rsidR="00EE3C2F" w:rsidRDefault="00000000">
            <w:pPr>
              <w:spacing w:after="0"/>
            </w:pPr>
            <w:r>
              <w:t>Bulk plaque transcriptome</w:t>
            </w:r>
          </w:p>
        </w:tc>
        <w:tc>
          <w:tcPr>
            <w:tcW w:w="2409" w:type="dxa"/>
            <w:tcMar>
              <w:top w:w="50" w:type="dxa"/>
              <w:left w:w="50" w:type="dxa"/>
              <w:bottom w:w="50" w:type="dxa"/>
              <w:right w:w="50" w:type="dxa"/>
            </w:tcMar>
          </w:tcPr>
          <w:p w14:paraId="43240DCC" w14:textId="77777777" w:rsidR="00EE3C2F" w:rsidRDefault="00000000">
            <w:pPr>
              <w:spacing w:after="0"/>
            </w:pPr>
            <w:r>
              <w:t>Discovery of disease-associated genes and modules</w:t>
            </w:r>
          </w:p>
        </w:tc>
        <w:tc>
          <w:tcPr>
            <w:tcW w:w="2409" w:type="dxa"/>
            <w:tcMar>
              <w:top w:w="50" w:type="dxa"/>
              <w:left w:w="50" w:type="dxa"/>
              <w:bottom w:w="50" w:type="dxa"/>
              <w:right w:w="50" w:type="dxa"/>
            </w:tcMar>
          </w:tcPr>
          <w:p w14:paraId="59321F54" w14:textId="77777777" w:rsidR="00EE3C2F" w:rsidRDefault="00000000">
            <w:pPr>
              <w:spacing w:after="0"/>
            </w:pPr>
            <w:r>
              <w:t>Prioritization only; not a diagnostic model</w:t>
            </w:r>
          </w:p>
        </w:tc>
      </w:tr>
      <w:tr w:rsidR="00EE3C2F" w14:paraId="6D8168CB" w14:textId="77777777">
        <w:tc>
          <w:tcPr>
            <w:tcW w:w="2409" w:type="dxa"/>
            <w:tcMar>
              <w:top w:w="50" w:type="dxa"/>
              <w:left w:w="50" w:type="dxa"/>
              <w:bottom w:w="50" w:type="dxa"/>
              <w:right w:w="50" w:type="dxa"/>
            </w:tcMar>
          </w:tcPr>
          <w:p w14:paraId="6526F0DD" w14:textId="77777777" w:rsidR="00EE3C2F" w:rsidRDefault="00000000">
            <w:pPr>
              <w:spacing w:after="0"/>
            </w:pPr>
            <w:r>
              <w:t>GSE100927</w:t>
            </w:r>
          </w:p>
        </w:tc>
        <w:tc>
          <w:tcPr>
            <w:tcW w:w="2409" w:type="dxa"/>
            <w:tcMar>
              <w:top w:w="50" w:type="dxa"/>
              <w:left w:w="50" w:type="dxa"/>
              <w:bottom w:w="50" w:type="dxa"/>
              <w:right w:w="50" w:type="dxa"/>
            </w:tcMar>
          </w:tcPr>
          <w:p w14:paraId="21F34D4A" w14:textId="77777777" w:rsidR="00EE3C2F" w:rsidRDefault="00000000">
            <w:pPr>
              <w:spacing w:after="0"/>
            </w:pPr>
            <w:r>
              <w:t>Bulk vascular transcriptome</w:t>
            </w:r>
          </w:p>
        </w:tc>
        <w:tc>
          <w:tcPr>
            <w:tcW w:w="2409" w:type="dxa"/>
            <w:tcMar>
              <w:top w:w="50" w:type="dxa"/>
              <w:left w:w="50" w:type="dxa"/>
              <w:bottom w:w="50" w:type="dxa"/>
              <w:right w:w="50" w:type="dxa"/>
            </w:tcMar>
          </w:tcPr>
          <w:p w14:paraId="0DE8E528" w14:textId="77777777" w:rsidR="00EE3C2F" w:rsidRDefault="00000000">
            <w:pPr>
              <w:spacing w:after="0"/>
            </w:pPr>
            <w:r>
              <w:t>Independent discovery support and module overlap</w:t>
            </w:r>
          </w:p>
        </w:tc>
        <w:tc>
          <w:tcPr>
            <w:tcW w:w="2409" w:type="dxa"/>
            <w:tcMar>
              <w:top w:w="50" w:type="dxa"/>
              <w:left w:w="50" w:type="dxa"/>
              <w:bottom w:w="50" w:type="dxa"/>
              <w:right w:w="50" w:type="dxa"/>
            </w:tcMar>
          </w:tcPr>
          <w:p w14:paraId="3AABD7C5" w14:textId="77777777" w:rsidR="00EE3C2F" w:rsidRDefault="00000000">
            <w:pPr>
              <w:spacing w:after="0"/>
            </w:pPr>
            <w:r>
              <w:t>Cross-platform differences considered</w:t>
            </w:r>
          </w:p>
        </w:tc>
      </w:tr>
      <w:tr w:rsidR="00EE3C2F" w14:paraId="7C3B8C79" w14:textId="77777777">
        <w:tc>
          <w:tcPr>
            <w:tcW w:w="2409" w:type="dxa"/>
            <w:tcMar>
              <w:top w:w="50" w:type="dxa"/>
              <w:left w:w="50" w:type="dxa"/>
              <w:bottom w:w="50" w:type="dxa"/>
              <w:right w:w="50" w:type="dxa"/>
            </w:tcMar>
          </w:tcPr>
          <w:p w14:paraId="189E37D9" w14:textId="77777777" w:rsidR="00EE3C2F" w:rsidRDefault="00000000">
            <w:pPr>
              <w:spacing w:after="0"/>
            </w:pPr>
            <w:r>
              <w:t>GSE309462</w:t>
            </w:r>
          </w:p>
        </w:tc>
        <w:tc>
          <w:tcPr>
            <w:tcW w:w="2409" w:type="dxa"/>
            <w:tcMar>
              <w:top w:w="50" w:type="dxa"/>
              <w:left w:w="50" w:type="dxa"/>
              <w:bottom w:w="50" w:type="dxa"/>
              <w:right w:w="50" w:type="dxa"/>
            </w:tcMar>
          </w:tcPr>
          <w:p w14:paraId="08D13C4E" w14:textId="77777777" w:rsidR="00EE3C2F" w:rsidRDefault="00000000">
            <w:pPr>
              <w:spacing w:after="0"/>
            </w:pPr>
            <w:r>
              <w:t>Human carotid plaque scRNA-seq</w:t>
            </w:r>
          </w:p>
        </w:tc>
        <w:tc>
          <w:tcPr>
            <w:tcW w:w="2409" w:type="dxa"/>
            <w:tcMar>
              <w:top w:w="50" w:type="dxa"/>
              <w:left w:w="50" w:type="dxa"/>
              <w:bottom w:w="50" w:type="dxa"/>
              <w:right w:w="50" w:type="dxa"/>
            </w:tcMar>
          </w:tcPr>
          <w:p w14:paraId="5E031FDA" w14:textId="77777777" w:rsidR="00EE3C2F" w:rsidRDefault="00000000">
            <w:pPr>
              <w:spacing w:after="0"/>
            </w:pPr>
            <w:r>
              <w:t>Donor-aware cell atlas, composition, functional remodeling and communication inference</w:t>
            </w:r>
          </w:p>
        </w:tc>
        <w:tc>
          <w:tcPr>
            <w:tcW w:w="2409" w:type="dxa"/>
            <w:tcMar>
              <w:top w:w="50" w:type="dxa"/>
              <w:left w:w="50" w:type="dxa"/>
              <w:bottom w:w="50" w:type="dxa"/>
              <w:right w:w="50" w:type="dxa"/>
            </w:tcMar>
          </w:tcPr>
          <w:p w14:paraId="38E9CBC8" w14:textId="77777777" w:rsidR="00EE3C2F" w:rsidRDefault="00000000">
            <w:pPr>
              <w:spacing w:after="0"/>
            </w:pPr>
            <w:r>
              <w:t>Donor-level interpretation; modest cohort size</w:t>
            </w:r>
          </w:p>
        </w:tc>
      </w:tr>
      <w:tr w:rsidR="00EE3C2F" w14:paraId="5335B90D" w14:textId="77777777">
        <w:tc>
          <w:tcPr>
            <w:tcW w:w="2409" w:type="dxa"/>
            <w:tcMar>
              <w:top w:w="50" w:type="dxa"/>
              <w:left w:w="50" w:type="dxa"/>
              <w:bottom w:w="50" w:type="dxa"/>
              <w:right w:w="50" w:type="dxa"/>
            </w:tcMar>
          </w:tcPr>
          <w:p w14:paraId="1388EF7A" w14:textId="77777777" w:rsidR="00EE3C2F" w:rsidRDefault="00000000">
            <w:pPr>
              <w:spacing w:after="0"/>
            </w:pPr>
            <w:r>
              <w:t>GSE43292</w:t>
            </w:r>
          </w:p>
        </w:tc>
        <w:tc>
          <w:tcPr>
            <w:tcW w:w="2409" w:type="dxa"/>
            <w:tcMar>
              <w:top w:w="50" w:type="dxa"/>
              <w:left w:w="50" w:type="dxa"/>
              <w:bottom w:w="50" w:type="dxa"/>
              <w:right w:w="50" w:type="dxa"/>
            </w:tcMar>
          </w:tcPr>
          <w:p w14:paraId="0757D5FE" w14:textId="77777777" w:rsidR="00EE3C2F" w:rsidRDefault="00000000">
            <w:pPr>
              <w:spacing w:after="0"/>
            </w:pPr>
            <w:r>
              <w:t>Paired plaque/intact tissue transcriptome</w:t>
            </w:r>
          </w:p>
        </w:tc>
        <w:tc>
          <w:tcPr>
            <w:tcW w:w="2409" w:type="dxa"/>
            <w:tcMar>
              <w:top w:w="50" w:type="dxa"/>
              <w:left w:w="50" w:type="dxa"/>
              <w:bottom w:w="50" w:type="dxa"/>
              <w:right w:w="50" w:type="dxa"/>
            </w:tcMar>
          </w:tcPr>
          <w:p w14:paraId="4FB92D5E" w14:textId="77777777" w:rsidR="00EE3C2F" w:rsidRDefault="00000000">
            <w:pPr>
              <w:spacing w:after="0"/>
            </w:pPr>
            <w:r>
              <w:t>External validation of candidate genes</w:t>
            </w:r>
          </w:p>
        </w:tc>
        <w:tc>
          <w:tcPr>
            <w:tcW w:w="2409" w:type="dxa"/>
            <w:tcMar>
              <w:top w:w="50" w:type="dxa"/>
              <w:left w:w="50" w:type="dxa"/>
              <w:bottom w:w="50" w:type="dxa"/>
              <w:right w:w="50" w:type="dxa"/>
            </w:tcMar>
          </w:tcPr>
          <w:p w14:paraId="0E0E3C8E" w14:textId="77777777" w:rsidR="00EE3C2F" w:rsidRDefault="00000000">
            <w:pPr>
              <w:spacing w:after="0"/>
            </w:pPr>
            <w:r>
              <w:t>Marker-level summary only</w:t>
            </w:r>
          </w:p>
        </w:tc>
      </w:tr>
      <w:tr w:rsidR="00EE3C2F" w14:paraId="5E821F50" w14:textId="77777777">
        <w:tc>
          <w:tcPr>
            <w:tcW w:w="2409" w:type="dxa"/>
            <w:tcMar>
              <w:top w:w="50" w:type="dxa"/>
              <w:left w:w="50" w:type="dxa"/>
              <w:bottom w:w="50" w:type="dxa"/>
              <w:right w:w="50" w:type="dxa"/>
            </w:tcMar>
          </w:tcPr>
          <w:p w14:paraId="4F08FAAB" w14:textId="77777777" w:rsidR="00EE3C2F" w:rsidRDefault="00000000">
            <w:pPr>
              <w:spacing w:after="0"/>
            </w:pPr>
            <w:r>
              <w:t>GSE28829</w:t>
            </w:r>
          </w:p>
        </w:tc>
        <w:tc>
          <w:tcPr>
            <w:tcW w:w="2409" w:type="dxa"/>
            <w:tcMar>
              <w:top w:w="50" w:type="dxa"/>
              <w:left w:w="50" w:type="dxa"/>
              <w:bottom w:w="50" w:type="dxa"/>
              <w:right w:w="50" w:type="dxa"/>
            </w:tcMar>
          </w:tcPr>
          <w:p w14:paraId="26854EE2" w14:textId="77777777" w:rsidR="00EE3C2F" w:rsidRDefault="00000000">
            <w:pPr>
              <w:spacing w:after="0"/>
            </w:pPr>
            <w:r>
              <w:t>Early-versus-advanced plaque transcriptome</w:t>
            </w:r>
          </w:p>
        </w:tc>
        <w:tc>
          <w:tcPr>
            <w:tcW w:w="2409" w:type="dxa"/>
            <w:tcMar>
              <w:top w:w="50" w:type="dxa"/>
              <w:left w:w="50" w:type="dxa"/>
              <w:bottom w:w="50" w:type="dxa"/>
              <w:right w:w="50" w:type="dxa"/>
            </w:tcMar>
          </w:tcPr>
          <w:p w14:paraId="633008FE" w14:textId="77777777" w:rsidR="00EE3C2F" w:rsidRDefault="00000000">
            <w:pPr>
              <w:spacing w:after="0"/>
            </w:pPr>
            <w:r>
              <w:t>External validation of advanced plaque signals</w:t>
            </w:r>
          </w:p>
        </w:tc>
        <w:tc>
          <w:tcPr>
            <w:tcW w:w="2409" w:type="dxa"/>
            <w:tcMar>
              <w:top w:w="50" w:type="dxa"/>
              <w:left w:w="50" w:type="dxa"/>
              <w:bottom w:w="50" w:type="dxa"/>
              <w:right w:w="50" w:type="dxa"/>
            </w:tcMar>
          </w:tcPr>
          <w:p w14:paraId="44D5F0C2" w14:textId="77777777" w:rsidR="00EE3C2F" w:rsidRDefault="00000000">
            <w:pPr>
              <w:spacing w:after="0"/>
            </w:pPr>
            <w:r>
              <w:t>Marker-level summary only</w:t>
            </w:r>
          </w:p>
        </w:tc>
      </w:tr>
    </w:tbl>
    <w:p w14:paraId="21AC85EA" w14:textId="77777777" w:rsidR="00223267" w:rsidRDefault="00223267">
      <w:pPr>
        <w:spacing w:after="0"/>
        <w:rPr>
          <w:rFonts w:eastAsia="宋体"/>
          <w:lang w:eastAsia="zh-CN"/>
        </w:rPr>
      </w:pPr>
    </w:p>
    <w:p w14:paraId="40F81BED" w14:textId="414225AF" w:rsidR="00EE3C2F" w:rsidRPr="00223267" w:rsidRDefault="00000000">
      <w:pPr>
        <w:spacing w:after="0"/>
        <w:rPr>
          <w:b/>
          <w:bCs/>
        </w:rPr>
      </w:pPr>
      <w:r w:rsidRPr="00223267">
        <w:rPr>
          <w:b/>
          <w:bCs/>
        </w:rPr>
        <w:t>Supplementary Table 5. Analytical layers and evidence boundaries.</w:t>
      </w:r>
    </w:p>
    <w:tbl>
      <w:tblPr>
        <w:tblStyle w:val="aff1"/>
        <w:tblW w:w="0" w:type="auto"/>
        <w:tblLook w:val="04A0" w:firstRow="1" w:lastRow="0" w:firstColumn="1" w:lastColumn="0" w:noHBand="0" w:noVBand="1"/>
      </w:tblPr>
      <w:tblGrid>
        <w:gridCol w:w="3213"/>
        <w:gridCol w:w="3213"/>
        <w:gridCol w:w="3213"/>
      </w:tblGrid>
      <w:tr w:rsidR="00EE3C2F" w14:paraId="08A41C54" w14:textId="77777777">
        <w:tc>
          <w:tcPr>
            <w:tcW w:w="3213" w:type="dxa"/>
            <w:tcMar>
              <w:top w:w="50" w:type="dxa"/>
              <w:left w:w="50" w:type="dxa"/>
              <w:bottom w:w="50" w:type="dxa"/>
              <w:right w:w="50" w:type="dxa"/>
            </w:tcMar>
          </w:tcPr>
          <w:p w14:paraId="0954211A" w14:textId="77777777" w:rsidR="00EE3C2F" w:rsidRDefault="00000000">
            <w:pPr>
              <w:spacing w:after="0"/>
            </w:pPr>
            <w:r>
              <w:rPr>
                <w:b/>
              </w:rPr>
              <w:t>Analytical layer</w:t>
            </w:r>
          </w:p>
        </w:tc>
        <w:tc>
          <w:tcPr>
            <w:tcW w:w="3213" w:type="dxa"/>
            <w:tcMar>
              <w:top w:w="50" w:type="dxa"/>
              <w:left w:w="50" w:type="dxa"/>
              <w:bottom w:w="50" w:type="dxa"/>
              <w:right w:w="50" w:type="dxa"/>
            </w:tcMar>
          </w:tcPr>
          <w:p w14:paraId="7B86994A" w14:textId="77777777" w:rsidR="00EE3C2F" w:rsidRDefault="00000000">
            <w:pPr>
              <w:spacing w:after="0"/>
            </w:pPr>
            <w:r>
              <w:rPr>
                <w:b/>
              </w:rPr>
              <w:t>Main output</w:t>
            </w:r>
          </w:p>
        </w:tc>
        <w:tc>
          <w:tcPr>
            <w:tcW w:w="3213" w:type="dxa"/>
            <w:tcMar>
              <w:top w:w="50" w:type="dxa"/>
              <w:left w:w="50" w:type="dxa"/>
              <w:bottom w:w="50" w:type="dxa"/>
              <w:right w:w="50" w:type="dxa"/>
            </w:tcMar>
          </w:tcPr>
          <w:p w14:paraId="75B3AA95" w14:textId="77777777" w:rsidR="00EE3C2F" w:rsidRDefault="00000000">
            <w:pPr>
              <w:spacing w:after="0"/>
            </w:pPr>
            <w:r>
              <w:rPr>
                <w:b/>
              </w:rPr>
              <w:t>How it was interpreted</w:t>
            </w:r>
          </w:p>
        </w:tc>
      </w:tr>
      <w:tr w:rsidR="00EE3C2F" w14:paraId="35F65AD1" w14:textId="77777777">
        <w:tc>
          <w:tcPr>
            <w:tcW w:w="3213" w:type="dxa"/>
            <w:tcMar>
              <w:top w:w="50" w:type="dxa"/>
              <w:left w:w="50" w:type="dxa"/>
              <w:bottom w:w="50" w:type="dxa"/>
              <w:right w:w="50" w:type="dxa"/>
            </w:tcMar>
          </w:tcPr>
          <w:p w14:paraId="1ADF8248" w14:textId="77777777" w:rsidR="00EE3C2F" w:rsidRDefault="00000000">
            <w:pPr>
              <w:spacing w:after="0"/>
            </w:pPr>
            <w:r>
              <w:t>Bulk transcriptomics and network topology</w:t>
            </w:r>
          </w:p>
        </w:tc>
        <w:tc>
          <w:tcPr>
            <w:tcW w:w="3213" w:type="dxa"/>
            <w:tcMar>
              <w:top w:w="50" w:type="dxa"/>
              <w:left w:w="50" w:type="dxa"/>
              <w:bottom w:w="50" w:type="dxa"/>
              <w:right w:w="50" w:type="dxa"/>
            </w:tcMar>
          </w:tcPr>
          <w:p w14:paraId="0B95CDBD" w14:textId="77777777" w:rsidR="00EE3C2F" w:rsidRDefault="00000000">
            <w:pPr>
              <w:spacing w:after="0"/>
            </w:pPr>
            <w:r>
              <w:t>Six-gene core and ten-gene prioritization panel</w:t>
            </w:r>
          </w:p>
        </w:tc>
        <w:tc>
          <w:tcPr>
            <w:tcW w:w="3213" w:type="dxa"/>
            <w:tcMar>
              <w:top w:w="50" w:type="dxa"/>
              <w:left w:w="50" w:type="dxa"/>
              <w:bottom w:w="50" w:type="dxa"/>
              <w:right w:w="50" w:type="dxa"/>
            </w:tcMar>
          </w:tcPr>
          <w:p w14:paraId="0D028D60" w14:textId="77777777" w:rsidR="00EE3C2F" w:rsidRDefault="00000000">
            <w:pPr>
              <w:spacing w:after="0"/>
            </w:pPr>
            <w:r>
              <w:t>Mechanistic prioritization, not clinical classification</w:t>
            </w:r>
          </w:p>
        </w:tc>
      </w:tr>
      <w:tr w:rsidR="00EE3C2F" w14:paraId="46B904B5" w14:textId="77777777">
        <w:tc>
          <w:tcPr>
            <w:tcW w:w="3213" w:type="dxa"/>
            <w:tcMar>
              <w:top w:w="50" w:type="dxa"/>
              <w:left w:w="50" w:type="dxa"/>
              <w:bottom w:w="50" w:type="dxa"/>
              <w:right w:w="50" w:type="dxa"/>
            </w:tcMar>
          </w:tcPr>
          <w:p w14:paraId="4706CD95" w14:textId="77777777" w:rsidR="00EE3C2F" w:rsidRDefault="00000000">
            <w:pPr>
              <w:spacing w:after="0"/>
            </w:pPr>
            <w:r>
              <w:t>Single-cell atlas</w:t>
            </w:r>
          </w:p>
        </w:tc>
        <w:tc>
          <w:tcPr>
            <w:tcW w:w="3213" w:type="dxa"/>
            <w:tcMar>
              <w:top w:w="50" w:type="dxa"/>
              <w:left w:w="50" w:type="dxa"/>
              <w:bottom w:w="50" w:type="dxa"/>
              <w:right w:w="50" w:type="dxa"/>
            </w:tcMar>
          </w:tcPr>
          <w:p w14:paraId="6B0995CF" w14:textId="77777777" w:rsidR="00EE3C2F" w:rsidRDefault="00000000">
            <w:pPr>
              <w:spacing w:after="0"/>
            </w:pPr>
            <w:r>
              <w:t>Composition, marker validation and lineage remodeling</w:t>
            </w:r>
          </w:p>
        </w:tc>
        <w:tc>
          <w:tcPr>
            <w:tcW w:w="3213" w:type="dxa"/>
            <w:tcMar>
              <w:top w:w="50" w:type="dxa"/>
              <w:left w:w="50" w:type="dxa"/>
              <w:bottom w:w="50" w:type="dxa"/>
              <w:right w:w="50" w:type="dxa"/>
            </w:tcMar>
          </w:tcPr>
          <w:p w14:paraId="69C50761" w14:textId="77777777" w:rsidR="00EE3C2F" w:rsidRDefault="00000000">
            <w:pPr>
              <w:spacing w:after="0"/>
            </w:pPr>
            <w:r>
              <w:t>Donor-aware plaque context</w:t>
            </w:r>
          </w:p>
        </w:tc>
      </w:tr>
      <w:tr w:rsidR="00EE3C2F" w14:paraId="4356CA77" w14:textId="77777777">
        <w:tc>
          <w:tcPr>
            <w:tcW w:w="3213" w:type="dxa"/>
            <w:tcMar>
              <w:top w:w="50" w:type="dxa"/>
              <w:left w:w="50" w:type="dxa"/>
              <w:bottom w:w="50" w:type="dxa"/>
              <w:right w:w="50" w:type="dxa"/>
            </w:tcMar>
          </w:tcPr>
          <w:p w14:paraId="42F65FE2" w14:textId="77777777" w:rsidR="00EE3C2F" w:rsidRDefault="00000000">
            <w:pPr>
              <w:spacing w:after="0"/>
            </w:pPr>
            <w:r>
              <w:t>CellChat inference</w:t>
            </w:r>
          </w:p>
        </w:tc>
        <w:tc>
          <w:tcPr>
            <w:tcW w:w="3213" w:type="dxa"/>
            <w:tcMar>
              <w:top w:w="50" w:type="dxa"/>
              <w:left w:w="50" w:type="dxa"/>
              <w:bottom w:w="50" w:type="dxa"/>
              <w:right w:w="50" w:type="dxa"/>
            </w:tcMar>
          </w:tcPr>
          <w:p w14:paraId="00C92990" w14:textId="77777777" w:rsidR="00EE3C2F" w:rsidRDefault="00000000">
            <w:pPr>
              <w:spacing w:after="0"/>
            </w:pPr>
            <w:r>
              <w:t>EC-to-SMC and global communication rewiring</w:t>
            </w:r>
          </w:p>
        </w:tc>
        <w:tc>
          <w:tcPr>
            <w:tcW w:w="3213" w:type="dxa"/>
            <w:tcMar>
              <w:top w:w="50" w:type="dxa"/>
              <w:left w:w="50" w:type="dxa"/>
              <w:bottom w:w="50" w:type="dxa"/>
              <w:right w:w="50" w:type="dxa"/>
            </w:tcMar>
          </w:tcPr>
          <w:p w14:paraId="404C1F3A" w14:textId="77777777" w:rsidR="00EE3C2F" w:rsidRDefault="00000000">
            <w:pPr>
              <w:spacing w:after="0"/>
            </w:pPr>
            <w:r>
              <w:t>Hypothesis-generating ligand-receptor inference</w:t>
            </w:r>
          </w:p>
        </w:tc>
      </w:tr>
      <w:tr w:rsidR="00EE3C2F" w14:paraId="586064F8" w14:textId="77777777">
        <w:tc>
          <w:tcPr>
            <w:tcW w:w="3213" w:type="dxa"/>
            <w:tcMar>
              <w:top w:w="50" w:type="dxa"/>
              <w:left w:w="50" w:type="dxa"/>
              <w:bottom w:w="50" w:type="dxa"/>
              <w:right w:w="50" w:type="dxa"/>
            </w:tcMar>
          </w:tcPr>
          <w:p w14:paraId="73A206BA" w14:textId="77777777" w:rsidR="00EE3C2F" w:rsidRDefault="00000000">
            <w:pPr>
              <w:spacing w:after="0"/>
            </w:pPr>
            <w:r>
              <w:t>Docking and molecular dynamics</w:t>
            </w:r>
          </w:p>
        </w:tc>
        <w:tc>
          <w:tcPr>
            <w:tcW w:w="3213" w:type="dxa"/>
            <w:tcMar>
              <w:top w:w="50" w:type="dxa"/>
              <w:left w:w="50" w:type="dxa"/>
              <w:bottom w:w="50" w:type="dxa"/>
              <w:right w:w="50" w:type="dxa"/>
            </w:tcMar>
          </w:tcPr>
          <w:p w14:paraId="29E9030F" w14:textId="77777777" w:rsidR="00EE3C2F" w:rsidRDefault="00000000">
            <w:pPr>
              <w:spacing w:after="0"/>
            </w:pPr>
            <w:r>
              <w:t>Structural compatibility and trajectory plausibility for colchicine-MMP9</w:t>
            </w:r>
          </w:p>
        </w:tc>
        <w:tc>
          <w:tcPr>
            <w:tcW w:w="3213" w:type="dxa"/>
            <w:tcMar>
              <w:top w:w="50" w:type="dxa"/>
              <w:left w:w="50" w:type="dxa"/>
              <w:bottom w:w="50" w:type="dxa"/>
              <w:right w:w="50" w:type="dxa"/>
            </w:tcMar>
          </w:tcPr>
          <w:p w14:paraId="6B272918" w14:textId="77777777" w:rsidR="00EE3C2F" w:rsidRDefault="00000000">
            <w:pPr>
              <w:spacing w:after="0"/>
            </w:pPr>
            <w:r>
              <w:t>Supportive structural plausibility only</w:t>
            </w:r>
          </w:p>
        </w:tc>
      </w:tr>
      <w:tr w:rsidR="00EE3C2F" w14:paraId="54A58AE6" w14:textId="77777777">
        <w:tc>
          <w:tcPr>
            <w:tcW w:w="3213" w:type="dxa"/>
            <w:tcMar>
              <w:top w:w="50" w:type="dxa"/>
              <w:left w:w="50" w:type="dxa"/>
              <w:bottom w:w="50" w:type="dxa"/>
              <w:right w:w="50" w:type="dxa"/>
            </w:tcMar>
          </w:tcPr>
          <w:p w14:paraId="050E63A0" w14:textId="77777777" w:rsidR="00EE3C2F" w:rsidRDefault="00000000">
            <w:pPr>
              <w:spacing w:after="0"/>
            </w:pPr>
            <w:r>
              <w:t>Macrophage perturbation assays</w:t>
            </w:r>
          </w:p>
        </w:tc>
        <w:tc>
          <w:tcPr>
            <w:tcW w:w="3213" w:type="dxa"/>
            <w:tcMar>
              <w:top w:w="50" w:type="dxa"/>
              <w:left w:w="50" w:type="dxa"/>
              <w:bottom w:w="50" w:type="dxa"/>
              <w:right w:w="50" w:type="dxa"/>
            </w:tcMar>
          </w:tcPr>
          <w:p w14:paraId="1410A953" w14:textId="77777777" w:rsidR="00EE3C2F" w:rsidRDefault="00000000">
            <w:pPr>
              <w:spacing w:after="0"/>
            </w:pPr>
            <w:r>
              <w:t>Suppression of foam-cell, inflammatory and proteolytic readouts</w:t>
            </w:r>
          </w:p>
        </w:tc>
        <w:tc>
          <w:tcPr>
            <w:tcW w:w="3213" w:type="dxa"/>
            <w:tcMar>
              <w:top w:w="50" w:type="dxa"/>
              <w:left w:w="50" w:type="dxa"/>
              <w:bottom w:w="50" w:type="dxa"/>
              <w:right w:w="50" w:type="dxa"/>
            </w:tcMar>
          </w:tcPr>
          <w:p w14:paraId="5E3C9178" w14:textId="77777777" w:rsidR="00EE3C2F" w:rsidRDefault="00000000">
            <w:pPr>
              <w:spacing w:after="0"/>
            </w:pPr>
            <w:r>
              <w:t>Experimental support for macrophage program responsiveness</w:t>
            </w:r>
          </w:p>
        </w:tc>
      </w:tr>
    </w:tbl>
    <w:p w14:paraId="6DCE7F61" w14:textId="77777777" w:rsidR="00D464DB" w:rsidRDefault="00D464DB"/>
    <w:sectPr w:rsidR="00D464DB" w:rsidSect="00034616">
      <w:footerReference w:type="default" r:id="rId30"/>
      <w:pgSz w:w="11906" w:h="16838"/>
      <w:pgMar w:top="1152" w:right="1152" w:bottom="1152" w:left="1152" w:header="432" w:footer="432"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814EB" w14:textId="77777777" w:rsidR="00D464DB" w:rsidRDefault="00D464DB">
      <w:pPr>
        <w:spacing w:after="0" w:line="240" w:lineRule="auto"/>
      </w:pPr>
      <w:r>
        <w:separator/>
      </w:r>
    </w:p>
  </w:endnote>
  <w:endnote w:type="continuationSeparator" w:id="0">
    <w:p w14:paraId="79511938" w14:textId="77777777" w:rsidR="00D464DB" w:rsidRDefault="00D46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0E626" w14:textId="77777777" w:rsidR="00EE3C2F" w:rsidRDefault="00000000">
    <w:pPr>
      <w:pStyle w:val="a7"/>
      <w:jc w:val="center"/>
    </w:pPr>
    <w:r>
      <w:t xml:space="preserve">Page </w:t>
    </w:r>
    <w:r>
      <w:fldChar w:fldCharType="begin"/>
    </w:r>
    <w:r>
      <w:instrText>PAGE</w:instrText>
    </w:r>
    <w:r w:rsidR="00223267">
      <w:fldChar w:fldCharType="separate"/>
    </w:r>
    <w:r w:rsidR="002232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65027" w14:textId="77777777" w:rsidR="00D464DB" w:rsidRDefault="00D464DB">
      <w:pPr>
        <w:spacing w:after="0" w:line="240" w:lineRule="auto"/>
      </w:pPr>
      <w:r>
        <w:separator/>
      </w:r>
    </w:p>
  </w:footnote>
  <w:footnote w:type="continuationSeparator" w:id="0">
    <w:p w14:paraId="196C85D6" w14:textId="77777777" w:rsidR="00D464DB" w:rsidRDefault="00D464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217082556">
    <w:abstractNumId w:val="8"/>
  </w:num>
  <w:num w:numId="2" w16cid:durableId="1663851554">
    <w:abstractNumId w:val="6"/>
  </w:num>
  <w:num w:numId="3" w16cid:durableId="171771067">
    <w:abstractNumId w:val="5"/>
  </w:num>
  <w:num w:numId="4" w16cid:durableId="1777283545">
    <w:abstractNumId w:val="4"/>
  </w:num>
  <w:num w:numId="5" w16cid:durableId="575671219">
    <w:abstractNumId w:val="7"/>
  </w:num>
  <w:num w:numId="6" w16cid:durableId="1916284086">
    <w:abstractNumId w:val="3"/>
  </w:num>
  <w:num w:numId="7" w16cid:durableId="1267613218">
    <w:abstractNumId w:val="2"/>
  </w:num>
  <w:num w:numId="8" w16cid:durableId="1050501142">
    <w:abstractNumId w:val="1"/>
  </w:num>
  <w:num w:numId="9" w16cid:durableId="526136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23267"/>
    <w:rsid w:val="0029639D"/>
    <w:rsid w:val="002F2BB2"/>
    <w:rsid w:val="00326F90"/>
    <w:rsid w:val="00AA1D8D"/>
    <w:rsid w:val="00B47730"/>
    <w:rsid w:val="00CB0664"/>
    <w:rsid w:val="00D464DB"/>
    <w:rsid w:val="00EE3C2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4254B5"/>
  <w14:defaultImageDpi w14:val="300"/>
  <w15:docId w15:val="{7AF2694B-B8A1-4FA7-AFAB-F4D520296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pPr>
      <w:spacing w:after="60" w:line="360" w:lineRule="auto"/>
    </w:pPr>
    <w:rPr>
      <w:rFonts w:ascii="Times New Roman" w:eastAsia="Times New Roman" w:hAnsi="Times New Roman"/>
      <w:sz w:val="20"/>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页眉 字符"/>
    <w:basedOn w:val="a2"/>
    <w:link w:val="a5"/>
    <w:uiPriority w:val="99"/>
    <w:rsid w:val="00E618BF"/>
    <w:rPr>
      <w:rFonts w:ascii="Times New Roman" w:eastAsia="Times New Roman" w:hAnsi="Times New Roman"/>
      <w:sz w:val="20"/>
    </w:rPr>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页脚 字符"/>
    <w:basedOn w:val="a2"/>
    <w:link w:val="a7"/>
    <w:uiPriority w:val="99"/>
    <w:rsid w:val="00E618BF"/>
    <w:rPr>
      <w:rFonts w:ascii="Times New Roman" w:eastAsia="Times New Roman" w:hAnsi="Times New Roman"/>
      <w:sz w:val="20"/>
    </w:rPr>
  </w:style>
  <w:style w:type="paragraph" w:styleId="a9">
    <w:name w:val="No Spacing"/>
    <w:uiPriority w:val="1"/>
    <w:qFormat/>
    <w:rsid w:val="00FC693F"/>
    <w:pPr>
      <w:spacing w:after="0" w:line="240" w:lineRule="auto"/>
    </w:pPr>
    <w:rPr>
      <w:rFonts w:ascii="Times New Roman" w:eastAsia="Times New Roman" w:hAnsi="Times New Roman"/>
      <w:sz w:val="20"/>
    </w:rPr>
  </w:style>
  <w:style w:type="character" w:customStyle="1" w:styleId="10">
    <w:name w:val="标题 1 字符"/>
    <w:basedOn w:val="a2"/>
    <w:link w:val="1"/>
    <w:uiPriority w:val="9"/>
    <w:rsid w:val="00FC693F"/>
    <w:rPr>
      <w:rFonts w:asciiTheme="majorHAnsi" w:eastAsiaTheme="majorEastAsia" w:hAnsiTheme="majorHAnsi" w:cstheme="majorBidi"/>
      <w:b/>
      <w:bCs/>
      <w:color w:val="365F91" w:themeColor="accent1" w:themeShade="BF"/>
      <w:sz w:val="20"/>
      <w:szCs w:val="28"/>
    </w:rPr>
  </w:style>
  <w:style w:type="character" w:customStyle="1" w:styleId="22">
    <w:name w:val="标题 2 字符"/>
    <w:basedOn w:val="a2"/>
    <w:link w:val="21"/>
    <w:uiPriority w:val="9"/>
    <w:rsid w:val="00FC693F"/>
    <w:rPr>
      <w:rFonts w:asciiTheme="majorHAnsi" w:eastAsiaTheme="majorEastAsia" w:hAnsiTheme="majorHAnsi" w:cstheme="majorBidi"/>
      <w:b/>
      <w:bCs/>
      <w:color w:val="4F81BD" w:themeColor="accent1"/>
      <w:sz w:val="20"/>
      <w:szCs w:val="26"/>
    </w:rPr>
  </w:style>
  <w:style w:type="character" w:customStyle="1" w:styleId="32">
    <w:name w:val="标题 3 字符"/>
    <w:basedOn w:val="a2"/>
    <w:link w:val="31"/>
    <w:uiPriority w:val="9"/>
    <w:rsid w:val="00FC693F"/>
    <w:rPr>
      <w:rFonts w:asciiTheme="majorHAnsi" w:eastAsiaTheme="majorEastAsia" w:hAnsiTheme="majorHAnsi" w:cstheme="majorBidi"/>
      <w:b/>
      <w:bCs/>
      <w:color w:val="4F81BD" w:themeColor="accent1"/>
      <w:sz w:val="20"/>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24"/>
      <w:szCs w:val="52"/>
    </w:rPr>
  </w:style>
  <w:style w:type="character" w:customStyle="1" w:styleId="ab">
    <w:name w:val="标题 字符"/>
    <w:basedOn w:val="a2"/>
    <w:link w:val="aa"/>
    <w:uiPriority w:val="10"/>
    <w:rsid w:val="00FC693F"/>
    <w:rPr>
      <w:rFonts w:asciiTheme="majorHAnsi" w:eastAsiaTheme="majorEastAsia" w:hAnsiTheme="majorHAnsi" w:cstheme="majorBidi"/>
      <w:color w:val="17365D" w:themeColor="text2" w:themeShade="BF"/>
      <w:spacing w:val="5"/>
      <w:kern w:val="28"/>
      <w:sz w:val="20"/>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ad">
    <w:name w:val="副标题 字符"/>
    <w:basedOn w:val="a2"/>
    <w:link w:val="ac"/>
    <w:uiPriority w:val="11"/>
    <w:rsid w:val="00FC693F"/>
    <w:rPr>
      <w:rFonts w:asciiTheme="majorHAnsi" w:eastAsiaTheme="majorEastAsia" w:hAnsiTheme="majorHAnsi" w:cstheme="majorBidi"/>
      <w:i/>
      <w:iCs/>
      <w:color w:val="4F81BD" w:themeColor="accent1"/>
      <w:spacing w:val="15"/>
      <w:sz w:val="20"/>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style>
  <w:style w:type="character" w:customStyle="1" w:styleId="af0">
    <w:name w:val="正文文本 字符"/>
    <w:basedOn w:val="a2"/>
    <w:link w:val="af"/>
    <w:uiPriority w:val="99"/>
    <w:rsid w:val="00AA1D8D"/>
    <w:rPr>
      <w:rFonts w:ascii="Times New Roman" w:eastAsia="Times New Roman" w:hAnsi="Times New Roman"/>
      <w:sz w:val="20"/>
    </w:rPr>
  </w:style>
  <w:style w:type="paragraph" w:styleId="23">
    <w:name w:val="Body Text 2"/>
    <w:basedOn w:val="a1"/>
    <w:link w:val="24"/>
    <w:uiPriority w:val="99"/>
    <w:unhideWhenUsed/>
    <w:rsid w:val="00AA1D8D"/>
    <w:pPr>
      <w:spacing w:after="120" w:line="480" w:lineRule="auto"/>
    </w:pPr>
  </w:style>
  <w:style w:type="character" w:customStyle="1" w:styleId="24">
    <w:name w:val="正文文本 2 字符"/>
    <w:basedOn w:val="a2"/>
    <w:link w:val="23"/>
    <w:uiPriority w:val="99"/>
    <w:rsid w:val="00AA1D8D"/>
    <w:rPr>
      <w:rFonts w:ascii="Times New Roman" w:eastAsia="Times New Roman" w:hAnsi="Times New Roman"/>
      <w:sz w:val="20"/>
    </w:rPr>
  </w:style>
  <w:style w:type="paragraph" w:styleId="33">
    <w:name w:val="Body Text 3"/>
    <w:basedOn w:val="a1"/>
    <w:link w:val="34"/>
    <w:uiPriority w:val="99"/>
    <w:unhideWhenUsed/>
    <w:rsid w:val="00AA1D8D"/>
    <w:pPr>
      <w:spacing w:after="120"/>
    </w:pPr>
    <w:rPr>
      <w:szCs w:val="16"/>
    </w:rPr>
  </w:style>
  <w:style w:type="character" w:customStyle="1" w:styleId="34">
    <w:name w:val="正文文本 3 字符"/>
    <w:basedOn w:val="a2"/>
    <w:link w:val="33"/>
    <w:uiPriority w:val="99"/>
    <w:rsid w:val="00AA1D8D"/>
    <w:rPr>
      <w:rFonts w:ascii="Times New Roman" w:eastAsia="Times New Roman" w:hAnsi="Times New Roman"/>
      <w:sz w:val="20"/>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Times New Roman" w:eastAsia="Times New Roman" w:hAnsi="Times New Roman"/>
      <w:sz w:val="20"/>
      <w:szCs w:val="20"/>
    </w:rPr>
  </w:style>
  <w:style w:type="character" w:customStyle="1" w:styleId="af4">
    <w:name w:val="宏文本 字符"/>
    <w:basedOn w:val="a2"/>
    <w:link w:val="af3"/>
    <w:uiPriority w:val="99"/>
    <w:rsid w:val="0029639D"/>
    <w:rPr>
      <w:rFonts w:ascii="Times New Roman" w:eastAsia="Times New Roman" w:hAnsi="Times New Roman"/>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 字符"/>
    <w:basedOn w:val="a2"/>
    <w:link w:val="af5"/>
    <w:uiPriority w:val="29"/>
    <w:rsid w:val="00FC693F"/>
    <w:rPr>
      <w:rFonts w:ascii="Times New Roman" w:eastAsia="Times New Roman" w:hAnsi="Times New Roman"/>
      <w:i/>
      <w:iCs/>
      <w:color w:val="000000" w:themeColor="text1"/>
      <w:sz w:val="20"/>
    </w:rPr>
  </w:style>
  <w:style w:type="character" w:customStyle="1" w:styleId="40">
    <w:name w:val="标题 4 字符"/>
    <w:basedOn w:val="a2"/>
    <w:link w:val="4"/>
    <w:uiPriority w:val="9"/>
    <w:semiHidden/>
    <w:rsid w:val="00FC693F"/>
    <w:rPr>
      <w:rFonts w:asciiTheme="majorHAnsi" w:eastAsiaTheme="majorEastAsia" w:hAnsiTheme="majorHAnsi" w:cstheme="majorBidi"/>
      <w:b/>
      <w:bCs/>
      <w:i/>
      <w:iCs/>
      <w:color w:val="4F81BD" w:themeColor="accent1"/>
      <w:sz w:val="20"/>
    </w:rPr>
  </w:style>
  <w:style w:type="character" w:customStyle="1" w:styleId="50">
    <w:name w:val="标题 5 字符"/>
    <w:basedOn w:val="a2"/>
    <w:link w:val="5"/>
    <w:uiPriority w:val="9"/>
    <w:semiHidden/>
    <w:rsid w:val="00FC693F"/>
    <w:rPr>
      <w:rFonts w:asciiTheme="majorHAnsi" w:eastAsiaTheme="majorEastAsia" w:hAnsiTheme="majorHAnsi" w:cstheme="majorBidi"/>
      <w:color w:val="243F60" w:themeColor="accent1" w:themeShade="7F"/>
      <w:sz w:val="20"/>
    </w:rPr>
  </w:style>
  <w:style w:type="character" w:customStyle="1" w:styleId="60">
    <w:name w:val="标题 6 字符"/>
    <w:basedOn w:val="a2"/>
    <w:link w:val="6"/>
    <w:uiPriority w:val="9"/>
    <w:semiHidden/>
    <w:rsid w:val="00FC693F"/>
    <w:rPr>
      <w:rFonts w:asciiTheme="majorHAnsi" w:eastAsiaTheme="majorEastAsia" w:hAnsiTheme="majorHAnsi" w:cstheme="majorBidi"/>
      <w:i/>
      <w:iCs/>
      <w:color w:val="243F60" w:themeColor="accent1" w:themeShade="7F"/>
      <w:sz w:val="20"/>
    </w:rPr>
  </w:style>
  <w:style w:type="character" w:customStyle="1" w:styleId="70">
    <w:name w:val="标题 7 字符"/>
    <w:basedOn w:val="a2"/>
    <w:link w:val="7"/>
    <w:uiPriority w:val="9"/>
    <w:semiHidden/>
    <w:rsid w:val="00FC693F"/>
    <w:rPr>
      <w:rFonts w:asciiTheme="majorHAnsi" w:eastAsiaTheme="majorEastAsia" w:hAnsiTheme="majorHAnsi" w:cstheme="majorBidi"/>
      <w:i/>
      <w:iCs/>
      <w:color w:val="404040" w:themeColor="text1" w:themeTint="BF"/>
      <w:sz w:val="20"/>
    </w:rPr>
  </w:style>
  <w:style w:type="character" w:customStyle="1" w:styleId="80">
    <w:name w:val="标题 8 字符"/>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标题 9 字符"/>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Cs w:val="18"/>
    </w:rPr>
  </w:style>
  <w:style w:type="character" w:styleId="af8">
    <w:name w:val="Strong"/>
    <w:basedOn w:val="a2"/>
    <w:uiPriority w:val="22"/>
    <w:qFormat/>
    <w:rsid w:val="00FC693F"/>
    <w:rPr>
      <w:rFonts w:ascii="Times New Roman" w:eastAsia="Times New Roman" w:hAnsi="Times New Roman"/>
      <w:b/>
      <w:bCs/>
      <w:sz w:val="20"/>
    </w:rPr>
  </w:style>
  <w:style w:type="character" w:styleId="af9">
    <w:name w:val="Emphasis"/>
    <w:basedOn w:val="a2"/>
    <w:uiPriority w:val="20"/>
    <w:qFormat/>
    <w:rsid w:val="00FC693F"/>
    <w:rPr>
      <w:rFonts w:ascii="Times New Roman" w:eastAsia="Times New Roman" w:hAnsi="Times New Roman"/>
      <w:i/>
      <w:iCs/>
      <w:sz w:val="20"/>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明显引用 字符"/>
    <w:basedOn w:val="a2"/>
    <w:link w:val="afa"/>
    <w:uiPriority w:val="30"/>
    <w:rsid w:val="00FC693F"/>
    <w:rPr>
      <w:rFonts w:ascii="Times New Roman" w:eastAsia="Times New Roman" w:hAnsi="Times New Roman"/>
      <w:b/>
      <w:bCs/>
      <w:i/>
      <w:iCs/>
      <w:color w:val="4F81BD" w:themeColor="accent1"/>
      <w:sz w:val="20"/>
    </w:rPr>
  </w:style>
  <w:style w:type="character" w:styleId="afc">
    <w:name w:val="Subtle Emphasis"/>
    <w:basedOn w:val="a2"/>
    <w:uiPriority w:val="19"/>
    <w:qFormat/>
    <w:rsid w:val="00FC693F"/>
    <w:rPr>
      <w:rFonts w:ascii="Times New Roman" w:eastAsia="Times New Roman" w:hAnsi="Times New Roman"/>
      <w:i/>
      <w:iCs/>
      <w:color w:val="808080" w:themeColor="text1" w:themeTint="7F"/>
      <w:sz w:val="20"/>
    </w:rPr>
  </w:style>
  <w:style w:type="character" w:styleId="afd">
    <w:name w:val="Intense Emphasis"/>
    <w:basedOn w:val="a2"/>
    <w:uiPriority w:val="21"/>
    <w:qFormat/>
    <w:rsid w:val="00FC693F"/>
    <w:rPr>
      <w:rFonts w:ascii="Times New Roman" w:eastAsia="Times New Roman" w:hAnsi="Times New Roman"/>
      <w:b/>
      <w:bCs/>
      <w:i/>
      <w:iCs/>
      <w:color w:val="4F81BD" w:themeColor="accent1"/>
      <w:sz w:val="20"/>
    </w:rPr>
  </w:style>
  <w:style w:type="character" w:styleId="afe">
    <w:name w:val="Subtle Reference"/>
    <w:basedOn w:val="a2"/>
    <w:uiPriority w:val="31"/>
    <w:qFormat/>
    <w:rsid w:val="00FC693F"/>
    <w:rPr>
      <w:rFonts w:ascii="Times New Roman" w:eastAsia="Times New Roman" w:hAnsi="Times New Roman"/>
      <w:smallCaps/>
      <w:color w:val="C0504D" w:themeColor="accent2"/>
      <w:sz w:val="20"/>
      <w:u w:val="single"/>
    </w:rPr>
  </w:style>
  <w:style w:type="character" w:styleId="aff">
    <w:name w:val="Intense Reference"/>
    <w:basedOn w:val="a2"/>
    <w:uiPriority w:val="32"/>
    <w:qFormat/>
    <w:rsid w:val="00FC693F"/>
    <w:rPr>
      <w:rFonts w:ascii="Times New Roman" w:eastAsia="Times New Roman" w:hAnsi="Times New Roman"/>
      <w:b/>
      <w:bCs/>
      <w:smallCaps/>
      <w:color w:val="C0504D" w:themeColor="accent2"/>
      <w:spacing w:val="5"/>
      <w:sz w:val="20"/>
      <w:u w:val="single"/>
    </w:rPr>
  </w:style>
  <w:style w:type="character" w:styleId="aff0">
    <w:name w:val="Book Title"/>
    <w:basedOn w:val="a2"/>
    <w:uiPriority w:val="33"/>
    <w:qFormat/>
    <w:rsid w:val="00FC693F"/>
    <w:rPr>
      <w:rFonts w:ascii="Times New Roman" w:eastAsia="Times New Roman" w:hAnsi="Times New Roman"/>
      <w:b/>
      <w:bCs/>
      <w:smallCaps/>
      <w:spacing w:val="5"/>
      <w:sz w:val="20"/>
    </w:rPr>
  </w:style>
  <w:style w:type="paragraph" w:styleId="TOC">
    <w:name w:val="TOC Heading"/>
    <w:basedOn w:val="1"/>
    <w:next w:val="a1"/>
    <w:uiPriority w:val="39"/>
    <w:semiHidden/>
    <w:unhideWhenUsed/>
    <w:qFormat/>
    <w:rsid w:val="00FC693F"/>
    <w:pPr>
      <w:outlineLvl w:val="9"/>
    </w:pPr>
    <w:rPr>
      <w:rFonts w:ascii="Times New Roman" w:eastAsia="Times New Roman" w:hAnsi="Times New Roman"/>
    </w:rPr>
  </w:style>
  <w:style w:type="table" w:styleId="aff1">
    <w:name w:val="Table Grid"/>
    <w:basedOn w:val="a3"/>
    <w:uiPriority w:val="59"/>
    <w:rsid w:val="00FC693F"/>
    <w:pPr>
      <w:spacing w:after="0" w:line="240" w:lineRule="auto"/>
    </w:pPr>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Light Shading"/>
    <w:basedOn w:val="a3"/>
    <w:uiPriority w:val="60"/>
    <w:rsid w:val="00FC693F"/>
    <w:pPr>
      <w:spacing w:after="0" w:line="240" w:lineRule="auto"/>
    </w:pPr>
    <w:rPr>
      <w:rFonts w:ascii="Times New Roman" w:eastAsia="Times New Roman" w:hAnsi="Times New Roman"/>
      <w:color w:val="000000" w:themeColor="text1" w:themeShade="BF"/>
      <w:sz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rFonts w:ascii="Times New Roman" w:eastAsia="Times New Roman" w:hAnsi="Times New Roman"/>
      <w:color w:val="365F91" w:themeColor="accent1" w:themeShade="BF"/>
      <w:sz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rFonts w:ascii="Times New Roman" w:eastAsia="Times New Roman" w:hAnsi="Times New Roman"/>
      <w:color w:val="943634" w:themeColor="accent2" w:themeShade="BF"/>
      <w:sz w:val="2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rFonts w:ascii="Times New Roman" w:eastAsia="Times New Roman" w:hAnsi="Times New Roman"/>
      <w:color w:val="76923C" w:themeColor="accent3" w:themeShade="BF"/>
      <w:sz w:val="20"/>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rFonts w:ascii="Times New Roman" w:eastAsia="Times New Roman" w:hAnsi="Times New Roman"/>
      <w:color w:val="5F497A" w:themeColor="accent4" w:themeShade="BF"/>
      <w:sz w:val="20"/>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rFonts w:ascii="Times New Roman" w:eastAsia="Times New Roman" w:hAnsi="Times New Roman"/>
      <w:color w:val="31849B" w:themeColor="accent5" w:themeShade="BF"/>
      <w:sz w:val="20"/>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rFonts w:ascii="Times New Roman" w:eastAsia="Times New Roman" w:hAnsi="Times New Roman"/>
      <w:color w:val="E36C0A" w:themeColor="accent6" w:themeShade="BF"/>
      <w:sz w:val="2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3"/>
    <w:uiPriority w:val="61"/>
    <w:rsid w:val="00FC693F"/>
    <w:pPr>
      <w:spacing w:after="0" w:line="240" w:lineRule="auto"/>
    </w:pPr>
    <w:rPr>
      <w:rFonts w:ascii="Times New Roman" w:eastAsia="Times New Roman" w:hAnsi="Times New Roman"/>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rPr>
      <w:rFonts w:ascii="Times New Roman" w:eastAsia="Times New Roman" w:hAnsi="Times New Roman"/>
      <w:sz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rPr>
      <w:rFonts w:ascii="Times New Roman" w:eastAsia="Times New Roman" w:hAnsi="Times New Roman"/>
      <w:sz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rPr>
      <w:rFonts w:ascii="Times New Roman" w:eastAsia="Times New Roman" w:hAnsi="Times New Roman"/>
      <w:sz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rPr>
      <w:rFonts w:ascii="Times New Roman" w:eastAsia="Times New Roman" w:hAnsi="Times New Roman"/>
      <w:sz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rPr>
      <w:rFonts w:ascii="Times New Roman" w:eastAsia="Times New Roman" w:hAnsi="Times New Roman"/>
      <w:sz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rPr>
      <w:rFonts w:ascii="Times New Roman" w:eastAsia="Times New Roman" w:hAnsi="Times New Roman"/>
      <w:sz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3"/>
    <w:uiPriority w:val="62"/>
    <w:rsid w:val="00CB0664"/>
    <w:pPr>
      <w:spacing w:after="0" w:line="240" w:lineRule="auto"/>
    </w:pPr>
    <w:rPr>
      <w:rFonts w:ascii="Times New Roman" w:eastAsia="Times New Roman" w:hAnsi="Times New Roman"/>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rPr>
      <w:rFonts w:ascii="Times New Roman" w:eastAsia="Times New Roman" w:hAnsi="Times New Roman"/>
      <w:sz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rPr>
      <w:rFonts w:ascii="Times New Roman" w:eastAsia="Times New Roman" w:hAnsi="Times New Roman"/>
      <w:sz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rPr>
      <w:rFonts w:ascii="Times New Roman" w:eastAsia="Times New Roman" w:hAnsi="Times New Roman"/>
      <w:sz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rPr>
      <w:rFonts w:ascii="Times New Roman" w:eastAsia="Times New Roman" w:hAnsi="Times New Roman"/>
      <w:sz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rPr>
      <w:rFonts w:ascii="Times New Roman" w:eastAsia="Times New Roman" w:hAnsi="Times New Roman"/>
      <w:sz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rPr>
      <w:rFonts w:ascii="Times New Roman" w:eastAsia="Times New Roman" w:hAnsi="Times New Roman"/>
      <w:sz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rPr>
      <w:rFonts w:ascii="Times New Roman" w:eastAsia="Times New Roman" w:hAnsi="Times New Roman"/>
      <w:sz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rPr>
      <w:rFonts w:ascii="Times New Roman" w:eastAsia="Times New Roman" w:hAnsi="Times New Roman"/>
      <w:sz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rPr>
      <w:rFonts w:ascii="Times New Roman" w:eastAsia="Times New Roman" w:hAnsi="Times New Roman"/>
      <w:sz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rPr>
      <w:rFonts w:ascii="Times New Roman" w:eastAsia="Times New Roman" w:hAnsi="Times New Roman"/>
      <w:sz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rPr>
      <w:rFonts w:ascii="Times New Roman" w:eastAsia="Times New Roman" w:hAnsi="Times New Roman"/>
      <w:sz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rPr>
      <w:rFonts w:ascii="Times New Roman" w:eastAsia="Times New Roman" w:hAnsi="Times New Roman"/>
      <w:sz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rPr>
      <w:rFonts w:ascii="Times New Roman" w:eastAsia="Times New Roman" w:hAnsi="Times New Roman"/>
      <w:sz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rPr>
      <w:rFonts w:ascii="Times New Roman" w:eastAsia="Times New Roman" w:hAnsi="Times New Roman"/>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rPr>
      <w:rFonts w:ascii="Times New Roman" w:eastAsia="Times New Roman" w:hAnsi="Times New Roman"/>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rPr>
      <w:rFonts w:ascii="Times New Roman" w:eastAsia="Times New Roman" w:hAnsi="Times New Roman"/>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rPr>
      <w:rFonts w:ascii="Times New Roman" w:eastAsia="Times New Roman" w:hAnsi="Times New Roman"/>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rPr>
      <w:rFonts w:ascii="Times New Roman" w:eastAsia="Times New Roman" w:hAnsi="Times New Roman"/>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rPr>
      <w:rFonts w:ascii="Times New Roman" w:eastAsia="Times New Roman" w:hAnsi="Times New Roman"/>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rPr>
      <w:rFonts w:ascii="Times New Roman" w:eastAsia="Times New Roman" w:hAnsi="Times New Roman"/>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rPr>
      <w:rFonts w:ascii="Times New Roman" w:eastAsia="Times New Roman" w:hAnsi="Times New Roman"/>
      <w:sz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rPr>
      <w:rFonts w:ascii="Times New Roman" w:eastAsia="Times New Roman" w:hAnsi="Times New Roman"/>
      <w:sz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rPr>
      <w:rFonts w:ascii="Times New Roman" w:eastAsia="Times New Roman" w:hAnsi="Times New Roman"/>
      <w:sz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rPr>
      <w:rFonts w:ascii="Times New Roman" w:eastAsia="Times New Roman" w:hAnsi="Times New Roman"/>
      <w:sz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rPr>
      <w:rFonts w:ascii="Times New Roman" w:eastAsia="Times New Roman" w:hAnsi="Times New Roman"/>
      <w:sz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rPr>
      <w:rFonts w:ascii="Times New Roman" w:eastAsia="Times New Roman" w:hAnsi="Times New Roman"/>
      <w:sz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rPr>
      <w:rFonts w:ascii="Times New Roman" w:eastAsia="Times New Roman" w:hAnsi="Times New Roman"/>
      <w:sz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rPr>
      <w:rFonts w:ascii="Times New Roman" w:eastAsia="Times New Roman" w:hAnsi="Times New Roman"/>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rPr>
      <w:rFonts w:ascii="Times New Roman" w:eastAsia="Times New Roman" w:hAnsi="Times New Roman"/>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rPr>
      <w:rFonts w:ascii="Times New Roman" w:eastAsia="Times New Roman" w:hAnsi="Times New Roman"/>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rPr>
      <w:rFonts w:ascii="Times New Roman" w:eastAsia="Times New Roman" w:hAnsi="Times New Roman"/>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rPr>
      <w:rFonts w:ascii="Times New Roman" w:eastAsia="Times New Roman" w:hAnsi="Times New Roman"/>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rPr>
      <w:rFonts w:ascii="Times New Roman" w:eastAsia="Times New Roman" w:hAnsi="Times New Roman"/>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rPr>
      <w:rFonts w:ascii="Times New Roman" w:eastAsia="Times New Roman" w:hAnsi="Times New Roman"/>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3"/>
    <w:uiPriority w:val="70"/>
    <w:rsid w:val="00CB0664"/>
    <w:pPr>
      <w:spacing w:after="0" w:line="240" w:lineRule="auto"/>
    </w:pPr>
    <w:rPr>
      <w:rFonts w:ascii="Times New Roman" w:eastAsia="Times New Roman" w:hAnsi="Times New Roman"/>
      <w:color w:val="FFFFFF" w:themeColor="background1"/>
      <w:sz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rFonts w:ascii="Times New Roman" w:eastAsia="Times New Roman" w:hAnsi="Times New Roman"/>
      <w:color w:val="FFFFFF" w:themeColor="background1"/>
      <w:sz w:val="20"/>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rFonts w:ascii="Times New Roman" w:eastAsia="Times New Roman" w:hAnsi="Times New Roman"/>
      <w:color w:val="FFFFFF" w:themeColor="background1"/>
      <w:sz w:val="20"/>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rFonts w:ascii="Times New Roman" w:eastAsia="Times New Roman" w:hAnsi="Times New Roman"/>
      <w:color w:val="FFFFFF" w:themeColor="background1"/>
      <w:sz w:val="20"/>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rFonts w:ascii="Times New Roman" w:eastAsia="Times New Roman" w:hAnsi="Times New Roman"/>
      <w:color w:val="FFFFFF" w:themeColor="background1"/>
      <w:sz w:val="20"/>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rFonts w:ascii="Times New Roman" w:eastAsia="Times New Roman" w:hAnsi="Times New Roman"/>
      <w:color w:val="FFFFFF" w:themeColor="background1"/>
      <w:sz w:val="20"/>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rFonts w:ascii="Times New Roman" w:eastAsia="Times New Roman" w:hAnsi="Times New Roman"/>
      <w:color w:val="FFFFFF" w:themeColor="background1"/>
      <w:sz w:val="20"/>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3"/>
    <w:uiPriority w:val="71"/>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rFonts w:ascii="Times New Roman" w:eastAsia="Times New Roman" w:hAnsi="Times New Roman"/>
      <w:color w:val="000000" w:themeColor="text1"/>
      <w:sz w:val="20"/>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3"/>
    <w:uiPriority w:val="72"/>
    <w:rsid w:val="00CB0664"/>
    <w:pPr>
      <w:spacing w:after="0" w:line="240" w:lineRule="auto"/>
    </w:pPr>
    <w:rPr>
      <w:rFonts w:ascii="Times New Roman" w:eastAsia="Times New Roman" w:hAnsi="Times New Roman"/>
      <w:color w:val="000000" w:themeColor="text1"/>
      <w:sz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rFonts w:ascii="Times New Roman" w:eastAsia="Times New Roman" w:hAnsi="Times New Roman"/>
      <w:color w:val="000000" w:themeColor="text1"/>
      <w:sz w:val="20"/>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rFonts w:ascii="Times New Roman" w:eastAsia="Times New Roman" w:hAnsi="Times New Roman"/>
      <w:color w:val="000000" w:themeColor="text1"/>
      <w:sz w:val="20"/>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rFonts w:ascii="Times New Roman" w:eastAsia="Times New Roman" w:hAnsi="Times New Roman"/>
      <w:color w:val="000000" w:themeColor="text1"/>
      <w:sz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rFonts w:ascii="Times New Roman" w:eastAsia="Times New Roman" w:hAnsi="Times New Roman"/>
      <w:color w:val="000000" w:themeColor="text1"/>
      <w:sz w:val="20"/>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rFonts w:ascii="Times New Roman" w:eastAsia="Times New Roman" w:hAnsi="Times New Roman"/>
      <w:color w:val="000000" w:themeColor="text1"/>
      <w:sz w:val="20"/>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rFonts w:ascii="Times New Roman" w:eastAsia="Times New Roman" w:hAnsi="Times New Roman"/>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3"/>
    <w:uiPriority w:val="73"/>
    <w:rsid w:val="00CB0664"/>
    <w:pPr>
      <w:spacing w:after="0" w:line="240" w:lineRule="auto"/>
    </w:pPr>
    <w:rPr>
      <w:rFonts w:ascii="Times New Roman" w:eastAsia="Times New Roman" w:hAnsi="Times New Roman"/>
      <w:color w:val="000000" w:themeColor="text1"/>
      <w:sz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rFonts w:ascii="Times New Roman" w:eastAsia="Times New Roman" w:hAnsi="Times New Roman"/>
      <w:color w:val="000000" w:themeColor="text1"/>
      <w:sz w:val="20"/>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rFonts w:ascii="Times New Roman" w:eastAsia="Times New Roman" w:hAnsi="Times New Roman"/>
      <w:color w:val="000000" w:themeColor="text1"/>
      <w:sz w:val="20"/>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rFonts w:ascii="Times New Roman" w:eastAsia="Times New Roman" w:hAnsi="Times New Roman"/>
      <w:color w:val="000000" w:themeColor="text1"/>
      <w:sz w:val="20"/>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rFonts w:ascii="Times New Roman" w:eastAsia="Times New Roman" w:hAnsi="Times New Roman"/>
      <w:color w:val="000000" w:themeColor="text1"/>
      <w:sz w:val="20"/>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rFonts w:ascii="Times New Roman" w:eastAsia="Times New Roman" w:hAnsi="Times New Roman"/>
      <w:color w:val="000000" w:themeColor="text1"/>
      <w:sz w:val="20"/>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rFonts w:ascii="Times New Roman" w:eastAsia="Times New Roman" w:hAnsi="Times New Roman"/>
      <w:color w:val="000000" w:themeColor="text1"/>
      <w:sz w:val="20"/>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9">
    <w:name w:val="line number"/>
    <w:basedOn w:val="a2"/>
    <w:uiPriority w:val="99"/>
    <w:semiHidden/>
    <w:unhideWhenUsed/>
    <w:rsid w:val="00223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1690</Words>
  <Characters>9638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WWWW Zhang</cp:lastModifiedBy>
  <cp:revision>2</cp:revision>
  <dcterms:created xsi:type="dcterms:W3CDTF">2013-12-23T23:15:00Z</dcterms:created>
  <dcterms:modified xsi:type="dcterms:W3CDTF">2026-05-31T13:59:00Z</dcterms:modified>
  <cp:category/>
</cp:coreProperties>
</file>