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7517" w14:textId="77777777" w:rsidR="00241E68" w:rsidRDefault="00000000">
      <w:pPr>
        <w:spacing w:after="240"/>
        <w:jc w:val="center"/>
      </w:pPr>
      <w:r>
        <w:rPr>
          <w:b/>
          <w:bCs/>
          <w:sz w:val="32"/>
          <w:szCs w:val="32"/>
        </w:rPr>
        <w:t>SUPPLEMENTARY MATERIAL</w:t>
      </w:r>
    </w:p>
    <w:p w14:paraId="6CA0B3CB" w14:textId="77777777" w:rsidR="00241E68" w:rsidRDefault="00000000">
      <w:pPr>
        <w:spacing w:after="360"/>
        <w:jc w:val="center"/>
      </w:pPr>
      <w:r>
        <w:rPr>
          <w:i/>
          <w:iCs/>
        </w:rPr>
        <w:t>Primary-Data Carbon and Water Footprint Inventory of the Bangladesh RMG Sector under the EU CBAM</w:t>
      </w:r>
    </w:p>
    <w:p w14:paraId="6C1E54AD" w14:textId="77777777" w:rsidR="00241E68" w:rsidRDefault="00000000">
      <w:pPr>
        <w:spacing w:after="140" w:line="360" w:lineRule="auto"/>
        <w:jc w:val="both"/>
      </w:pPr>
      <w:r>
        <w:rPr>
          <w:sz w:val="22"/>
          <w:szCs w:val="22"/>
        </w:rPr>
        <w:t xml:space="preserve">This Supplementary Material provides the facility-sample profile, the emission-factor and </w:t>
      </w:r>
      <w:proofErr w:type="spellStart"/>
      <w:r>
        <w:rPr>
          <w:sz w:val="22"/>
          <w:szCs w:val="22"/>
        </w:rPr>
        <w:t>characterisation</w:t>
      </w:r>
      <w:proofErr w:type="spellEnd"/>
      <w:r>
        <w:rPr>
          <w:sz w:val="22"/>
          <w:szCs w:val="22"/>
        </w:rPr>
        <w:t>-factor set, the CBAM exposure-model parameters, additional figures, and the reproducibility statement referenced in the main manuscript.</w:t>
      </w:r>
    </w:p>
    <w:p w14:paraId="62A35A45" w14:textId="77777777" w:rsidR="00241E68" w:rsidRDefault="00000000">
      <w:pPr>
        <w:pStyle w:val="Heading1"/>
      </w:pPr>
      <w:r>
        <w:t>S1. Facility-sample profile</w:t>
      </w:r>
    </w:p>
    <w:p w14:paraId="2FCAF8C9" w14:textId="77777777" w:rsidR="00241E68" w:rsidRDefault="00000000">
      <w:pPr>
        <w:spacing w:after="140" w:line="360" w:lineRule="auto"/>
        <w:jc w:val="both"/>
      </w:pPr>
      <w:r>
        <w:rPr>
          <w:sz w:val="22"/>
          <w:szCs w:val="22"/>
        </w:rPr>
        <w:t xml:space="preserve">Table S1 </w:t>
      </w:r>
      <w:proofErr w:type="spellStart"/>
      <w:r>
        <w:rPr>
          <w:sz w:val="22"/>
          <w:szCs w:val="22"/>
        </w:rPr>
        <w:t>summarises</w:t>
      </w:r>
      <w:proofErr w:type="spellEnd"/>
      <w:r>
        <w:rPr>
          <w:sz w:val="22"/>
          <w:szCs w:val="22"/>
        </w:rPr>
        <w:t xml:space="preserve"> the composition of the thirty-two-facility primary-data sample by product line, facility scale and process configuration. The sample was selected to span the principal product lines and a range of facility scales; it is representative rather than a statistically random draw from the sector population.</w:t>
      </w:r>
    </w:p>
    <w:p w14:paraId="18B70A31" w14:textId="77777777" w:rsidR="00241E68" w:rsidRDefault="00000000">
      <w:pPr>
        <w:spacing w:before="120" w:after="60"/>
      </w:pPr>
      <w:r>
        <w:rPr>
          <w:b/>
          <w:bCs/>
          <w:sz w:val="22"/>
          <w:szCs w:val="22"/>
        </w:rPr>
        <w:t>Table S1. Facility-sample composition.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2000"/>
        <w:gridCol w:w="2000"/>
        <w:gridCol w:w="2000"/>
      </w:tblGrid>
      <w:tr w:rsidR="00241E68" w14:paraId="5535BDDF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0EC51B" w14:textId="77777777" w:rsidR="00241E68" w:rsidRDefault="00000000">
            <w:r>
              <w:rPr>
                <w:b/>
                <w:bCs/>
                <w:sz w:val="20"/>
                <w:szCs w:val="20"/>
              </w:rPr>
              <w:t>Product line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AC6556" w14:textId="77777777" w:rsidR="00241E68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Facilities (n)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B88DD9" w14:textId="77777777" w:rsidR="00241E68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Vertically integrated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26B68A" w14:textId="77777777" w:rsidR="00241E68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With onsite ETP</w:t>
            </w:r>
          </w:p>
        </w:tc>
      </w:tr>
      <w:tr w:rsidR="00241E68" w14:paraId="6597B79F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C209E1" w14:textId="77777777" w:rsidR="00241E68" w:rsidRDefault="00000000">
            <w:r>
              <w:rPr>
                <w:sz w:val="20"/>
                <w:szCs w:val="20"/>
              </w:rPr>
              <w:t>Knit (T-shirts, polos)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01A57F" w14:textId="77777777" w:rsidR="00241E68" w:rsidRDefault="00000000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36F224" w14:textId="77777777" w:rsidR="00241E68" w:rsidRDefault="00000000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F45CC5" w14:textId="77777777" w:rsidR="00241E68" w:rsidRDefault="00000000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 w:rsidR="00241E68" w14:paraId="637EA4FC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6C4899" w14:textId="77777777" w:rsidR="00241E68" w:rsidRDefault="00000000">
            <w:r>
              <w:rPr>
                <w:sz w:val="20"/>
                <w:szCs w:val="20"/>
              </w:rPr>
              <w:t>Woven (trousers, shirts)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29D665" w14:textId="77777777" w:rsidR="00241E68" w:rsidRDefault="00000000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12BF1B" w14:textId="77777777" w:rsidR="00241E68" w:rsidRDefault="00000000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3A1D31" w14:textId="77777777" w:rsidR="00241E68" w:rsidRDefault="00000000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241E68" w14:paraId="4EC886BE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8C3CA1" w14:textId="77777777" w:rsidR="00241E68" w:rsidRDefault="00000000">
            <w:r>
              <w:rPr>
                <w:sz w:val="20"/>
                <w:szCs w:val="20"/>
              </w:rPr>
              <w:t>Denim (jeans)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FEA13C" w14:textId="77777777" w:rsidR="00241E68" w:rsidRDefault="0000000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7C7635" w14:textId="77777777" w:rsidR="00241E68" w:rsidRDefault="0000000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CF8906" w14:textId="77777777" w:rsidR="00241E68" w:rsidRDefault="0000000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241E68" w14:paraId="3E47A95A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E5FF83" w14:textId="77777777" w:rsidR="00241E68" w:rsidRDefault="00000000">
            <w:r>
              <w:rPr>
                <w:sz w:val="20"/>
                <w:szCs w:val="20"/>
              </w:rPr>
              <w:t>Total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883248" w14:textId="77777777" w:rsidR="00241E68" w:rsidRDefault="00000000">
            <w:pPr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FDF15D" w14:textId="77777777" w:rsidR="00241E68" w:rsidRDefault="00000000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214457" w14:textId="77777777" w:rsidR="00241E68" w:rsidRDefault="00000000">
            <w:pPr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</w:tr>
    </w:tbl>
    <w:p w14:paraId="5E38C32D" w14:textId="77777777" w:rsidR="00241E68" w:rsidRDefault="00000000">
      <w:pPr>
        <w:pStyle w:val="Heading1"/>
      </w:pPr>
      <w:r>
        <w:t xml:space="preserve">S2. Emission and </w:t>
      </w:r>
      <w:proofErr w:type="spellStart"/>
      <w:r>
        <w:t>characterisation</w:t>
      </w:r>
      <w:proofErr w:type="spellEnd"/>
      <w:r>
        <w:t xml:space="preserve"> factors</w:t>
      </w:r>
    </w:p>
    <w:p w14:paraId="42A47B40" w14:textId="77777777" w:rsidR="00241E68" w:rsidRDefault="00000000">
      <w:pPr>
        <w:spacing w:after="140" w:line="360" w:lineRule="auto"/>
        <w:jc w:val="both"/>
      </w:pPr>
      <w:r>
        <w:rPr>
          <w:sz w:val="22"/>
          <w:szCs w:val="22"/>
        </w:rPr>
        <w:t xml:space="preserve">Table S2 lists the principal emission factors and </w:t>
      </w:r>
      <w:proofErr w:type="spellStart"/>
      <w:r>
        <w:rPr>
          <w:sz w:val="22"/>
          <w:szCs w:val="22"/>
        </w:rPr>
        <w:t>characterisation</w:t>
      </w:r>
      <w:proofErr w:type="spellEnd"/>
      <w:r>
        <w:rPr>
          <w:sz w:val="22"/>
          <w:szCs w:val="22"/>
        </w:rPr>
        <w:t xml:space="preserve"> factors used in the inventory, with their sources. Global warming potentials are applied on the IPCC AR6 100-year basis.</w:t>
      </w:r>
    </w:p>
    <w:p w14:paraId="3B19214A" w14:textId="77777777" w:rsidR="00241E68" w:rsidRDefault="00000000">
      <w:pPr>
        <w:spacing w:before="120" w:after="60"/>
      </w:pPr>
      <w:r>
        <w:rPr>
          <w:b/>
          <w:bCs/>
          <w:sz w:val="22"/>
          <w:szCs w:val="22"/>
        </w:rPr>
        <w:t xml:space="preserve">Table S2. Principal emission and </w:t>
      </w:r>
      <w:proofErr w:type="spellStart"/>
      <w:r>
        <w:rPr>
          <w:b/>
          <w:bCs/>
          <w:sz w:val="22"/>
          <w:szCs w:val="22"/>
        </w:rPr>
        <w:t>characterisation</w:t>
      </w:r>
      <w:proofErr w:type="spellEnd"/>
      <w:r>
        <w:rPr>
          <w:b/>
          <w:bCs/>
          <w:sz w:val="22"/>
          <w:szCs w:val="22"/>
        </w:rPr>
        <w:t xml:space="preserve"> factors.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2400"/>
        <w:gridCol w:w="3360"/>
      </w:tblGrid>
      <w:tr w:rsidR="00241E68" w14:paraId="1C2E386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1EE1F5" w14:textId="77777777" w:rsidR="00241E68" w:rsidRDefault="00000000">
            <w:r>
              <w:rPr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CF5830" w14:textId="77777777" w:rsidR="00241E68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76D74B" w14:textId="77777777" w:rsidR="00241E68" w:rsidRDefault="00000000">
            <w:r>
              <w:rPr>
                <w:b/>
                <w:bCs/>
                <w:sz w:val="20"/>
                <w:szCs w:val="20"/>
              </w:rPr>
              <w:t>Source</w:t>
            </w:r>
          </w:p>
        </w:tc>
      </w:tr>
      <w:tr w:rsidR="00241E68" w14:paraId="42B8B7A8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35BCCD" w14:textId="77777777" w:rsidR="00241E68" w:rsidRDefault="00000000">
            <w:r>
              <w:rPr>
                <w:sz w:val="20"/>
                <w:szCs w:val="20"/>
              </w:rPr>
              <w:t>Grid electricity (Bangladesh)</w:t>
            </w: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98DCF7" w14:textId="77777777" w:rsidR="00241E68" w:rsidRDefault="00000000">
            <w:pPr>
              <w:jc w:val="center"/>
            </w:pPr>
            <w:r>
              <w:rPr>
                <w:sz w:val="20"/>
                <w:szCs w:val="20"/>
              </w:rPr>
              <w:t>0.66 kg CO₂/kWh</w:t>
            </w:r>
          </w:p>
        </w:tc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61B710" w14:textId="77777777" w:rsidR="00241E68" w:rsidRDefault="00000000">
            <w:r>
              <w:rPr>
                <w:sz w:val="20"/>
                <w:szCs w:val="20"/>
              </w:rPr>
              <w:t>National grid mix, gas-dominated</w:t>
            </w:r>
          </w:p>
        </w:tc>
      </w:tr>
      <w:tr w:rsidR="00241E68" w14:paraId="337C3B47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6A6F83" w14:textId="77777777" w:rsidR="00241E68" w:rsidRDefault="00000000">
            <w:r>
              <w:rPr>
                <w:sz w:val="20"/>
                <w:szCs w:val="20"/>
              </w:rPr>
              <w:t>Natural gas combustion</w:t>
            </w: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44D95E" w14:textId="77777777" w:rsidR="00241E68" w:rsidRDefault="00000000">
            <w:pPr>
              <w:jc w:val="center"/>
            </w:pPr>
            <w:r>
              <w:rPr>
                <w:sz w:val="20"/>
                <w:szCs w:val="20"/>
              </w:rPr>
              <w:t>0.0561 kg CO₂/MJ</w:t>
            </w:r>
          </w:p>
        </w:tc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53D0C1" w14:textId="77777777" w:rsidR="00241E68" w:rsidRDefault="00000000">
            <w:r>
              <w:rPr>
                <w:sz w:val="20"/>
                <w:szCs w:val="20"/>
              </w:rPr>
              <w:t>IPCC 2006 Guidelines</w:t>
            </w:r>
          </w:p>
        </w:tc>
      </w:tr>
      <w:tr w:rsidR="00241E68" w14:paraId="1040278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FAF15A" w14:textId="77777777" w:rsidR="00241E68" w:rsidRDefault="00000000">
            <w:r>
              <w:rPr>
                <w:sz w:val="20"/>
                <w:szCs w:val="20"/>
              </w:rPr>
              <w:t>Diesel combustion</w:t>
            </w: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09EC61" w14:textId="77777777" w:rsidR="00241E68" w:rsidRDefault="00000000">
            <w:pPr>
              <w:jc w:val="center"/>
            </w:pPr>
            <w:r>
              <w:rPr>
                <w:sz w:val="20"/>
                <w:szCs w:val="20"/>
              </w:rPr>
              <w:t>0.0741 kg CO₂/MJ</w:t>
            </w:r>
          </w:p>
        </w:tc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BE012F" w14:textId="77777777" w:rsidR="00241E68" w:rsidRDefault="00000000">
            <w:r>
              <w:rPr>
                <w:sz w:val="20"/>
                <w:szCs w:val="20"/>
              </w:rPr>
              <w:t>IPCC 2006 Guidelines</w:t>
            </w:r>
          </w:p>
        </w:tc>
      </w:tr>
      <w:tr w:rsidR="00241E68" w14:paraId="446722D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39AD35" w14:textId="77777777" w:rsidR="00241E68" w:rsidRDefault="00000000">
            <w:r>
              <w:rPr>
                <w:sz w:val="20"/>
                <w:szCs w:val="20"/>
              </w:rPr>
              <w:t xml:space="preserve">Cotton </w:t>
            </w:r>
            <w:proofErr w:type="spellStart"/>
            <w:r>
              <w:rPr>
                <w:sz w:val="20"/>
                <w:szCs w:val="20"/>
              </w:rPr>
              <w:t>fibre</w:t>
            </w:r>
            <w:proofErr w:type="spellEnd"/>
            <w:r>
              <w:rPr>
                <w:sz w:val="20"/>
                <w:szCs w:val="20"/>
              </w:rPr>
              <w:t xml:space="preserve"> (cradle-to-gate)</w:t>
            </w: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B67617" w14:textId="77777777" w:rsidR="00241E68" w:rsidRDefault="00000000">
            <w:pPr>
              <w:jc w:val="center"/>
            </w:pPr>
            <w:r>
              <w:rPr>
                <w:sz w:val="20"/>
                <w:szCs w:val="20"/>
              </w:rPr>
              <w:t>≈5.9 kg CO₂-eq/kg</w:t>
            </w:r>
          </w:p>
        </w:tc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DD0DCD" w14:textId="77777777" w:rsidR="00241E68" w:rsidRDefault="00000000">
            <w:proofErr w:type="spellStart"/>
            <w:r>
              <w:rPr>
                <w:sz w:val="20"/>
                <w:szCs w:val="20"/>
              </w:rPr>
              <w:t>ecoinvent</w:t>
            </w:r>
            <w:proofErr w:type="spellEnd"/>
            <w:r>
              <w:rPr>
                <w:sz w:val="20"/>
                <w:szCs w:val="20"/>
              </w:rPr>
              <w:t xml:space="preserve"> 3.10</w:t>
            </w:r>
          </w:p>
        </w:tc>
      </w:tr>
      <w:tr w:rsidR="00241E68" w14:paraId="1EAFAFC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B0D392" w14:textId="77777777" w:rsidR="00241E68" w:rsidRDefault="00000000">
            <w:r>
              <w:rPr>
                <w:sz w:val="20"/>
                <w:szCs w:val="20"/>
              </w:rPr>
              <w:t xml:space="preserve">Polyester </w:t>
            </w:r>
            <w:proofErr w:type="spellStart"/>
            <w:r>
              <w:rPr>
                <w:sz w:val="20"/>
                <w:szCs w:val="20"/>
              </w:rPr>
              <w:t>fibre</w:t>
            </w:r>
            <w:proofErr w:type="spellEnd"/>
            <w:r>
              <w:rPr>
                <w:sz w:val="20"/>
                <w:szCs w:val="20"/>
              </w:rPr>
              <w:t xml:space="preserve"> (cradle-to-gate)</w:t>
            </w: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B161BA" w14:textId="77777777" w:rsidR="00241E68" w:rsidRDefault="00000000">
            <w:pPr>
              <w:jc w:val="center"/>
            </w:pPr>
            <w:r>
              <w:rPr>
                <w:sz w:val="20"/>
                <w:szCs w:val="20"/>
              </w:rPr>
              <w:t>≈3.8 kg CO₂-eq/kg</w:t>
            </w:r>
          </w:p>
        </w:tc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FF06AB" w14:textId="77777777" w:rsidR="00241E68" w:rsidRDefault="00000000">
            <w:proofErr w:type="spellStart"/>
            <w:r>
              <w:rPr>
                <w:sz w:val="20"/>
                <w:szCs w:val="20"/>
              </w:rPr>
              <w:t>ecoinvent</w:t>
            </w:r>
            <w:proofErr w:type="spellEnd"/>
            <w:r>
              <w:rPr>
                <w:sz w:val="20"/>
                <w:szCs w:val="20"/>
              </w:rPr>
              <w:t xml:space="preserve"> 3.10</w:t>
            </w:r>
          </w:p>
        </w:tc>
      </w:tr>
      <w:tr w:rsidR="00241E68" w14:paraId="1567E6E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F64C97" w14:textId="77777777" w:rsidR="00241E68" w:rsidRDefault="00000000">
            <w:r>
              <w:rPr>
                <w:sz w:val="20"/>
                <w:szCs w:val="20"/>
              </w:rPr>
              <w:t>Sea-freight (container)</w:t>
            </w: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E50FA8" w14:textId="77777777" w:rsidR="00241E68" w:rsidRDefault="00000000">
            <w:pPr>
              <w:jc w:val="center"/>
            </w:pPr>
            <w:r>
              <w:rPr>
                <w:sz w:val="20"/>
                <w:szCs w:val="20"/>
              </w:rPr>
              <w:t>0.011 kg CO₂/</w:t>
            </w:r>
            <w:proofErr w:type="spellStart"/>
            <w:r>
              <w:rPr>
                <w:sz w:val="20"/>
                <w:szCs w:val="20"/>
              </w:rPr>
              <w:t>t·km</w:t>
            </w:r>
            <w:proofErr w:type="spellEnd"/>
          </w:p>
        </w:tc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96487D" w14:textId="77777777" w:rsidR="00241E68" w:rsidRDefault="00000000">
            <w:r>
              <w:rPr>
                <w:sz w:val="20"/>
                <w:szCs w:val="20"/>
              </w:rPr>
              <w:t>Chattogram–Rotterdam route</w:t>
            </w:r>
          </w:p>
        </w:tc>
      </w:tr>
      <w:tr w:rsidR="00241E68" w14:paraId="07CAA15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124A17" w14:textId="77777777" w:rsidR="00241E68" w:rsidRDefault="00000000">
            <w:r>
              <w:rPr>
                <w:sz w:val="20"/>
                <w:szCs w:val="20"/>
              </w:rPr>
              <w:t>Dyehouse blue water</w:t>
            </w: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B13F34" w14:textId="77777777" w:rsidR="00241E68" w:rsidRDefault="00000000">
            <w:pPr>
              <w:jc w:val="center"/>
            </w:pPr>
            <w:r>
              <w:rPr>
                <w:sz w:val="20"/>
                <w:szCs w:val="20"/>
              </w:rPr>
              <w:t>136 L/kg</w:t>
            </w:r>
          </w:p>
        </w:tc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D2887A" w14:textId="77777777" w:rsidR="00241E68" w:rsidRDefault="00000000">
            <w:r>
              <w:rPr>
                <w:sz w:val="20"/>
                <w:szCs w:val="20"/>
              </w:rPr>
              <w:t>Roy et al. (2023), field survey</w:t>
            </w:r>
          </w:p>
        </w:tc>
      </w:tr>
      <w:tr w:rsidR="00241E68" w14:paraId="2C098E4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9B509C" w14:textId="77777777" w:rsidR="00241E68" w:rsidRDefault="00000000">
            <w:r>
              <w:rPr>
                <w:sz w:val="20"/>
                <w:szCs w:val="20"/>
              </w:rPr>
              <w:t>Dyehouse grey water</w:t>
            </w: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701C47" w14:textId="77777777" w:rsidR="00241E68" w:rsidRDefault="00000000">
            <w:pPr>
              <w:jc w:val="center"/>
            </w:pPr>
            <w:r>
              <w:rPr>
                <w:sz w:val="20"/>
                <w:szCs w:val="20"/>
              </w:rPr>
              <w:t>119 L/kg</w:t>
            </w:r>
          </w:p>
        </w:tc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F9C50D" w14:textId="77777777" w:rsidR="00241E68" w:rsidRDefault="00000000">
            <w:r>
              <w:rPr>
                <w:sz w:val="20"/>
                <w:szCs w:val="20"/>
              </w:rPr>
              <w:t>Roy et al. (2023), field survey</w:t>
            </w:r>
          </w:p>
        </w:tc>
      </w:tr>
    </w:tbl>
    <w:p w14:paraId="05A39B00" w14:textId="77777777" w:rsidR="00241E68" w:rsidRDefault="00000000">
      <w:pPr>
        <w:pStyle w:val="Heading1"/>
      </w:pPr>
      <w:r>
        <w:lastRenderedPageBreak/>
        <w:t>S3. CBAM exposure-model parameters</w:t>
      </w:r>
    </w:p>
    <w:p w14:paraId="707E0FBC" w14:textId="77777777" w:rsidR="00241E68" w:rsidRDefault="00000000">
      <w:pPr>
        <w:spacing w:after="140" w:line="360" w:lineRule="auto"/>
        <w:jc w:val="both"/>
      </w:pPr>
      <w:r>
        <w:rPr>
          <w:sz w:val="22"/>
          <w:szCs w:val="22"/>
        </w:rPr>
        <w:t xml:space="preserve">The CBAM exposure model computes the embedded-carbon liability as the product of the embedded-emission intensity and the certificate price. Two accounting boundaries are modelled: a narrow Scope 1+2 boundary (9.5 kg CO₂-eq per kilogram, corresponding to installation-level direct and indirect emissions) and a broader boundary including relevant precursors (16.0 kg CO₂-eq per kilogram). The reference certificate price is EUR 100 per </w:t>
      </w:r>
      <w:proofErr w:type="spellStart"/>
      <w:r>
        <w:rPr>
          <w:sz w:val="22"/>
          <w:szCs w:val="22"/>
        </w:rPr>
        <w:t>tonne</w:t>
      </w:r>
      <w:proofErr w:type="spellEnd"/>
      <w:r>
        <w:rPr>
          <w:sz w:val="22"/>
          <w:szCs w:val="22"/>
        </w:rPr>
        <w:t xml:space="preserve"> CO₂, with sensitivity modelled from zero to EUR 150 per </w:t>
      </w:r>
      <w:proofErr w:type="spellStart"/>
      <w:r>
        <w:rPr>
          <w:sz w:val="22"/>
          <w:szCs w:val="22"/>
        </w:rPr>
        <w:t>tonne</w:t>
      </w:r>
      <w:proofErr w:type="spellEnd"/>
      <w:r>
        <w:rPr>
          <w:sz w:val="22"/>
          <w:szCs w:val="22"/>
        </w:rPr>
        <w:t>. The ad-valorem exposure is computed against a representative FOB unit value for Bangladeshi apparel. Where a carbon price has been paid in the country of origin, the CBAM methodology permits a corresponding deduction; the present model assumes no domestic carbon price, consistent with current Bangladeshi policy.</w:t>
      </w:r>
    </w:p>
    <w:p w14:paraId="2F2E9D1A" w14:textId="77777777" w:rsidR="00241E68" w:rsidRDefault="00000000">
      <w:pPr>
        <w:pStyle w:val="Heading1"/>
      </w:pPr>
      <w:r>
        <w:t>S4. Reproducibility statement</w:t>
      </w:r>
    </w:p>
    <w:p w14:paraId="2A4DC763" w14:textId="77777777" w:rsidR="00241E68" w:rsidRDefault="00000000">
      <w:pPr>
        <w:spacing w:after="140" w:line="360" w:lineRule="auto"/>
        <w:jc w:val="both"/>
      </w:pPr>
      <w:r>
        <w:rPr>
          <w:sz w:val="22"/>
          <w:szCs w:val="22"/>
        </w:rPr>
        <w:t xml:space="preserve">The inventory calculations and the CBAM exposure model are implemented in a </w:t>
      </w:r>
      <w:proofErr w:type="spellStart"/>
      <w:r>
        <w:rPr>
          <w:sz w:val="22"/>
          <w:szCs w:val="22"/>
        </w:rPr>
        <w:t>parameterised</w:t>
      </w:r>
      <w:proofErr w:type="spellEnd"/>
      <w:r>
        <w:rPr>
          <w:sz w:val="22"/>
          <w:szCs w:val="22"/>
        </w:rPr>
        <w:t xml:space="preserve"> spreadsheet and Python scripts. The Monte Carlo simulation uses 10,000 iterations with triangular input distributions defined by the minimum, modal and maximum values observed across the facility sample, with a fixed random seed for reproducibility. The calculation spreadsheets, the Monte Carlo and sensitivity scripts, and the figure-generation code will be deposited in a public repository (e.g. </w:t>
      </w:r>
      <w:proofErr w:type="spellStart"/>
      <w:r>
        <w:rPr>
          <w:sz w:val="22"/>
          <w:szCs w:val="22"/>
        </w:rPr>
        <w:t>Zenodo</w:t>
      </w:r>
      <w:proofErr w:type="spellEnd"/>
      <w:r>
        <w:rPr>
          <w:sz w:val="22"/>
          <w:szCs w:val="22"/>
        </w:rPr>
        <w:t xml:space="preserve">) under a Creative Commons Attribution 4.0 International </w:t>
      </w:r>
      <w:proofErr w:type="spellStart"/>
      <w:r>
        <w:rPr>
          <w:sz w:val="22"/>
          <w:szCs w:val="22"/>
        </w:rPr>
        <w:t>licence</w:t>
      </w:r>
      <w:proofErr w:type="spellEnd"/>
      <w:r>
        <w:rPr>
          <w:sz w:val="22"/>
          <w:szCs w:val="22"/>
        </w:rPr>
        <w:t xml:space="preserve"> on acceptance of the manuscript. Facility-level disaggregated data are provided in </w:t>
      </w:r>
      <w:proofErr w:type="spellStart"/>
      <w:r>
        <w:rPr>
          <w:sz w:val="22"/>
          <w:szCs w:val="22"/>
        </w:rPr>
        <w:t>anonymised</w:t>
      </w:r>
      <w:proofErr w:type="spellEnd"/>
      <w:r>
        <w:rPr>
          <w:sz w:val="22"/>
          <w:szCs w:val="22"/>
        </w:rPr>
        <w:t xml:space="preserve"> form subject to confidentiality undertakings.</w:t>
      </w:r>
    </w:p>
    <w:p w14:paraId="04E6EBBF" w14:textId="77777777" w:rsidR="00241E68" w:rsidRDefault="00000000">
      <w:pPr>
        <w:pStyle w:val="Heading1"/>
      </w:pPr>
      <w:r>
        <w:t>S5. Additional figures</w:t>
      </w:r>
    </w:p>
    <w:p w14:paraId="29EEBC81" w14:textId="77777777" w:rsidR="00241E68" w:rsidRDefault="00000000">
      <w:pPr>
        <w:spacing w:after="140" w:line="360" w:lineRule="auto"/>
        <w:jc w:val="both"/>
      </w:pPr>
      <w:r>
        <w:rPr>
          <w:sz w:val="22"/>
          <w:szCs w:val="22"/>
        </w:rPr>
        <w:t>Figure S1 reproduces the Monte Carlo uncertainty distribution from the main text in larger format.</w:t>
      </w:r>
    </w:p>
    <w:p w14:paraId="46C26A98" w14:textId="77777777" w:rsidR="00241E68" w:rsidRDefault="00000000">
      <w:pPr>
        <w:spacing w:before="240" w:after="120"/>
        <w:jc w:val="center"/>
      </w:pPr>
      <w:r>
        <w:rPr>
          <w:noProof/>
        </w:rPr>
        <w:lastRenderedPageBreak/>
        <w:drawing>
          <wp:inline distT="0" distB="0" distL="0" distR="0" wp14:anchorId="412A49CC" wp14:editId="50CFE60B">
            <wp:extent cx="5113867" cy="340924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755" cy="342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018DE" w14:textId="77777777" w:rsidR="00241E68" w:rsidRDefault="00000000">
      <w:pPr>
        <w:spacing w:before="60" w:after="280"/>
        <w:jc w:val="both"/>
      </w:pPr>
      <w:r>
        <w:rPr>
          <w:i/>
          <w:iCs/>
          <w:sz w:val="20"/>
          <w:szCs w:val="20"/>
        </w:rPr>
        <w:t>Figure S1. Monte Carlo uncertainty distribution of cradle-to-gate GWP (full-size reproduction of Figure 6 of the main manuscript).</w:t>
      </w:r>
    </w:p>
    <w:p w14:paraId="6C46D9B5" w14:textId="77777777" w:rsidR="00241E68" w:rsidRDefault="00000000">
      <w:pPr>
        <w:spacing w:after="140" w:line="360" w:lineRule="auto"/>
        <w:jc w:val="both"/>
      </w:pPr>
      <w:r>
        <w:rPr>
          <w:sz w:val="22"/>
          <w:szCs w:val="22"/>
        </w:rPr>
        <w:t>Figure S2 reproduces the sensitivity tornado diagram from the main text in larger format.</w:t>
      </w:r>
    </w:p>
    <w:p w14:paraId="751AE585" w14:textId="77777777" w:rsidR="00241E68" w:rsidRDefault="00000000">
      <w:pPr>
        <w:spacing w:before="240" w:after="120"/>
        <w:jc w:val="center"/>
      </w:pPr>
      <w:r>
        <w:rPr>
          <w:noProof/>
        </w:rPr>
        <w:drawing>
          <wp:inline distT="0" distB="0" distL="0" distR="0" wp14:anchorId="46197EA1" wp14:editId="4C055DB4">
            <wp:extent cx="5409989" cy="3606659"/>
            <wp:effectExtent l="0" t="0" r="635" b="635"/>
            <wp:docPr id="603366141" name="Picture 603366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749" cy="361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40765" w14:textId="77777777" w:rsidR="00241E68" w:rsidRDefault="00000000">
      <w:pPr>
        <w:spacing w:before="60" w:after="280"/>
        <w:jc w:val="both"/>
      </w:pPr>
      <w:r>
        <w:rPr>
          <w:i/>
          <w:iCs/>
          <w:sz w:val="20"/>
          <w:szCs w:val="20"/>
        </w:rPr>
        <w:t>Figure S2. One-at-a-time sensitivity analysis (full-size reproduction of Figure 7 of the main manuscript).</w:t>
      </w:r>
    </w:p>
    <w:p w14:paraId="7DFC6CB4" w14:textId="77777777" w:rsidR="00241E68" w:rsidRDefault="00000000">
      <w:pPr>
        <w:pStyle w:val="Heading1"/>
      </w:pPr>
      <w:r>
        <w:lastRenderedPageBreak/>
        <w:t>S6. Cited references</w:t>
      </w:r>
    </w:p>
    <w:p w14:paraId="57E32C60" w14:textId="77777777" w:rsidR="00241E68" w:rsidRDefault="00000000">
      <w:pPr>
        <w:spacing w:after="140" w:line="360" w:lineRule="auto"/>
        <w:jc w:val="both"/>
      </w:pPr>
      <w:r>
        <w:rPr>
          <w:sz w:val="22"/>
          <w:szCs w:val="22"/>
        </w:rPr>
        <w:t>All references cited in this Supplementary Material are listed in the main manuscript reference list.</w:t>
      </w:r>
    </w:p>
    <w:sectPr w:rsidR="00241E68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FA1"/>
    <w:multiLevelType w:val="hybridMultilevel"/>
    <w:tmpl w:val="1FDA4482"/>
    <w:lvl w:ilvl="0" w:tplc="8954E030">
      <w:start w:val="1"/>
      <w:numFmt w:val="bullet"/>
      <w:lvlText w:val="●"/>
      <w:lvlJc w:val="left"/>
      <w:pPr>
        <w:ind w:left="720" w:hanging="360"/>
      </w:pPr>
    </w:lvl>
    <w:lvl w:ilvl="1" w:tplc="410CDC68">
      <w:start w:val="1"/>
      <w:numFmt w:val="bullet"/>
      <w:lvlText w:val="○"/>
      <w:lvlJc w:val="left"/>
      <w:pPr>
        <w:ind w:left="1440" w:hanging="360"/>
      </w:pPr>
    </w:lvl>
    <w:lvl w:ilvl="2" w:tplc="3B303044">
      <w:start w:val="1"/>
      <w:numFmt w:val="bullet"/>
      <w:lvlText w:val="■"/>
      <w:lvlJc w:val="left"/>
      <w:pPr>
        <w:ind w:left="2160" w:hanging="360"/>
      </w:pPr>
    </w:lvl>
    <w:lvl w:ilvl="3" w:tplc="F6B8A0D0">
      <w:start w:val="1"/>
      <w:numFmt w:val="bullet"/>
      <w:lvlText w:val="●"/>
      <w:lvlJc w:val="left"/>
      <w:pPr>
        <w:ind w:left="2880" w:hanging="360"/>
      </w:pPr>
    </w:lvl>
    <w:lvl w:ilvl="4" w:tplc="F8FC8E8A">
      <w:start w:val="1"/>
      <w:numFmt w:val="bullet"/>
      <w:lvlText w:val="○"/>
      <w:lvlJc w:val="left"/>
      <w:pPr>
        <w:ind w:left="3600" w:hanging="360"/>
      </w:pPr>
    </w:lvl>
    <w:lvl w:ilvl="5" w:tplc="AE28CF06">
      <w:start w:val="1"/>
      <w:numFmt w:val="bullet"/>
      <w:lvlText w:val="■"/>
      <w:lvlJc w:val="left"/>
      <w:pPr>
        <w:ind w:left="4320" w:hanging="360"/>
      </w:pPr>
    </w:lvl>
    <w:lvl w:ilvl="6" w:tplc="A6B4C8C6">
      <w:start w:val="1"/>
      <w:numFmt w:val="bullet"/>
      <w:lvlText w:val="●"/>
      <w:lvlJc w:val="left"/>
      <w:pPr>
        <w:ind w:left="5040" w:hanging="360"/>
      </w:pPr>
    </w:lvl>
    <w:lvl w:ilvl="7" w:tplc="FF88A630">
      <w:start w:val="1"/>
      <w:numFmt w:val="bullet"/>
      <w:lvlText w:val="●"/>
      <w:lvlJc w:val="left"/>
      <w:pPr>
        <w:ind w:left="5760" w:hanging="360"/>
      </w:pPr>
    </w:lvl>
    <w:lvl w:ilvl="8" w:tplc="2662DE58">
      <w:start w:val="1"/>
      <w:numFmt w:val="bullet"/>
      <w:lvlText w:val="●"/>
      <w:lvlJc w:val="left"/>
      <w:pPr>
        <w:ind w:left="6480" w:hanging="360"/>
      </w:pPr>
    </w:lvl>
  </w:abstractNum>
  <w:num w:numId="1" w16cid:durableId="19689667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68"/>
    <w:rsid w:val="00241E68"/>
    <w:rsid w:val="0035514A"/>
    <w:rsid w:val="00F2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D4FE3"/>
  <w15:docId w15:val="{1EA659F3-6984-464F-AC49-B967048F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uiPriority w:val="9"/>
    <w:qFormat/>
    <w:pPr>
      <w:spacing w:before="380" w:after="180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80" w:after="140"/>
      <w:outlineLvl w:val="1"/>
    </w:pPr>
    <w:rPr>
      <w:b/>
      <w:bCs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Supplementary_Material</dc:title>
  <dc:creator>Author</dc:creator>
  <cp:lastModifiedBy>Shahadat Hossain</cp:lastModifiedBy>
  <cp:revision>2</cp:revision>
  <dcterms:created xsi:type="dcterms:W3CDTF">2026-05-28T03:58:00Z</dcterms:created>
  <dcterms:modified xsi:type="dcterms:W3CDTF">2026-06-05T21:46:00Z</dcterms:modified>
</cp:coreProperties>
</file>