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E02BC" w14:textId="5BA23666" w:rsidR="00A159D1" w:rsidRDefault="00A159D1">
      <w:pPr>
        <w:rPr>
          <w:b/>
          <w:bCs/>
          <w:lang w:val="en-GB"/>
        </w:rPr>
      </w:pPr>
      <w:r w:rsidRPr="00A159D1">
        <w:rPr>
          <w:b/>
          <w:bCs/>
          <w:lang w:val="en-GB"/>
        </w:rPr>
        <w:t>Supplement 1</w:t>
      </w:r>
    </w:p>
    <w:p w14:paraId="104E9233" w14:textId="1AC29145" w:rsidR="00A159D1" w:rsidRPr="00A159D1" w:rsidRDefault="00A159D1">
      <w:pPr>
        <w:rPr>
          <w:b/>
          <w:bCs/>
          <w:lang w:val="en-GB"/>
        </w:rPr>
      </w:pPr>
      <w:r w:rsidRPr="00A159D1">
        <w:rPr>
          <w:b/>
          <w:bCs/>
          <w:lang w:val="en-GB"/>
        </w:rPr>
        <w:t>Illustrative examples of coding, categorisation and thematic abstraction underpinning the concept of dependent autonomy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3"/>
        <w:gridCol w:w="1840"/>
        <w:gridCol w:w="1798"/>
        <w:gridCol w:w="2421"/>
      </w:tblGrid>
      <w:tr w:rsidR="00A159D1" w:rsidRPr="00A159D1" w14:paraId="4D27E78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B5B6AB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sv-SE"/>
                <w14:ligatures w14:val="none"/>
              </w:rPr>
              <w:t>Meaning unit (illustrative examples from included studies)</w:t>
            </w:r>
          </w:p>
        </w:tc>
        <w:tc>
          <w:tcPr>
            <w:tcW w:w="0" w:type="auto"/>
            <w:vAlign w:val="center"/>
            <w:hideMark/>
          </w:tcPr>
          <w:p w14:paraId="402DAB38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Code</w:t>
            </w:r>
          </w:p>
        </w:tc>
        <w:tc>
          <w:tcPr>
            <w:tcW w:w="0" w:type="auto"/>
            <w:vAlign w:val="center"/>
            <w:hideMark/>
          </w:tcPr>
          <w:p w14:paraId="330E48CE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460BC8EC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Theme</w:t>
            </w:r>
          </w:p>
        </w:tc>
      </w:tr>
      <w:tr w:rsidR="00A159D1" w:rsidRPr="00A159D1" w14:paraId="56B798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E98E5E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  <w:t>Managers appreciated delegated authority over staffing and resource allocation.</w:t>
            </w:r>
          </w:p>
        </w:tc>
        <w:tc>
          <w:tcPr>
            <w:tcW w:w="0" w:type="auto"/>
            <w:vAlign w:val="center"/>
            <w:hideMark/>
          </w:tcPr>
          <w:p w14:paraId="310776B4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Use of delegated authority</w:t>
            </w:r>
          </w:p>
        </w:tc>
        <w:tc>
          <w:tcPr>
            <w:tcW w:w="0" w:type="auto"/>
            <w:vAlign w:val="center"/>
            <w:hideMark/>
          </w:tcPr>
          <w:p w14:paraId="0661A6F8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Enacted autonomy</w:t>
            </w:r>
          </w:p>
        </w:tc>
        <w:tc>
          <w:tcPr>
            <w:tcW w:w="0" w:type="auto"/>
            <w:vAlign w:val="center"/>
            <w:hideMark/>
          </w:tcPr>
          <w:p w14:paraId="6B4F27D2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Enabled yet contingent autonomy</w:t>
            </w:r>
          </w:p>
        </w:tc>
      </w:tr>
      <w:tr w:rsidR="00A159D1" w:rsidRPr="00A159D1" w14:paraId="6AC161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55DDF9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  <w:t>Local managers adapted services to local patient needs and circumstances.</w:t>
            </w:r>
          </w:p>
        </w:tc>
        <w:tc>
          <w:tcPr>
            <w:tcW w:w="0" w:type="auto"/>
            <w:vAlign w:val="center"/>
            <w:hideMark/>
          </w:tcPr>
          <w:p w14:paraId="65317B50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Local adaptation</w:t>
            </w:r>
          </w:p>
        </w:tc>
        <w:tc>
          <w:tcPr>
            <w:tcW w:w="0" w:type="auto"/>
            <w:vAlign w:val="center"/>
            <w:hideMark/>
          </w:tcPr>
          <w:p w14:paraId="36548E72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Enacted autonomy</w:t>
            </w:r>
          </w:p>
        </w:tc>
        <w:tc>
          <w:tcPr>
            <w:tcW w:w="0" w:type="auto"/>
            <w:vAlign w:val="center"/>
            <w:hideMark/>
          </w:tcPr>
          <w:p w14:paraId="64E971D8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Enabled yet contingent autonomy</w:t>
            </w:r>
          </w:p>
        </w:tc>
      </w:tr>
      <w:tr w:rsidR="00A159D1" w:rsidRPr="00A159D1" w14:paraId="43AC73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D1083B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  <w:t>Managers described autonomy as increasing engagement and ownership.</w:t>
            </w:r>
          </w:p>
        </w:tc>
        <w:tc>
          <w:tcPr>
            <w:tcW w:w="0" w:type="auto"/>
            <w:vAlign w:val="center"/>
            <w:hideMark/>
          </w:tcPr>
          <w:p w14:paraId="4935795A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Ownership through autonomy</w:t>
            </w:r>
          </w:p>
        </w:tc>
        <w:tc>
          <w:tcPr>
            <w:tcW w:w="0" w:type="auto"/>
            <w:vAlign w:val="center"/>
            <w:hideMark/>
          </w:tcPr>
          <w:p w14:paraId="237D5B32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Enacted autonomy</w:t>
            </w:r>
          </w:p>
        </w:tc>
        <w:tc>
          <w:tcPr>
            <w:tcW w:w="0" w:type="auto"/>
            <w:vAlign w:val="center"/>
            <w:hideMark/>
          </w:tcPr>
          <w:p w14:paraId="1B205D6A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Enabled yet contingent autonomy</w:t>
            </w:r>
          </w:p>
        </w:tc>
      </w:tr>
      <w:tr w:rsidR="00A159D1" w:rsidRPr="00A159D1" w14:paraId="6AD5B3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B37A7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  <w:t>Delegated authority enabled rapid local improvements and innovation.</w:t>
            </w:r>
          </w:p>
        </w:tc>
        <w:tc>
          <w:tcPr>
            <w:tcW w:w="0" w:type="auto"/>
            <w:vAlign w:val="center"/>
            <w:hideMark/>
          </w:tcPr>
          <w:p w14:paraId="79F2ECAA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Local innovation</w:t>
            </w:r>
          </w:p>
        </w:tc>
        <w:tc>
          <w:tcPr>
            <w:tcW w:w="0" w:type="auto"/>
            <w:vAlign w:val="center"/>
            <w:hideMark/>
          </w:tcPr>
          <w:p w14:paraId="776E1E48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Enacted autonomy</w:t>
            </w:r>
          </w:p>
        </w:tc>
        <w:tc>
          <w:tcPr>
            <w:tcW w:w="0" w:type="auto"/>
            <w:vAlign w:val="center"/>
            <w:hideMark/>
          </w:tcPr>
          <w:p w14:paraId="568C98FB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Enabled yet contingent autonomy</w:t>
            </w:r>
          </w:p>
        </w:tc>
      </w:tr>
      <w:tr w:rsidR="00A159D1" w:rsidRPr="00A159D1" w14:paraId="25C313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54C318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  <w:t>Managers experienced limits imposed by financial rules and policies.</w:t>
            </w:r>
          </w:p>
        </w:tc>
        <w:tc>
          <w:tcPr>
            <w:tcW w:w="0" w:type="auto"/>
            <w:vAlign w:val="center"/>
            <w:hideMark/>
          </w:tcPr>
          <w:p w14:paraId="05CD3807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Constraints on autonomy</w:t>
            </w:r>
          </w:p>
        </w:tc>
        <w:tc>
          <w:tcPr>
            <w:tcW w:w="0" w:type="auto"/>
            <w:vAlign w:val="center"/>
            <w:hideMark/>
          </w:tcPr>
          <w:p w14:paraId="2CEB22E3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Bounded autonomy</w:t>
            </w:r>
          </w:p>
        </w:tc>
        <w:tc>
          <w:tcPr>
            <w:tcW w:w="0" w:type="auto"/>
            <w:vAlign w:val="center"/>
            <w:hideMark/>
          </w:tcPr>
          <w:p w14:paraId="53A616BC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Enabled yet contingent autonomy</w:t>
            </w:r>
          </w:p>
        </w:tc>
      </w:tr>
      <w:tr w:rsidR="00A159D1" w:rsidRPr="00A159D1" w14:paraId="6903A2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E10919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  <w:t>Central standards and performance requirements restricted local discretion.</w:t>
            </w:r>
          </w:p>
        </w:tc>
        <w:tc>
          <w:tcPr>
            <w:tcW w:w="0" w:type="auto"/>
            <w:vAlign w:val="center"/>
            <w:hideMark/>
          </w:tcPr>
          <w:p w14:paraId="1F26EA49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Accountability constraints</w:t>
            </w:r>
          </w:p>
        </w:tc>
        <w:tc>
          <w:tcPr>
            <w:tcW w:w="0" w:type="auto"/>
            <w:vAlign w:val="center"/>
            <w:hideMark/>
          </w:tcPr>
          <w:p w14:paraId="32F6C312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Bounded autonomy</w:t>
            </w:r>
          </w:p>
        </w:tc>
        <w:tc>
          <w:tcPr>
            <w:tcW w:w="0" w:type="auto"/>
            <w:vAlign w:val="center"/>
            <w:hideMark/>
          </w:tcPr>
          <w:p w14:paraId="3FA64721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Enabled yet contingent autonomy</w:t>
            </w:r>
          </w:p>
        </w:tc>
      </w:tr>
      <w:tr w:rsidR="00A159D1" w:rsidRPr="00A159D1" w14:paraId="3FA792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844041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  <w:t>Managers remained accountable for results despite delegated authority.</w:t>
            </w:r>
          </w:p>
        </w:tc>
        <w:tc>
          <w:tcPr>
            <w:tcW w:w="0" w:type="auto"/>
            <w:vAlign w:val="center"/>
            <w:hideMark/>
          </w:tcPr>
          <w:p w14:paraId="2BA1D80E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Responsibility for outcomes</w:t>
            </w:r>
          </w:p>
        </w:tc>
        <w:tc>
          <w:tcPr>
            <w:tcW w:w="0" w:type="auto"/>
            <w:vAlign w:val="center"/>
            <w:hideMark/>
          </w:tcPr>
          <w:p w14:paraId="7AEA4DC6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Bounded autonomy</w:t>
            </w:r>
          </w:p>
        </w:tc>
        <w:tc>
          <w:tcPr>
            <w:tcW w:w="0" w:type="auto"/>
            <w:vAlign w:val="center"/>
            <w:hideMark/>
          </w:tcPr>
          <w:p w14:paraId="09B6AA15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Enabled yet contingent autonomy</w:t>
            </w:r>
          </w:p>
        </w:tc>
      </w:tr>
      <w:tr w:rsidR="00A159D1" w:rsidRPr="00A159D1" w14:paraId="6B3E95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AE7B3A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  <w:t>Clinical directors perceived broad authority but not complete independence.</w:t>
            </w:r>
          </w:p>
        </w:tc>
        <w:tc>
          <w:tcPr>
            <w:tcW w:w="0" w:type="auto"/>
            <w:vAlign w:val="center"/>
            <w:hideMark/>
          </w:tcPr>
          <w:p w14:paraId="32BA1C8A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Conditional autonomy</w:t>
            </w:r>
          </w:p>
        </w:tc>
        <w:tc>
          <w:tcPr>
            <w:tcW w:w="0" w:type="auto"/>
            <w:vAlign w:val="center"/>
            <w:hideMark/>
          </w:tcPr>
          <w:p w14:paraId="28E5A404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Bounded autonomy</w:t>
            </w:r>
          </w:p>
        </w:tc>
        <w:tc>
          <w:tcPr>
            <w:tcW w:w="0" w:type="auto"/>
            <w:vAlign w:val="center"/>
            <w:hideMark/>
          </w:tcPr>
          <w:p w14:paraId="0CD1E4AE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Enabled yet contingent autonomy</w:t>
            </w:r>
          </w:p>
        </w:tc>
      </w:tr>
      <w:tr w:rsidR="00A159D1" w:rsidRPr="006D04C4" w14:paraId="041337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008C46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  <w:t>Leadership development programmes strengthened managerial capability.</w:t>
            </w:r>
          </w:p>
        </w:tc>
        <w:tc>
          <w:tcPr>
            <w:tcW w:w="0" w:type="auto"/>
            <w:vAlign w:val="center"/>
            <w:hideMark/>
          </w:tcPr>
          <w:p w14:paraId="3F123A76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Leadership support</w:t>
            </w:r>
          </w:p>
        </w:tc>
        <w:tc>
          <w:tcPr>
            <w:tcW w:w="0" w:type="auto"/>
            <w:vAlign w:val="center"/>
            <w:hideMark/>
          </w:tcPr>
          <w:p w14:paraId="3959A353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Organisational support systems</w:t>
            </w:r>
          </w:p>
        </w:tc>
        <w:tc>
          <w:tcPr>
            <w:tcW w:w="0" w:type="auto"/>
            <w:vAlign w:val="center"/>
            <w:hideMark/>
          </w:tcPr>
          <w:p w14:paraId="3EDB748E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sv-SE"/>
                <w14:ligatures w14:val="none"/>
              </w:rPr>
              <w:t>Organisational capacity as a conditioning force</w:t>
            </w:r>
          </w:p>
        </w:tc>
      </w:tr>
      <w:tr w:rsidR="00A159D1" w:rsidRPr="006D04C4" w14:paraId="449267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41B073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  <w:t>Access to HR expertise facilitated local management.</w:t>
            </w:r>
          </w:p>
        </w:tc>
        <w:tc>
          <w:tcPr>
            <w:tcW w:w="0" w:type="auto"/>
            <w:vAlign w:val="center"/>
            <w:hideMark/>
          </w:tcPr>
          <w:p w14:paraId="231B2EE7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HR support</w:t>
            </w:r>
          </w:p>
        </w:tc>
        <w:tc>
          <w:tcPr>
            <w:tcW w:w="0" w:type="auto"/>
            <w:vAlign w:val="center"/>
            <w:hideMark/>
          </w:tcPr>
          <w:p w14:paraId="64E328CF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Organisational support systems</w:t>
            </w:r>
          </w:p>
        </w:tc>
        <w:tc>
          <w:tcPr>
            <w:tcW w:w="0" w:type="auto"/>
            <w:vAlign w:val="center"/>
            <w:hideMark/>
          </w:tcPr>
          <w:p w14:paraId="79A185AE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sv-SE"/>
                <w14:ligatures w14:val="none"/>
              </w:rPr>
              <w:t>Organisational capacity as a conditioning force</w:t>
            </w:r>
          </w:p>
        </w:tc>
      </w:tr>
      <w:tr w:rsidR="00A159D1" w:rsidRPr="006D04C4" w14:paraId="5B4AEE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960315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  <w:t>Financial support functions enabled managers to exercise authority.</w:t>
            </w:r>
          </w:p>
        </w:tc>
        <w:tc>
          <w:tcPr>
            <w:tcW w:w="0" w:type="auto"/>
            <w:vAlign w:val="center"/>
            <w:hideMark/>
          </w:tcPr>
          <w:p w14:paraId="79011198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Financial support</w:t>
            </w:r>
          </w:p>
        </w:tc>
        <w:tc>
          <w:tcPr>
            <w:tcW w:w="0" w:type="auto"/>
            <w:vAlign w:val="center"/>
            <w:hideMark/>
          </w:tcPr>
          <w:p w14:paraId="390CF3AC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Organisational support systems</w:t>
            </w:r>
          </w:p>
        </w:tc>
        <w:tc>
          <w:tcPr>
            <w:tcW w:w="0" w:type="auto"/>
            <w:vAlign w:val="center"/>
            <w:hideMark/>
          </w:tcPr>
          <w:p w14:paraId="40ECE646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sv-SE"/>
                <w14:ligatures w14:val="none"/>
              </w:rPr>
              <w:t>Organisational capacity as a conditioning force</w:t>
            </w:r>
          </w:p>
        </w:tc>
      </w:tr>
      <w:tr w:rsidR="00A159D1" w:rsidRPr="006D04C4" w14:paraId="15E58D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B1A992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  <w:t>Administrative systems reduced managerial burden.</w:t>
            </w:r>
          </w:p>
        </w:tc>
        <w:tc>
          <w:tcPr>
            <w:tcW w:w="0" w:type="auto"/>
            <w:vAlign w:val="center"/>
            <w:hideMark/>
          </w:tcPr>
          <w:p w14:paraId="0EC33563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Administrative infrastructure</w:t>
            </w:r>
          </w:p>
        </w:tc>
        <w:tc>
          <w:tcPr>
            <w:tcW w:w="0" w:type="auto"/>
            <w:vAlign w:val="center"/>
            <w:hideMark/>
          </w:tcPr>
          <w:p w14:paraId="71E3C74A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Organisational support systems</w:t>
            </w:r>
          </w:p>
        </w:tc>
        <w:tc>
          <w:tcPr>
            <w:tcW w:w="0" w:type="auto"/>
            <w:vAlign w:val="center"/>
            <w:hideMark/>
          </w:tcPr>
          <w:p w14:paraId="4A616827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sv-SE"/>
                <w14:ligatures w14:val="none"/>
              </w:rPr>
              <w:t>Organisational capacity as a conditioning force</w:t>
            </w:r>
          </w:p>
        </w:tc>
      </w:tr>
      <w:tr w:rsidR="00A159D1" w:rsidRPr="006D04C4" w14:paraId="7E0648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64F4B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  <w:lastRenderedPageBreak/>
              <w:t>Information systems enabled monitoring of performance and outcomes.</w:t>
            </w:r>
          </w:p>
        </w:tc>
        <w:tc>
          <w:tcPr>
            <w:tcW w:w="0" w:type="auto"/>
            <w:vAlign w:val="center"/>
            <w:hideMark/>
          </w:tcPr>
          <w:p w14:paraId="49FCB674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Information infrastructure</w:t>
            </w:r>
          </w:p>
        </w:tc>
        <w:tc>
          <w:tcPr>
            <w:tcW w:w="0" w:type="auto"/>
            <w:vAlign w:val="center"/>
            <w:hideMark/>
          </w:tcPr>
          <w:p w14:paraId="7EF0618B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Organisational support systems</w:t>
            </w:r>
          </w:p>
        </w:tc>
        <w:tc>
          <w:tcPr>
            <w:tcW w:w="0" w:type="auto"/>
            <w:vAlign w:val="center"/>
            <w:hideMark/>
          </w:tcPr>
          <w:p w14:paraId="66DB16CB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sv-SE"/>
                <w14:ligatures w14:val="none"/>
              </w:rPr>
              <w:t>Organisational capacity as a conditioning force</w:t>
            </w:r>
          </w:p>
        </w:tc>
      </w:tr>
      <w:tr w:rsidR="00A159D1" w:rsidRPr="006D04C4" w14:paraId="058180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2A99DA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  <w:t>Data availability improved decision-making.</w:t>
            </w:r>
          </w:p>
        </w:tc>
        <w:tc>
          <w:tcPr>
            <w:tcW w:w="0" w:type="auto"/>
            <w:vAlign w:val="center"/>
            <w:hideMark/>
          </w:tcPr>
          <w:p w14:paraId="475D23C6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Data-enabled management</w:t>
            </w:r>
          </w:p>
        </w:tc>
        <w:tc>
          <w:tcPr>
            <w:tcW w:w="0" w:type="auto"/>
            <w:vAlign w:val="center"/>
            <w:hideMark/>
          </w:tcPr>
          <w:p w14:paraId="5B324C21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Organisational support systems</w:t>
            </w:r>
          </w:p>
        </w:tc>
        <w:tc>
          <w:tcPr>
            <w:tcW w:w="0" w:type="auto"/>
            <w:vAlign w:val="center"/>
            <w:hideMark/>
          </w:tcPr>
          <w:p w14:paraId="339F68BA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sv-SE"/>
                <w14:ligatures w14:val="none"/>
              </w:rPr>
              <w:t>Organisational capacity as a conditioning force</w:t>
            </w:r>
          </w:p>
        </w:tc>
      </w:tr>
      <w:tr w:rsidR="00A159D1" w:rsidRPr="006D04C4" w14:paraId="60DD6D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1D8D04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  <w:t>Organisational resources determined the practical scope of decision-making.</w:t>
            </w:r>
          </w:p>
        </w:tc>
        <w:tc>
          <w:tcPr>
            <w:tcW w:w="0" w:type="auto"/>
            <w:vAlign w:val="center"/>
            <w:hideMark/>
          </w:tcPr>
          <w:p w14:paraId="0CB7A52D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Capacity dependency</w:t>
            </w:r>
          </w:p>
        </w:tc>
        <w:tc>
          <w:tcPr>
            <w:tcW w:w="0" w:type="auto"/>
            <w:vAlign w:val="center"/>
            <w:hideMark/>
          </w:tcPr>
          <w:p w14:paraId="7C487733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Organisational capacity</w:t>
            </w:r>
          </w:p>
        </w:tc>
        <w:tc>
          <w:tcPr>
            <w:tcW w:w="0" w:type="auto"/>
            <w:vAlign w:val="center"/>
            <w:hideMark/>
          </w:tcPr>
          <w:p w14:paraId="0311E727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sv-SE"/>
                <w14:ligatures w14:val="none"/>
              </w:rPr>
              <w:t>Organisational capacity as a conditioning force</w:t>
            </w:r>
          </w:p>
        </w:tc>
      </w:tr>
      <w:tr w:rsidR="00A159D1" w:rsidRPr="006D04C4" w14:paraId="4C0B4F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CA38E1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  <w:t>Managers depended on central systems to implement local decisions.</w:t>
            </w:r>
          </w:p>
        </w:tc>
        <w:tc>
          <w:tcPr>
            <w:tcW w:w="0" w:type="auto"/>
            <w:vAlign w:val="center"/>
            <w:hideMark/>
          </w:tcPr>
          <w:p w14:paraId="4DF4CD54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System dependency</w:t>
            </w:r>
          </w:p>
        </w:tc>
        <w:tc>
          <w:tcPr>
            <w:tcW w:w="0" w:type="auto"/>
            <w:vAlign w:val="center"/>
            <w:hideMark/>
          </w:tcPr>
          <w:p w14:paraId="4375F532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Organisational capacity</w:t>
            </w:r>
          </w:p>
        </w:tc>
        <w:tc>
          <w:tcPr>
            <w:tcW w:w="0" w:type="auto"/>
            <w:vAlign w:val="center"/>
            <w:hideMark/>
          </w:tcPr>
          <w:p w14:paraId="1F4C454D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sv-SE"/>
                <w14:ligatures w14:val="none"/>
              </w:rPr>
              <w:t>Organisational capacity as a conditioning force</w:t>
            </w:r>
          </w:p>
        </w:tc>
      </w:tr>
      <w:tr w:rsidR="00A159D1" w:rsidRPr="006D04C4" w14:paraId="59CC20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E4626A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  <w:t>Crisis management required strong central coordination.</w:t>
            </w:r>
          </w:p>
        </w:tc>
        <w:tc>
          <w:tcPr>
            <w:tcW w:w="0" w:type="auto"/>
            <w:vAlign w:val="center"/>
            <w:hideMark/>
          </w:tcPr>
          <w:p w14:paraId="1CA05B4B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Central coordination</w:t>
            </w:r>
          </w:p>
        </w:tc>
        <w:tc>
          <w:tcPr>
            <w:tcW w:w="0" w:type="auto"/>
            <w:vAlign w:val="center"/>
            <w:hideMark/>
          </w:tcPr>
          <w:p w14:paraId="4EDB1D78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Coordination mechanisms</w:t>
            </w:r>
          </w:p>
        </w:tc>
        <w:tc>
          <w:tcPr>
            <w:tcW w:w="0" w:type="auto"/>
            <w:vAlign w:val="center"/>
            <w:hideMark/>
          </w:tcPr>
          <w:p w14:paraId="47065A89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sv-SE"/>
                <w14:ligatures w14:val="none"/>
              </w:rPr>
              <w:t>Coordination as integrative yet complexity-generating</w:t>
            </w:r>
          </w:p>
        </w:tc>
      </w:tr>
      <w:tr w:rsidR="00A159D1" w:rsidRPr="006D04C4" w14:paraId="4BA069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1022B7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  <w:t>Shared processes facilitated integration across organisational units.</w:t>
            </w:r>
          </w:p>
        </w:tc>
        <w:tc>
          <w:tcPr>
            <w:tcW w:w="0" w:type="auto"/>
            <w:vAlign w:val="center"/>
            <w:hideMark/>
          </w:tcPr>
          <w:p w14:paraId="1110813A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Process integration</w:t>
            </w:r>
          </w:p>
        </w:tc>
        <w:tc>
          <w:tcPr>
            <w:tcW w:w="0" w:type="auto"/>
            <w:vAlign w:val="center"/>
            <w:hideMark/>
          </w:tcPr>
          <w:p w14:paraId="413A5122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Coordination mechanisms</w:t>
            </w:r>
          </w:p>
        </w:tc>
        <w:tc>
          <w:tcPr>
            <w:tcW w:w="0" w:type="auto"/>
            <w:vAlign w:val="center"/>
            <w:hideMark/>
          </w:tcPr>
          <w:p w14:paraId="75474EA1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sv-SE"/>
                <w14:ligatures w14:val="none"/>
              </w:rPr>
              <w:t>Coordination as integrative yet complexity-generating</w:t>
            </w:r>
          </w:p>
        </w:tc>
      </w:tr>
      <w:tr w:rsidR="00A159D1" w:rsidRPr="006D04C4" w14:paraId="634F19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B0D95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  <w:t>Standardised pathways improved coordination between services.</w:t>
            </w:r>
          </w:p>
        </w:tc>
        <w:tc>
          <w:tcPr>
            <w:tcW w:w="0" w:type="auto"/>
            <w:vAlign w:val="center"/>
            <w:hideMark/>
          </w:tcPr>
          <w:p w14:paraId="4B75029E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Care pathway coordination</w:t>
            </w:r>
          </w:p>
        </w:tc>
        <w:tc>
          <w:tcPr>
            <w:tcW w:w="0" w:type="auto"/>
            <w:vAlign w:val="center"/>
            <w:hideMark/>
          </w:tcPr>
          <w:p w14:paraId="62F23A0B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Coordination mechanisms</w:t>
            </w:r>
          </w:p>
        </w:tc>
        <w:tc>
          <w:tcPr>
            <w:tcW w:w="0" w:type="auto"/>
            <w:vAlign w:val="center"/>
            <w:hideMark/>
          </w:tcPr>
          <w:p w14:paraId="01A99F40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sv-SE"/>
                <w14:ligatures w14:val="none"/>
              </w:rPr>
              <w:t>Coordination as integrative yet complexity-generating</w:t>
            </w:r>
          </w:p>
        </w:tc>
      </w:tr>
      <w:tr w:rsidR="00A159D1" w:rsidRPr="006D04C4" w14:paraId="702C70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891653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  <w:t>Hybrid managerial levels improved communication between organisational levels.</w:t>
            </w:r>
          </w:p>
        </w:tc>
        <w:tc>
          <w:tcPr>
            <w:tcW w:w="0" w:type="auto"/>
            <w:vAlign w:val="center"/>
            <w:hideMark/>
          </w:tcPr>
          <w:p w14:paraId="622A648A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Vertical integration</w:t>
            </w:r>
          </w:p>
        </w:tc>
        <w:tc>
          <w:tcPr>
            <w:tcW w:w="0" w:type="auto"/>
            <w:vAlign w:val="center"/>
            <w:hideMark/>
          </w:tcPr>
          <w:p w14:paraId="0F5FDBAD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Coordination mechanisms</w:t>
            </w:r>
          </w:p>
        </w:tc>
        <w:tc>
          <w:tcPr>
            <w:tcW w:w="0" w:type="auto"/>
            <w:vAlign w:val="center"/>
            <w:hideMark/>
          </w:tcPr>
          <w:p w14:paraId="6B7B31A5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sv-SE"/>
                <w14:ligatures w14:val="none"/>
              </w:rPr>
              <w:t>Coordination as integrative yet complexity-generating</w:t>
            </w:r>
          </w:p>
        </w:tc>
      </w:tr>
      <w:tr w:rsidR="00A159D1" w:rsidRPr="006D04C4" w14:paraId="5B26CD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F0CEB9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  <w:t>Divisional structures enabled alignment across units.</w:t>
            </w:r>
          </w:p>
        </w:tc>
        <w:tc>
          <w:tcPr>
            <w:tcW w:w="0" w:type="auto"/>
            <w:vAlign w:val="center"/>
            <w:hideMark/>
          </w:tcPr>
          <w:p w14:paraId="78379673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Strategic coordination</w:t>
            </w:r>
          </w:p>
        </w:tc>
        <w:tc>
          <w:tcPr>
            <w:tcW w:w="0" w:type="auto"/>
            <w:vAlign w:val="center"/>
            <w:hideMark/>
          </w:tcPr>
          <w:p w14:paraId="0793B4BD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Coordination mechanisms</w:t>
            </w:r>
          </w:p>
        </w:tc>
        <w:tc>
          <w:tcPr>
            <w:tcW w:w="0" w:type="auto"/>
            <w:vAlign w:val="center"/>
            <w:hideMark/>
          </w:tcPr>
          <w:p w14:paraId="48896CFC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sv-SE"/>
                <w14:ligatures w14:val="none"/>
              </w:rPr>
              <w:t>Coordination as integrative yet complexity-generating</w:t>
            </w:r>
          </w:p>
        </w:tc>
      </w:tr>
      <w:tr w:rsidR="00A159D1" w:rsidRPr="006D04C4" w14:paraId="34BE5B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A57132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  <w:t>Additional managerial levels created uncertainty regarding authority.</w:t>
            </w:r>
          </w:p>
        </w:tc>
        <w:tc>
          <w:tcPr>
            <w:tcW w:w="0" w:type="auto"/>
            <w:vAlign w:val="center"/>
            <w:hideMark/>
          </w:tcPr>
          <w:p w14:paraId="37F48DFD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Role ambiguity</w:t>
            </w:r>
          </w:p>
        </w:tc>
        <w:tc>
          <w:tcPr>
            <w:tcW w:w="0" w:type="auto"/>
            <w:vAlign w:val="center"/>
            <w:hideMark/>
          </w:tcPr>
          <w:p w14:paraId="3BF8024B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Coordination complexity</w:t>
            </w:r>
          </w:p>
        </w:tc>
        <w:tc>
          <w:tcPr>
            <w:tcW w:w="0" w:type="auto"/>
            <w:vAlign w:val="center"/>
            <w:hideMark/>
          </w:tcPr>
          <w:p w14:paraId="347CD9DA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sv-SE"/>
                <w14:ligatures w14:val="none"/>
              </w:rPr>
              <w:t>Coordination as integrative yet complexity-generating</w:t>
            </w:r>
          </w:p>
        </w:tc>
      </w:tr>
      <w:tr w:rsidR="00A159D1" w:rsidRPr="006D04C4" w14:paraId="1ECF25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CA5A5C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  <w:t>Managers described increased bureaucracy after introducing new coordination structures.</w:t>
            </w:r>
          </w:p>
        </w:tc>
        <w:tc>
          <w:tcPr>
            <w:tcW w:w="0" w:type="auto"/>
            <w:vAlign w:val="center"/>
            <w:hideMark/>
          </w:tcPr>
          <w:p w14:paraId="3EF928C1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Bureaucratic complexity</w:t>
            </w:r>
          </w:p>
        </w:tc>
        <w:tc>
          <w:tcPr>
            <w:tcW w:w="0" w:type="auto"/>
            <w:vAlign w:val="center"/>
            <w:hideMark/>
          </w:tcPr>
          <w:p w14:paraId="779D49D4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Coordination complexity</w:t>
            </w:r>
          </w:p>
        </w:tc>
        <w:tc>
          <w:tcPr>
            <w:tcW w:w="0" w:type="auto"/>
            <w:vAlign w:val="center"/>
            <w:hideMark/>
          </w:tcPr>
          <w:p w14:paraId="6826426C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sv-SE"/>
                <w14:ligatures w14:val="none"/>
              </w:rPr>
              <w:t>Coordination as integrative yet complexity-generating</w:t>
            </w:r>
          </w:p>
        </w:tc>
      </w:tr>
      <w:tr w:rsidR="00A159D1" w:rsidRPr="006D04C4" w14:paraId="6AEDFA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E00616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  <w:t>Coordination improved integration but sometimes reduced responsiveness.</w:t>
            </w:r>
          </w:p>
        </w:tc>
        <w:tc>
          <w:tcPr>
            <w:tcW w:w="0" w:type="auto"/>
            <w:vAlign w:val="center"/>
            <w:hideMark/>
          </w:tcPr>
          <w:p w14:paraId="2C564380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Coordination trade-off</w:t>
            </w:r>
          </w:p>
        </w:tc>
        <w:tc>
          <w:tcPr>
            <w:tcW w:w="0" w:type="auto"/>
            <w:vAlign w:val="center"/>
            <w:hideMark/>
          </w:tcPr>
          <w:p w14:paraId="0468403F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Coordination complexity</w:t>
            </w:r>
          </w:p>
        </w:tc>
        <w:tc>
          <w:tcPr>
            <w:tcW w:w="0" w:type="auto"/>
            <w:vAlign w:val="center"/>
            <w:hideMark/>
          </w:tcPr>
          <w:p w14:paraId="2E7573F3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sv-SE"/>
                <w14:ligatures w14:val="none"/>
              </w:rPr>
              <w:t>Coordination as integrative yet complexity-generating</w:t>
            </w:r>
          </w:p>
        </w:tc>
      </w:tr>
      <w:tr w:rsidR="00A159D1" w:rsidRPr="006D04C4" w14:paraId="5B4ED5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B20C27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  <w:t>Managers experienced tension between local autonomy and organisational integration.</w:t>
            </w:r>
          </w:p>
        </w:tc>
        <w:tc>
          <w:tcPr>
            <w:tcW w:w="0" w:type="auto"/>
            <w:vAlign w:val="center"/>
            <w:hideMark/>
          </w:tcPr>
          <w:p w14:paraId="378903AB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Autonomy–coordination tension</w:t>
            </w:r>
          </w:p>
        </w:tc>
        <w:tc>
          <w:tcPr>
            <w:tcW w:w="0" w:type="auto"/>
            <w:vAlign w:val="center"/>
            <w:hideMark/>
          </w:tcPr>
          <w:p w14:paraId="1E5E863F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Coordination complexity</w:t>
            </w:r>
          </w:p>
        </w:tc>
        <w:tc>
          <w:tcPr>
            <w:tcW w:w="0" w:type="auto"/>
            <w:vAlign w:val="center"/>
            <w:hideMark/>
          </w:tcPr>
          <w:p w14:paraId="2B50F189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sv-SE"/>
                <w14:ligatures w14:val="none"/>
              </w:rPr>
              <w:t>Coordination as integrative yet complexity-generating</w:t>
            </w:r>
          </w:p>
        </w:tc>
      </w:tr>
    </w:tbl>
    <w:p w14:paraId="6DC353C4" w14:textId="790DCB75" w:rsidR="00A159D1" w:rsidRPr="00A159D1" w:rsidRDefault="00117502" w:rsidP="00A159D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>
        <w:pict w14:anchorId="4D284237">
          <v:rect id="Horizontal Line 1" o:spid="_x0000_s1026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7"/>
        <w:gridCol w:w="3048"/>
        <w:gridCol w:w="1467"/>
      </w:tblGrid>
      <w:tr w:rsidR="00A159D1" w:rsidRPr="00A159D1" w14:paraId="53BE6BC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71711F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lastRenderedPageBreak/>
              <w:t>Cross-theme synthesis</w:t>
            </w:r>
          </w:p>
        </w:tc>
        <w:tc>
          <w:tcPr>
            <w:tcW w:w="0" w:type="auto"/>
            <w:vAlign w:val="center"/>
            <w:hideMark/>
          </w:tcPr>
          <w:p w14:paraId="100DBA43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Conceptual interpretation</w:t>
            </w:r>
          </w:p>
        </w:tc>
        <w:tc>
          <w:tcPr>
            <w:tcW w:w="0" w:type="auto"/>
            <w:vAlign w:val="center"/>
            <w:hideMark/>
          </w:tcPr>
          <w:p w14:paraId="79AF4386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Higher-order concept</w:t>
            </w:r>
          </w:p>
        </w:tc>
      </w:tr>
      <w:tr w:rsidR="00A159D1" w:rsidRPr="00A159D1" w14:paraId="32D178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3AAEE7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  <w:t>Managers exercised delegated authority, but effective action consistently depended on organisational capacity and coordination mechanisms.</w:t>
            </w:r>
          </w:p>
        </w:tc>
        <w:tc>
          <w:tcPr>
            <w:tcW w:w="0" w:type="auto"/>
            <w:vAlign w:val="center"/>
            <w:hideMark/>
          </w:tcPr>
          <w:p w14:paraId="2554B16E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kern w:val="0"/>
                <w:lang w:val="en-GB" w:eastAsia="sv-SE"/>
                <w14:ligatures w14:val="none"/>
              </w:rPr>
              <w:t>Autonomy is enabled, conditioned and constrained by organisational systems.</w:t>
            </w:r>
          </w:p>
        </w:tc>
        <w:tc>
          <w:tcPr>
            <w:tcW w:w="0" w:type="auto"/>
            <w:vAlign w:val="center"/>
            <w:hideMark/>
          </w:tcPr>
          <w:p w14:paraId="3D2796D0" w14:textId="77777777" w:rsidR="00A159D1" w:rsidRPr="00A159D1" w:rsidRDefault="00A159D1" w:rsidP="00A159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A159D1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Dependent autonomy</w:t>
            </w:r>
          </w:p>
        </w:tc>
      </w:tr>
    </w:tbl>
    <w:p w14:paraId="24055E00" w14:textId="5AD098BE" w:rsidR="00A159D1" w:rsidRPr="00A159D1" w:rsidRDefault="00A159D1">
      <w:pPr>
        <w:rPr>
          <w:b/>
          <w:bCs/>
          <w:lang w:val="en-GB"/>
        </w:rPr>
      </w:pPr>
    </w:p>
    <w:sectPr w:rsidR="00A159D1" w:rsidRPr="00A15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D1"/>
    <w:rsid w:val="00117502"/>
    <w:rsid w:val="006D04C4"/>
    <w:rsid w:val="007514DC"/>
    <w:rsid w:val="00A159D1"/>
    <w:rsid w:val="00F6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128B5C"/>
  <w15:chartTrackingRefBased/>
  <w15:docId w15:val="{9BDC20BD-B323-1F4B-85CE-0C963AC77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159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159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159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159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159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159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159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159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159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159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159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159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159D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159D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159D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159D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159D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159D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159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15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159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159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159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159D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159D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159D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159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159D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159D1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A15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basedOn w:val="Standardstycketeckensnitt"/>
    <w:uiPriority w:val="22"/>
    <w:qFormat/>
    <w:rsid w:val="00A159D1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A15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612</Words>
  <Characters>3945</Characters>
  <Application>Microsoft Office Word</Application>
  <DocSecurity>0</DocSecurity>
  <Lines>58</Lines>
  <Paragraphs>8</Paragraphs>
  <ScaleCrop>false</ScaleCrop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Ohrling</dc:creator>
  <cp:keywords/>
  <dc:description/>
  <cp:lastModifiedBy>Mikael Ohrling</cp:lastModifiedBy>
  <cp:revision>2</cp:revision>
  <dcterms:created xsi:type="dcterms:W3CDTF">2026-06-05T19:20:00Z</dcterms:created>
  <dcterms:modified xsi:type="dcterms:W3CDTF">2026-06-05T20:41:00Z</dcterms:modified>
</cp:coreProperties>
</file>