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69A5F" w14:textId="31C5B8B9" w:rsidR="000821A4" w:rsidRPr="00C26D11" w:rsidRDefault="00C26D11" w:rsidP="00C26D11">
      <w:pPr>
        <w:spacing w:before="240" w:after="0" w:line="276" w:lineRule="auto"/>
        <w:jc w:val="both"/>
        <w:rPr>
          <w:rFonts w:ascii="Calibri" w:hAnsi="Calibri" w:cs="Calibri"/>
          <w:b/>
          <w:bCs/>
        </w:rPr>
      </w:pPr>
      <w:r w:rsidRPr="00C26D11">
        <w:rPr>
          <w:rFonts w:ascii="Calibri" w:hAnsi="Calibri" w:cs="Calibri"/>
          <w:b/>
          <w:bCs/>
        </w:rPr>
        <w:t>Supplementary File</w:t>
      </w:r>
    </w:p>
    <w:p w14:paraId="00277749" w14:textId="6AE65A62" w:rsidR="00C26D11" w:rsidRPr="00C26D11" w:rsidRDefault="00C26D11" w:rsidP="00C26D11">
      <w:pPr>
        <w:spacing w:before="240" w:after="0" w:line="276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C26D11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Supplementary Table 1: </w:t>
      </w:r>
      <w:r w:rsidRPr="00C26D11">
        <w:rPr>
          <w:rFonts w:ascii="Calibri" w:eastAsia="Times New Roman" w:hAnsi="Calibri" w:cs="Calibri"/>
          <w:kern w:val="0"/>
          <w14:ligatures w14:val="none"/>
        </w:rPr>
        <w:t>Exploratory associations between selected ovarian findings and participant characteristics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9"/>
        <w:gridCol w:w="1598"/>
        <w:gridCol w:w="643"/>
        <w:gridCol w:w="4607"/>
        <w:gridCol w:w="623"/>
      </w:tblGrid>
      <w:tr w:rsidR="00C26D11" w:rsidRPr="00C26D11" w14:paraId="68BAC901" w14:textId="77777777" w:rsidTr="00C26D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17CF1D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Outcome</w:t>
            </w:r>
          </w:p>
        </w:tc>
        <w:tc>
          <w:tcPr>
            <w:tcW w:w="0" w:type="auto"/>
            <w:vAlign w:val="center"/>
            <w:hideMark/>
          </w:tcPr>
          <w:p w14:paraId="7D7149B9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Exposure</w:t>
            </w:r>
          </w:p>
        </w:tc>
        <w:tc>
          <w:tcPr>
            <w:tcW w:w="0" w:type="auto"/>
            <w:vAlign w:val="center"/>
            <w:hideMark/>
          </w:tcPr>
          <w:p w14:paraId="7E2643A3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Valid N</w:t>
            </w:r>
          </w:p>
        </w:tc>
        <w:tc>
          <w:tcPr>
            <w:tcW w:w="0" w:type="auto"/>
            <w:vAlign w:val="center"/>
            <w:hideMark/>
          </w:tcPr>
          <w:p w14:paraId="1CFDC0D3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Summary</w:t>
            </w:r>
          </w:p>
        </w:tc>
        <w:tc>
          <w:tcPr>
            <w:tcW w:w="50" w:type="dxa"/>
            <w:vAlign w:val="center"/>
            <w:hideMark/>
          </w:tcPr>
          <w:p w14:paraId="4DDB14D3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p-value</w:t>
            </w:r>
          </w:p>
        </w:tc>
      </w:tr>
      <w:tr w:rsidR="00C26D11" w:rsidRPr="00C26D11" w14:paraId="2D7B943D" w14:textId="77777777" w:rsidTr="00C26D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BE09D9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Ovarian cyst</w:t>
            </w:r>
          </w:p>
        </w:tc>
        <w:tc>
          <w:tcPr>
            <w:tcW w:w="0" w:type="auto"/>
            <w:vAlign w:val="center"/>
            <w:hideMark/>
          </w:tcPr>
          <w:p w14:paraId="758CA58B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Menstrual phase</w:t>
            </w:r>
          </w:p>
        </w:tc>
        <w:tc>
          <w:tcPr>
            <w:tcW w:w="0" w:type="auto"/>
            <w:vAlign w:val="center"/>
            <w:hideMark/>
          </w:tcPr>
          <w:p w14:paraId="2FB7ABED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14:paraId="344B6243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Menstruation: 5/30 (16.7%); follicular: 0/11 (0.0%); ovulation: 5/20 (25.0%); luteal: 15/92 (16.3%)</w:t>
            </w:r>
          </w:p>
        </w:tc>
        <w:tc>
          <w:tcPr>
            <w:tcW w:w="50" w:type="dxa"/>
            <w:vAlign w:val="center"/>
            <w:hideMark/>
          </w:tcPr>
          <w:p w14:paraId="4B0582E6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0.355</w:t>
            </w:r>
          </w:p>
        </w:tc>
      </w:tr>
      <w:tr w:rsidR="00C26D11" w:rsidRPr="00C26D11" w14:paraId="247B978A" w14:textId="77777777" w:rsidTr="00C26D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F2A41A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Ovarian cyst</w:t>
            </w:r>
          </w:p>
        </w:tc>
        <w:tc>
          <w:tcPr>
            <w:tcW w:w="0" w:type="auto"/>
            <w:vAlign w:val="center"/>
            <w:hideMark/>
          </w:tcPr>
          <w:p w14:paraId="0F8E5F47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Cycle regularity</w:t>
            </w:r>
          </w:p>
        </w:tc>
        <w:tc>
          <w:tcPr>
            <w:tcW w:w="0" w:type="auto"/>
            <w:vAlign w:val="center"/>
            <w:hideMark/>
          </w:tcPr>
          <w:p w14:paraId="63E9D493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14:paraId="1C8CE492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Irregular: 12/62 (19.4%); regular: 13/91 (14.3%)</w:t>
            </w:r>
          </w:p>
        </w:tc>
        <w:tc>
          <w:tcPr>
            <w:tcW w:w="50" w:type="dxa"/>
            <w:vAlign w:val="center"/>
            <w:hideMark/>
          </w:tcPr>
          <w:p w14:paraId="64296E5B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0.505</w:t>
            </w:r>
          </w:p>
        </w:tc>
      </w:tr>
      <w:tr w:rsidR="00C26D11" w:rsidRPr="00C26D11" w14:paraId="0BA39621" w14:textId="77777777" w:rsidTr="00C26D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7153FD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Ovarian cyst</w:t>
            </w:r>
          </w:p>
        </w:tc>
        <w:tc>
          <w:tcPr>
            <w:tcW w:w="0" w:type="auto"/>
            <w:vAlign w:val="center"/>
            <w:hideMark/>
          </w:tcPr>
          <w:p w14:paraId="7AAFD5FE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BMI category</w:t>
            </w:r>
          </w:p>
        </w:tc>
        <w:tc>
          <w:tcPr>
            <w:tcW w:w="0" w:type="auto"/>
            <w:vAlign w:val="center"/>
            <w:hideMark/>
          </w:tcPr>
          <w:p w14:paraId="46B15D3F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149</w:t>
            </w:r>
          </w:p>
        </w:tc>
        <w:tc>
          <w:tcPr>
            <w:tcW w:w="0" w:type="auto"/>
            <w:vAlign w:val="center"/>
            <w:hideMark/>
          </w:tcPr>
          <w:p w14:paraId="1D5309FD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Underweight: 0/4 (0.0%); normal: 19/110 (17.3%); overweight: 6/23 (26.1%); obese: 0/12 (0.0%)</w:t>
            </w:r>
          </w:p>
        </w:tc>
        <w:tc>
          <w:tcPr>
            <w:tcW w:w="50" w:type="dxa"/>
            <w:vAlign w:val="center"/>
            <w:hideMark/>
          </w:tcPr>
          <w:p w14:paraId="15B2E90F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0.197</w:t>
            </w:r>
          </w:p>
        </w:tc>
      </w:tr>
      <w:tr w:rsidR="00C26D11" w:rsidRPr="00C26D11" w14:paraId="7A6C6AAE" w14:textId="77777777" w:rsidTr="00C26D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C333E0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Ovarian cyst</w:t>
            </w:r>
          </w:p>
        </w:tc>
        <w:tc>
          <w:tcPr>
            <w:tcW w:w="0" w:type="auto"/>
            <w:vAlign w:val="center"/>
            <w:hideMark/>
          </w:tcPr>
          <w:p w14:paraId="64A9E194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Menarcheal timing</w:t>
            </w:r>
          </w:p>
        </w:tc>
        <w:tc>
          <w:tcPr>
            <w:tcW w:w="0" w:type="auto"/>
            <w:vAlign w:val="center"/>
            <w:hideMark/>
          </w:tcPr>
          <w:p w14:paraId="643FD65C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14:paraId="000F8156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Normative: 18/119 (15.1%); non-normative: 5/24 (20.8%)</w:t>
            </w:r>
          </w:p>
        </w:tc>
        <w:tc>
          <w:tcPr>
            <w:tcW w:w="50" w:type="dxa"/>
            <w:vAlign w:val="center"/>
            <w:hideMark/>
          </w:tcPr>
          <w:p w14:paraId="6DE161A8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0.543</w:t>
            </w:r>
          </w:p>
        </w:tc>
      </w:tr>
      <w:tr w:rsidR="00C26D11" w:rsidRPr="00C26D11" w14:paraId="621D5447" w14:textId="77777777" w:rsidTr="00C26D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459E68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Ovarian cyst</w:t>
            </w:r>
          </w:p>
        </w:tc>
        <w:tc>
          <w:tcPr>
            <w:tcW w:w="0" w:type="auto"/>
            <w:vAlign w:val="center"/>
            <w:hideMark/>
          </w:tcPr>
          <w:p w14:paraId="05DAC5BD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Contraceptive use</w:t>
            </w:r>
          </w:p>
        </w:tc>
        <w:tc>
          <w:tcPr>
            <w:tcW w:w="0" w:type="auto"/>
            <w:vAlign w:val="center"/>
            <w:hideMark/>
          </w:tcPr>
          <w:p w14:paraId="34E0A1DA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14:paraId="28ADF8E5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No: 16/118 (13.6%); yes: 9/35 (25.7%)</w:t>
            </w:r>
          </w:p>
        </w:tc>
        <w:tc>
          <w:tcPr>
            <w:tcW w:w="50" w:type="dxa"/>
            <w:vAlign w:val="center"/>
            <w:hideMark/>
          </w:tcPr>
          <w:p w14:paraId="353234B8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0.117</w:t>
            </w:r>
          </w:p>
        </w:tc>
      </w:tr>
      <w:tr w:rsidR="00C26D11" w:rsidRPr="00C26D11" w14:paraId="051000A0" w14:textId="77777777" w:rsidTr="00C26D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37150B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PCOS-related ultrasound feature</w:t>
            </w:r>
          </w:p>
        </w:tc>
        <w:tc>
          <w:tcPr>
            <w:tcW w:w="0" w:type="auto"/>
            <w:vAlign w:val="center"/>
            <w:hideMark/>
          </w:tcPr>
          <w:p w14:paraId="4E2EF407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Menstrual phase</w:t>
            </w:r>
          </w:p>
        </w:tc>
        <w:tc>
          <w:tcPr>
            <w:tcW w:w="0" w:type="auto"/>
            <w:vAlign w:val="center"/>
            <w:hideMark/>
          </w:tcPr>
          <w:p w14:paraId="7A5490BF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14:paraId="1941F849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Menstruation: 4/32 (12.5%); follicular: 0/11 (0.0%); ovulation: 2/18 (11.1%); luteal: 11/98 (11.2%)</w:t>
            </w:r>
          </w:p>
        </w:tc>
        <w:tc>
          <w:tcPr>
            <w:tcW w:w="50" w:type="dxa"/>
            <w:vAlign w:val="center"/>
            <w:hideMark/>
          </w:tcPr>
          <w:p w14:paraId="12DEB69B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0.692</w:t>
            </w:r>
          </w:p>
        </w:tc>
      </w:tr>
      <w:tr w:rsidR="00C26D11" w:rsidRPr="00C26D11" w14:paraId="5C50A7DC" w14:textId="77777777" w:rsidTr="00C26D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F4A2F6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PCOS-related ultrasound feature</w:t>
            </w:r>
          </w:p>
        </w:tc>
        <w:tc>
          <w:tcPr>
            <w:tcW w:w="0" w:type="auto"/>
            <w:vAlign w:val="center"/>
            <w:hideMark/>
          </w:tcPr>
          <w:p w14:paraId="311C90FC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Cycle regularity</w:t>
            </w:r>
          </w:p>
        </w:tc>
        <w:tc>
          <w:tcPr>
            <w:tcW w:w="0" w:type="auto"/>
            <w:vAlign w:val="center"/>
            <w:hideMark/>
          </w:tcPr>
          <w:p w14:paraId="2FF2D051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14:paraId="112E72D1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Irregular: 11/70 (15.7%); regular: 6/89 (6.7%)</w:t>
            </w:r>
          </w:p>
        </w:tc>
        <w:tc>
          <w:tcPr>
            <w:tcW w:w="50" w:type="dxa"/>
            <w:vAlign w:val="center"/>
            <w:hideMark/>
          </w:tcPr>
          <w:p w14:paraId="3DF78907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0.077</w:t>
            </w:r>
          </w:p>
        </w:tc>
      </w:tr>
      <w:tr w:rsidR="00C26D11" w:rsidRPr="00C26D11" w14:paraId="440E1D8E" w14:textId="77777777" w:rsidTr="00C26D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44865B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PCOS-related ultrasound feature</w:t>
            </w:r>
          </w:p>
        </w:tc>
        <w:tc>
          <w:tcPr>
            <w:tcW w:w="0" w:type="auto"/>
            <w:vAlign w:val="center"/>
            <w:hideMark/>
          </w:tcPr>
          <w:p w14:paraId="68E305F5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BMI category</w:t>
            </w:r>
          </w:p>
        </w:tc>
        <w:tc>
          <w:tcPr>
            <w:tcW w:w="0" w:type="auto"/>
            <w:vAlign w:val="center"/>
            <w:hideMark/>
          </w:tcPr>
          <w:p w14:paraId="68686AFB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08DD1D5E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Underweight: 1/5 (20.0%); normal: 14/110 (12.7%); overweight: 1/26 (3.8%); obese: 0/13 (0.0%)</w:t>
            </w:r>
          </w:p>
        </w:tc>
        <w:tc>
          <w:tcPr>
            <w:tcW w:w="50" w:type="dxa"/>
            <w:vAlign w:val="center"/>
            <w:hideMark/>
          </w:tcPr>
          <w:p w14:paraId="25BC4E21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0.279</w:t>
            </w:r>
          </w:p>
        </w:tc>
      </w:tr>
      <w:tr w:rsidR="00C26D11" w:rsidRPr="00C26D11" w14:paraId="6835CD24" w14:textId="77777777" w:rsidTr="00C26D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0BB0F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PCOS-related ultrasound feature</w:t>
            </w:r>
          </w:p>
        </w:tc>
        <w:tc>
          <w:tcPr>
            <w:tcW w:w="0" w:type="auto"/>
            <w:vAlign w:val="center"/>
            <w:hideMark/>
          </w:tcPr>
          <w:p w14:paraId="07650C90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Menarcheal timing</w:t>
            </w:r>
          </w:p>
        </w:tc>
        <w:tc>
          <w:tcPr>
            <w:tcW w:w="0" w:type="auto"/>
            <w:vAlign w:val="center"/>
            <w:hideMark/>
          </w:tcPr>
          <w:p w14:paraId="4A9FA92F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149</w:t>
            </w:r>
          </w:p>
        </w:tc>
        <w:tc>
          <w:tcPr>
            <w:tcW w:w="0" w:type="auto"/>
            <w:vAlign w:val="center"/>
            <w:hideMark/>
          </w:tcPr>
          <w:p w14:paraId="6A2A44BE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Normative: 13/123 (10.6%); non-normative: 4/26 (15.4%)</w:t>
            </w:r>
          </w:p>
        </w:tc>
        <w:tc>
          <w:tcPr>
            <w:tcW w:w="50" w:type="dxa"/>
            <w:vAlign w:val="center"/>
            <w:hideMark/>
          </w:tcPr>
          <w:p w14:paraId="729C109A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0.500</w:t>
            </w:r>
          </w:p>
        </w:tc>
      </w:tr>
      <w:tr w:rsidR="00C26D11" w:rsidRPr="00C26D11" w14:paraId="5EE960F1" w14:textId="77777777" w:rsidTr="00C26D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0BDF2D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Pouch of Douglas fluid</w:t>
            </w:r>
          </w:p>
        </w:tc>
        <w:tc>
          <w:tcPr>
            <w:tcW w:w="0" w:type="auto"/>
            <w:vAlign w:val="center"/>
            <w:hideMark/>
          </w:tcPr>
          <w:p w14:paraId="297DC047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Menstrual phase</w:t>
            </w:r>
          </w:p>
        </w:tc>
        <w:tc>
          <w:tcPr>
            <w:tcW w:w="0" w:type="auto"/>
            <w:vAlign w:val="center"/>
            <w:hideMark/>
          </w:tcPr>
          <w:p w14:paraId="5846323E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14:paraId="1802552F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Menstruation: 32/51 (62.7%); follicular: 9/14 (64.3%); ovulation: 22/34 (64.7%); luteal: 85/136 (62.5%)</w:t>
            </w:r>
          </w:p>
        </w:tc>
        <w:tc>
          <w:tcPr>
            <w:tcW w:w="50" w:type="dxa"/>
            <w:vAlign w:val="center"/>
            <w:hideMark/>
          </w:tcPr>
          <w:p w14:paraId="2C8AABB1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0.995</w:t>
            </w:r>
          </w:p>
        </w:tc>
      </w:tr>
      <w:tr w:rsidR="00C26D11" w:rsidRPr="00C26D11" w14:paraId="23F73498" w14:textId="77777777" w:rsidTr="00C26D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38EDDE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Pouch of Douglas fluid</w:t>
            </w:r>
          </w:p>
        </w:tc>
        <w:tc>
          <w:tcPr>
            <w:tcW w:w="0" w:type="auto"/>
            <w:vAlign w:val="center"/>
            <w:hideMark/>
          </w:tcPr>
          <w:p w14:paraId="350A4234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Cycle regularity</w:t>
            </w:r>
          </w:p>
        </w:tc>
        <w:tc>
          <w:tcPr>
            <w:tcW w:w="0" w:type="auto"/>
            <w:vAlign w:val="center"/>
            <w:hideMark/>
          </w:tcPr>
          <w:p w14:paraId="659A9596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14:paraId="76698D61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Irregular: 62/96 (64.6%); regular: 86/139 (61.9%)</w:t>
            </w:r>
          </w:p>
        </w:tc>
        <w:tc>
          <w:tcPr>
            <w:tcW w:w="50" w:type="dxa"/>
            <w:vAlign w:val="center"/>
            <w:hideMark/>
          </w:tcPr>
          <w:p w14:paraId="4A61C609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0.683</w:t>
            </w:r>
          </w:p>
        </w:tc>
      </w:tr>
      <w:tr w:rsidR="00C26D11" w:rsidRPr="00C26D11" w14:paraId="7E7B2C49" w14:textId="77777777" w:rsidTr="00C26D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A95F38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Dominant follicle</w:t>
            </w:r>
          </w:p>
        </w:tc>
        <w:tc>
          <w:tcPr>
            <w:tcW w:w="0" w:type="auto"/>
            <w:vAlign w:val="center"/>
            <w:hideMark/>
          </w:tcPr>
          <w:p w14:paraId="45B6C36E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Menstrual phase</w:t>
            </w:r>
          </w:p>
        </w:tc>
        <w:tc>
          <w:tcPr>
            <w:tcW w:w="0" w:type="auto"/>
            <w:vAlign w:val="center"/>
            <w:hideMark/>
          </w:tcPr>
          <w:p w14:paraId="0F7435DF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14:paraId="7843567E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Menstruation: 41/48 (85.4%); follicular: 10/13 (76.9%); ovulation: 24/31 (77.4%); luteal: 110/124 (88.7%)</w:t>
            </w:r>
          </w:p>
        </w:tc>
        <w:tc>
          <w:tcPr>
            <w:tcW w:w="50" w:type="dxa"/>
            <w:vAlign w:val="center"/>
            <w:hideMark/>
          </w:tcPr>
          <w:p w14:paraId="4A5A1F9A" w14:textId="77777777" w:rsidR="00C26D11" w:rsidRPr="00C26D11" w:rsidRDefault="00C26D11" w:rsidP="00C26D11">
            <w:pPr>
              <w:spacing w:before="240" w:after="0" w:line="276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26D11">
              <w:rPr>
                <w:rFonts w:ascii="Calibri" w:eastAsia="Times New Roman" w:hAnsi="Calibri" w:cs="Calibri"/>
                <w:kern w:val="0"/>
                <w14:ligatures w14:val="none"/>
              </w:rPr>
              <w:t>0.326</w:t>
            </w:r>
          </w:p>
        </w:tc>
      </w:tr>
    </w:tbl>
    <w:p w14:paraId="565EE873" w14:textId="77777777" w:rsidR="00C26D11" w:rsidRPr="00C26D11" w:rsidRDefault="00C26D11" w:rsidP="00C26D11">
      <w:pPr>
        <w:spacing w:before="240" w:after="0" w:line="276" w:lineRule="auto"/>
        <w:jc w:val="both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C26D11">
        <w:rPr>
          <w:rFonts w:ascii="Calibri" w:eastAsia="Times New Roman" w:hAnsi="Calibri" w:cs="Calibri"/>
          <w:i/>
          <w:iCs/>
          <w:kern w:val="0"/>
          <w14:ligatures w14:val="none"/>
        </w:rPr>
        <w:t>P-values are from Fisher’s exact tests for two-level exposures and chi-square tests for exposures with more than two categories. PCOS, polycystic ovary syndrome.</w:t>
      </w:r>
    </w:p>
    <w:p w14:paraId="12086E67" w14:textId="27DBC570" w:rsidR="00C26D11" w:rsidRPr="00C26D11" w:rsidRDefault="00C26D11" w:rsidP="00C26D11">
      <w:pPr>
        <w:spacing w:before="240" w:after="0" w:line="276" w:lineRule="auto"/>
        <w:jc w:val="both"/>
        <w:rPr>
          <w:rFonts w:ascii="Calibri" w:eastAsia="Times New Roman" w:hAnsi="Calibri" w:cs="Calibri"/>
          <w:kern w:val="0"/>
          <w14:ligatures w14:val="none"/>
        </w:rPr>
      </w:pPr>
    </w:p>
    <w:p w14:paraId="2A545D50" w14:textId="77777777" w:rsidR="00C26D11" w:rsidRPr="00C26D11" w:rsidRDefault="00C26D11" w:rsidP="00C26D11">
      <w:pPr>
        <w:spacing w:before="240" w:after="0" w:line="276" w:lineRule="auto"/>
        <w:jc w:val="both"/>
        <w:rPr>
          <w:rFonts w:ascii="Calibri" w:hAnsi="Calibri" w:cs="Calibri"/>
        </w:rPr>
      </w:pPr>
    </w:p>
    <w:sectPr w:rsidR="00C26D11" w:rsidRPr="00C26D1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8C561" w14:textId="77777777" w:rsidR="00B35662" w:rsidRDefault="00B35662" w:rsidP="002A35C1">
      <w:pPr>
        <w:spacing w:after="0" w:line="240" w:lineRule="auto"/>
      </w:pPr>
      <w:r>
        <w:separator/>
      </w:r>
    </w:p>
  </w:endnote>
  <w:endnote w:type="continuationSeparator" w:id="0">
    <w:p w14:paraId="6B593C08" w14:textId="77777777" w:rsidR="00B35662" w:rsidRDefault="00B35662" w:rsidP="002A3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98798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3A6EB4" w14:textId="15939B7C" w:rsidR="002A35C1" w:rsidRDefault="002A35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96705D" w14:textId="77777777" w:rsidR="002A35C1" w:rsidRDefault="002A35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2D4BC" w14:textId="77777777" w:rsidR="00B35662" w:rsidRDefault="00B35662" w:rsidP="002A35C1">
      <w:pPr>
        <w:spacing w:after="0" w:line="240" w:lineRule="auto"/>
      </w:pPr>
      <w:r>
        <w:separator/>
      </w:r>
    </w:p>
  </w:footnote>
  <w:footnote w:type="continuationSeparator" w:id="0">
    <w:p w14:paraId="033EC5FE" w14:textId="77777777" w:rsidR="00B35662" w:rsidRDefault="00B35662" w:rsidP="002A35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11"/>
    <w:rsid w:val="00076AEE"/>
    <w:rsid w:val="000821A4"/>
    <w:rsid w:val="002A35C1"/>
    <w:rsid w:val="004814DE"/>
    <w:rsid w:val="009A64BA"/>
    <w:rsid w:val="00B35662"/>
    <w:rsid w:val="00C26D11"/>
    <w:rsid w:val="00F7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F1433"/>
  <w15:chartTrackingRefBased/>
  <w15:docId w15:val="{E6F36462-CA20-4000-9F56-ACCEDCB82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6D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6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6D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6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6D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6D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6D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6D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6D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D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6D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6D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6D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6D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6D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6D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6D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6D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6D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6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6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6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6D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6D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6D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6D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6D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6D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6D1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3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5C1"/>
  </w:style>
  <w:style w:type="paragraph" w:styleId="Footer">
    <w:name w:val="footer"/>
    <w:basedOn w:val="Normal"/>
    <w:link w:val="FooterChar"/>
    <w:uiPriority w:val="99"/>
    <w:unhideWhenUsed/>
    <w:rsid w:val="002A3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Okafor, Izuchukwu A</dc:creator>
  <cp:keywords/>
  <dc:description/>
  <cp:lastModifiedBy>Okafor, Izuchukwu A</cp:lastModifiedBy>
  <cp:revision>2</cp:revision>
  <dcterms:created xsi:type="dcterms:W3CDTF">2026-06-03T20:22:00Z</dcterms:created>
  <dcterms:modified xsi:type="dcterms:W3CDTF">2026-06-05T18:50:00Z</dcterms:modified>
</cp:coreProperties>
</file>