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Supplementary Information</w:t>
      </w:r>
    </w:p>
    <w:p>
      <w:r>
        <w:rPr>
          <w:i/>
          <w:sz w:val="22"/>
        </w:rPr>
        <w:t>Genomic determinants of metastatic organotropism and dissemination tempo across 3,368 lung cancers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404382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_S2_cross_sectional_OR_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0438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</w:pPr>
      <w:r>
        <w:rPr>
          <w:b/>
          <w:sz w:val="18"/>
        </w:rPr>
        <w:t>Supplementary Fig. S1. Cross-sectional odds-ratio map.</w:t>
      </w:r>
      <w:r>
        <w:rPr>
          <w:sz w:val="18"/>
        </w:rPr>
        <w:t xml:space="preserve"> Fully adjusted odds ratios (log2) for every feature-organ pair reaching FDR significance, features grouped by alteration class and y-axis labels colored by layer; asterisks mark FDR &lt; 0.05. Companion to Fig. 2a.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45083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5083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</w:pPr>
      <w:r>
        <w:rPr>
          <w:b/>
          <w:sz w:val="18"/>
        </w:rPr>
        <w:t>Supplementary Fig. S2. Per-layer cause-specific hazard-ratio forests.</w:t>
      </w:r>
      <w:r>
        <w:rPr>
          <w:sz w:val="18"/>
        </w:rPr>
        <w:t xml:space="preserve"> FDR-significant organ associations with 95% confidence intervals, shown separately for the copy-number, fusion, pathway and co-mutation layers.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584277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_S3_attenuati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58427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</w:pPr>
      <w:r>
        <w:rPr>
          <w:b/>
          <w:sz w:val="18"/>
        </w:rPr>
        <w:t>Supplementary Fig. S3. Attenuation of odds ratios under full adjustment.</w:t>
      </w:r>
      <w:r>
        <w:rPr>
          <w:sz w:val="18"/>
        </w:rPr>
        <w:t xml:space="preserve"> Base-adjusted versus fully adjusted odds ratios (log2) for all tested feature-organ pairs; points on the diagonal are unchanged by adjustment for imaging frequency and treatment exposure. FDR-significant associations are highlighted.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992822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_robustness_expande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99282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</w:pPr>
      <w:r>
        <w:rPr>
          <w:b/>
          <w:sz w:val="18"/>
        </w:rPr>
        <w:t>Supplementary Fig. S4. Robustness classification across sensitivity cohorts.</w:t>
      </w:r>
      <w:r>
        <w:rPr>
          <w:sz w:val="18"/>
        </w:rPr>
        <w:t xml:space="preserve"> Sensitivity concordance rate for each FDR-significant expanded association across four cohort definitions (≥6 months follow-up, ≥12 months, adenocarcinoma only, ≥3 imaging timepoints); the dashed line marks the 0.75 robustness threshold and bars are colored by classification.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23788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_S4_comutation_interaction_grid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378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</w:pPr>
      <w:r>
        <w:rPr>
          <w:b/>
          <w:sz w:val="18"/>
        </w:rPr>
        <w:t>Supplementary Fig. S5. Co-mutation interaction grid.</w:t>
      </w:r>
      <w:r>
        <w:rPr>
          <w:sz w:val="18"/>
        </w:rPr>
        <w:t xml:space="preserve"> Log2 multiplicative interaction odds ratio for each gene pair across organs; dots mark nominal P &lt; 0.05. No interaction term survived FDR correction, consistent with additive rather than synergistic co-mutation tropism.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725537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_S5_genotype_mdi_heatma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72553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</w:pPr>
      <w:r>
        <w:rPr>
          <w:b/>
          <w:sz w:val="18"/>
        </w:rPr>
        <w:t>Supplementary Fig. S6. Genotype-associated dissemination metrics.</w:t>
      </w:r>
      <w:r>
        <w:rPr>
          <w:sz w:val="18"/>
        </w:rPr>
        <w:t xml:space="preserve"> Log2 median ratio (altered versus wild-type) for each feature across the four dissemination measures (acquisition rate, Shannon diversity, number of sites ever involved, early dissemination); asterisks mark FDR &lt; 0.05.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1140433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14043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0"/>
      </w:pPr>
      <w:r>
        <w:rPr>
          <w:b/>
          <w:sz w:val="18"/>
        </w:rPr>
        <w:t>Supplementary Fig. S7. KRAS variant-level and co-mutation subgroup tropism.</w:t>
      </w:r>
      <w:r>
        <w:rPr>
          <w:sz w:val="18"/>
        </w:rPr>
        <w:t xml:space="preserve"> </w:t>
      </w:r>
      <w:r>
        <w:rPr>
          <w:b/>
          <w:sz w:val="18"/>
        </w:rPr>
        <w:t>a</w:t>
      </w:r>
      <w:r>
        <w:rPr>
          <w:sz w:val="18"/>
        </w:rPr>
        <w:t xml:space="preserve">, Variant-organ odds ratios (log2) for KRAS G12C, G12V and G12D; no pair reached FDR significance. </w:t>
      </w:r>
      <w:r>
        <w:rPr>
          <w:b/>
          <w:sz w:val="18"/>
        </w:rPr>
        <w:t>b</w:t>
      </w:r>
      <w:r>
        <w:rPr>
          <w:sz w:val="18"/>
        </w:rPr>
        <w:t xml:space="preserve">, Organ involvement by Skoulidis subgroup (K-only, KL, KP); asterisks mark FDR &lt; 0.05. </w:t>
      </w:r>
      <w:r>
        <w:rPr>
          <w:b/>
          <w:sz w:val="18"/>
        </w:rPr>
        <w:t>c</w:t>
      </w:r>
      <w:r>
        <w:rPr>
          <w:sz w:val="18"/>
        </w:rPr>
        <w:t>, Adjusted overall-survival hazard ratios by organ within KRAS G12C carriers (n = 372); red marks FDR &lt; 0.05.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