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A7E5" w14:textId="77777777" w:rsidR="00D96162" w:rsidRPr="008F5967" w:rsidRDefault="000C5030" w:rsidP="00242493">
      <w:pPr>
        <w:spacing w:line="480" w:lineRule="auto"/>
        <w:rPr>
          <w:sz w:val="22"/>
          <w:szCs w:val="22"/>
        </w:rPr>
      </w:pPr>
      <w:r w:rsidRPr="008F5967">
        <w:rPr>
          <w:b/>
          <w:bCs/>
          <w:sz w:val="22"/>
          <w:szCs w:val="22"/>
        </w:rPr>
        <w:t>Supplementary File B</w:t>
      </w:r>
    </w:p>
    <w:p w14:paraId="4EA3C16D" w14:textId="77777777" w:rsidR="00D96162" w:rsidRPr="008F5967" w:rsidRDefault="000C5030" w:rsidP="00242493">
      <w:pPr>
        <w:spacing w:line="480" w:lineRule="auto"/>
        <w:rPr>
          <w:sz w:val="22"/>
          <w:szCs w:val="22"/>
        </w:rPr>
      </w:pPr>
      <w:r w:rsidRPr="008F5967">
        <w:rPr>
          <w:b/>
          <w:bCs/>
          <w:i/>
          <w:iCs/>
          <w:sz w:val="22"/>
          <w:szCs w:val="22"/>
        </w:rPr>
        <w:t>Model Diagnostics and Sensitivity Analyses</w:t>
      </w:r>
    </w:p>
    <w:p w14:paraId="7B404624" w14:textId="6147855E" w:rsidR="00D96162" w:rsidRPr="00A27BBF" w:rsidRDefault="00A27BBF" w:rsidP="00242493">
      <w:pPr>
        <w:spacing w:line="480" w:lineRule="auto"/>
        <w:ind w:firstLine="720"/>
        <w:rPr>
          <w:sz w:val="22"/>
          <w:szCs w:val="22"/>
        </w:rPr>
      </w:pPr>
      <w:r w:rsidRPr="00A27BBF">
        <w:rPr>
          <w:sz w:val="22"/>
          <w:szCs w:val="22"/>
        </w:rPr>
        <w:t>Two sensitivity analyses assessed the robustness of the focal indirect-effect inference. Section B.1 reports leave-one-participant-out (LOO) sensitivity analyses for the four indirect effects through within-person importance of limiting drinking; Section B.2 reports profile-likelihood confidence intervals for the a-path intervention coefficients.</w:t>
      </w:r>
    </w:p>
    <w:p w14:paraId="05A4AC53" w14:textId="6FC23CC8" w:rsidR="00D96162" w:rsidRPr="008F5967" w:rsidRDefault="000C5030" w:rsidP="00242493">
      <w:pPr>
        <w:spacing w:line="480" w:lineRule="auto"/>
        <w:rPr>
          <w:sz w:val="22"/>
          <w:szCs w:val="22"/>
        </w:rPr>
      </w:pPr>
      <w:r w:rsidRPr="008F5967">
        <w:rPr>
          <w:b/>
          <w:bCs/>
          <w:sz w:val="22"/>
          <w:szCs w:val="22"/>
        </w:rPr>
        <w:t>B.</w:t>
      </w:r>
      <w:r w:rsidR="003A792C">
        <w:rPr>
          <w:b/>
          <w:bCs/>
          <w:sz w:val="22"/>
          <w:szCs w:val="22"/>
        </w:rPr>
        <w:t>1</w:t>
      </w:r>
      <w:r w:rsidRPr="008F5967">
        <w:rPr>
          <w:b/>
          <w:bCs/>
          <w:sz w:val="22"/>
          <w:szCs w:val="22"/>
        </w:rPr>
        <w:t>. Leave-one-participant-out (LOO) sensitivity for the indirect effects</w:t>
      </w:r>
    </w:p>
    <w:p w14:paraId="19739A50" w14:textId="2C875F36" w:rsidR="00D96162" w:rsidRPr="00AB4306" w:rsidRDefault="000C5030" w:rsidP="00242493">
      <w:pPr>
        <w:spacing w:line="480" w:lineRule="auto"/>
        <w:ind w:firstLine="720"/>
        <w:rPr>
          <w:sz w:val="22"/>
          <w:szCs w:val="22"/>
        </w:rPr>
      </w:pPr>
      <w:r w:rsidRPr="00AB4306">
        <w:rPr>
          <w:sz w:val="22"/>
          <w:szCs w:val="22"/>
        </w:rPr>
        <w:t>To assess whether the indirect-effect inference for within-person importance of limiting drinking was disproportionately influenced by any single participant, each a-path and b-path model was refit 33 times, dropping one participant in turn (Nieuwenhuis et al., 2012). For each LOO fit, the point indirect effect was computed as the product of the a-path intervention coefficient (from the lme4 model on importance) and the b-path within-person importance coefficient (from the glmmTMB model on the outcome). Res</w:t>
      </w:r>
      <w:r w:rsidRPr="00AB4306">
        <w:rPr>
          <w:sz w:val="22"/>
          <w:szCs w:val="22"/>
        </w:rPr>
        <w:t>ults are presented in Table S</w:t>
      </w:r>
      <w:r w:rsidR="008E29B9" w:rsidRPr="00AB4306">
        <w:rPr>
          <w:sz w:val="22"/>
          <w:szCs w:val="22"/>
        </w:rPr>
        <w:t>3</w:t>
      </w:r>
      <w:r w:rsidRPr="00AB4306">
        <w:rPr>
          <w:sz w:val="22"/>
          <w:szCs w:val="22"/>
        </w:rPr>
        <w:t>. All 33 LOO fits converged for every outcome (no convergence failures). The LOO range of point indirect estimates was contained well within the full-sample 95% Monte Carlo confidence interval for every outcome, and the LOO median was nearly identical to the full-sample point estimate in all four cases (</w:t>
      </w:r>
      <w:r w:rsidR="00AB4306" w:rsidRPr="00AB4306">
        <w:rPr>
          <w:sz w:val="22"/>
          <w:szCs w:val="22"/>
        </w:rPr>
        <w:t>differences ranging from 0.001 to 0.003</w:t>
      </w:r>
      <w:r w:rsidRPr="00AB4306">
        <w:rPr>
          <w:sz w:val="22"/>
          <w:szCs w:val="22"/>
        </w:rPr>
        <w:t>). No single participant was responsible for the significance of any indirect-effect estimate.</w:t>
      </w:r>
    </w:p>
    <w:p w14:paraId="02F39E59" w14:textId="413A02C2" w:rsidR="00D96162" w:rsidRPr="008F5967" w:rsidRDefault="000C5030" w:rsidP="00242493">
      <w:pPr>
        <w:spacing w:line="480" w:lineRule="auto"/>
        <w:rPr>
          <w:sz w:val="22"/>
          <w:szCs w:val="22"/>
        </w:rPr>
      </w:pPr>
      <w:r w:rsidRPr="008F5967">
        <w:rPr>
          <w:b/>
          <w:bCs/>
          <w:sz w:val="22"/>
          <w:szCs w:val="22"/>
        </w:rPr>
        <w:t>Table S</w:t>
      </w:r>
      <w:r w:rsidR="003A792C">
        <w:rPr>
          <w:b/>
          <w:bCs/>
          <w:sz w:val="22"/>
          <w:szCs w:val="22"/>
        </w:rPr>
        <w:t>3</w:t>
      </w:r>
    </w:p>
    <w:p w14:paraId="570E610C" w14:textId="77777777" w:rsidR="00D96162" w:rsidRPr="008F5967" w:rsidRDefault="000C5030" w:rsidP="00242493">
      <w:pPr>
        <w:spacing w:line="480" w:lineRule="auto"/>
        <w:rPr>
          <w:sz w:val="22"/>
          <w:szCs w:val="22"/>
        </w:rPr>
      </w:pPr>
      <w:r w:rsidRPr="008F5967">
        <w:rPr>
          <w:i/>
          <w:iCs/>
          <w:sz w:val="22"/>
          <w:szCs w:val="22"/>
        </w:rPr>
        <w:t>Leave-One-Participant-Out (LOO) Sensitivity for Indirect Effects via Within-Person Importance of Limiting Drinking</w:t>
      </w: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1980"/>
        <w:gridCol w:w="1620"/>
        <w:gridCol w:w="1800"/>
        <w:gridCol w:w="964"/>
        <w:gridCol w:w="836"/>
        <w:gridCol w:w="1100"/>
        <w:gridCol w:w="1060"/>
      </w:tblGrid>
      <w:tr w:rsidR="00D96162" w:rsidRPr="008F5967" w14:paraId="10A0D960" w14:textId="77777777" w:rsidTr="00242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ADE359" w14:textId="77777777" w:rsidR="00D96162" w:rsidRPr="008F5967" w:rsidRDefault="000C5030" w:rsidP="00242493">
            <w:pPr>
              <w:spacing w:line="480" w:lineRule="auto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Outcome</w:t>
            </w:r>
          </w:p>
        </w:tc>
        <w:tc>
          <w:tcPr>
            <w:tcW w:w="1620" w:type="dxa"/>
          </w:tcPr>
          <w:p w14:paraId="72F7C3F1" w14:textId="77777777" w:rsidR="00D96162" w:rsidRPr="008F5967" w:rsidRDefault="000C5030" w:rsidP="0024249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Full-sample indirect</w:t>
            </w:r>
          </w:p>
        </w:tc>
        <w:tc>
          <w:tcPr>
            <w:tcW w:w="1800" w:type="dxa"/>
          </w:tcPr>
          <w:p w14:paraId="2624E2FF" w14:textId="77777777" w:rsidR="00D96162" w:rsidRPr="008F5967" w:rsidRDefault="000C5030" w:rsidP="0024249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Full-sample 95% MC CI</w:t>
            </w:r>
          </w:p>
        </w:tc>
        <w:tc>
          <w:tcPr>
            <w:tcW w:w="964" w:type="dxa"/>
          </w:tcPr>
          <w:p w14:paraId="70252095" w14:textId="77777777" w:rsidR="00D96162" w:rsidRPr="008F5967" w:rsidRDefault="000C5030" w:rsidP="0024249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LOO fits (n)</w:t>
            </w:r>
          </w:p>
        </w:tc>
        <w:tc>
          <w:tcPr>
            <w:tcW w:w="836" w:type="dxa"/>
          </w:tcPr>
          <w:p w14:paraId="5B5FED10" w14:textId="77777777" w:rsidR="00D96162" w:rsidRPr="008F5967" w:rsidRDefault="000C5030" w:rsidP="0024249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LOO min</w:t>
            </w:r>
          </w:p>
        </w:tc>
        <w:tc>
          <w:tcPr>
            <w:tcW w:w="1100" w:type="dxa"/>
          </w:tcPr>
          <w:p w14:paraId="0A165F40" w14:textId="77777777" w:rsidR="00D96162" w:rsidRPr="008F5967" w:rsidRDefault="000C5030" w:rsidP="0024249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LOO median</w:t>
            </w:r>
          </w:p>
        </w:tc>
        <w:tc>
          <w:tcPr>
            <w:tcW w:w="1060" w:type="dxa"/>
          </w:tcPr>
          <w:p w14:paraId="1750C4F6" w14:textId="77777777" w:rsidR="00D96162" w:rsidRPr="008F5967" w:rsidRDefault="000C5030" w:rsidP="0024249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LOO max</w:t>
            </w:r>
          </w:p>
        </w:tc>
      </w:tr>
      <w:tr w:rsidR="00D96162" w:rsidRPr="008F5967" w14:paraId="64AF76B1" w14:textId="77777777" w:rsidTr="0024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  <w:right w:val="nil"/>
            </w:tcBorders>
          </w:tcPr>
          <w:p w14:paraId="404DF64C" w14:textId="77777777" w:rsidR="00D96162" w:rsidRPr="008F5967" w:rsidRDefault="000C5030" w:rsidP="00242493">
            <w:pPr>
              <w:spacing w:line="480" w:lineRule="auto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Drinks per day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09EEA352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−0.064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22FC2EDF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[−0.138, −0.011]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14:paraId="3F9EEFB0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33</w:t>
            </w: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</w:tcPr>
          <w:p w14:paraId="4F5E0223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−0.081</w:t>
            </w: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</w:tcPr>
          <w:p w14:paraId="6484D254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−0.065</w:t>
            </w:r>
          </w:p>
        </w:tc>
        <w:tc>
          <w:tcPr>
            <w:tcW w:w="1060" w:type="dxa"/>
            <w:tcBorders>
              <w:left w:val="nil"/>
              <w:bottom w:val="nil"/>
            </w:tcBorders>
          </w:tcPr>
          <w:p w14:paraId="5685C3A5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−0.049</w:t>
            </w:r>
          </w:p>
        </w:tc>
      </w:tr>
      <w:tr w:rsidR="00D96162" w:rsidRPr="008F5967" w14:paraId="45C3B5BA" w14:textId="77777777" w:rsidTr="00242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il"/>
              <w:bottom w:val="nil"/>
              <w:right w:val="nil"/>
            </w:tcBorders>
          </w:tcPr>
          <w:p w14:paraId="3A6957C4" w14:textId="77777777" w:rsidR="00D96162" w:rsidRPr="008F5967" w:rsidRDefault="000C5030" w:rsidP="00242493">
            <w:pPr>
              <w:spacing w:line="480" w:lineRule="auto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Any drinking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658D084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−0.132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84461BF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[−0.282, −0.023]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266B7BA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39A31E28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−0.181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1C8B83B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−0.134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4C5075CA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−0.095</w:t>
            </w:r>
          </w:p>
        </w:tc>
      </w:tr>
      <w:tr w:rsidR="00D96162" w:rsidRPr="008F5967" w14:paraId="47736780" w14:textId="77777777" w:rsidTr="0024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il"/>
              <w:bottom w:val="nil"/>
              <w:right w:val="nil"/>
            </w:tcBorders>
          </w:tcPr>
          <w:p w14:paraId="001F7744" w14:textId="77777777" w:rsidR="00D96162" w:rsidRPr="008F5967" w:rsidRDefault="000C5030" w:rsidP="00242493">
            <w:pPr>
              <w:spacing w:line="480" w:lineRule="auto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Heavy drinking day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22F253F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−0.181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B4CEE8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[−0.430, −0.012]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4728D86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29AC0F3E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−0.242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8D194E4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−0.179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2B49C0BA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−0.137</w:t>
            </w:r>
          </w:p>
        </w:tc>
      </w:tr>
      <w:tr w:rsidR="00D96162" w:rsidRPr="008F5967" w14:paraId="682797AB" w14:textId="77777777" w:rsidTr="00242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14:paraId="315681BA" w14:textId="77777777" w:rsidR="00D96162" w:rsidRPr="008F5967" w:rsidRDefault="000C5030" w:rsidP="00242493">
            <w:pPr>
              <w:spacing w:line="480" w:lineRule="auto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lastRenderedPageBreak/>
              <w:t>Planned drinks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EBB8972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B94C230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[−0.260, −0.029]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4EA9B3A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7520092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−0.164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FECCEA9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14:paraId="4AC0F945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−0.096</w:t>
            </w:r>
          </w:p>
        </w:tc>
      </w:tr>
    </w:tbl>
    <w:p w14:paraId="2DD254A1" w14:textId="43E22B26" w:rsidR="00D96162" w:rsidRPr="008F5967" w:rsidRDefault="000C5030" w:rsidP="00242493">
      <w:pPr>
        <w:spacing w:line="480" w:lineRule="auto"/>
        <w:rPr>
          <w:sz w:val="22"/>
          <w:szCs w:val="22"/>
        </w:rPr>
      </w:pPr>
      <w:r w:rsidRPr="008F5967">
        <w:rPr>
          <w:i/>
          <w:iCs/>
          <w:sz w:val="22"/>
          <w:szCs w:val="22"/>
        </w:rPr>
        <w:t>Note</w:t>
      </w:r>
      <w:r w:rsidRPr="008F5967">
        <w:rPr>
          <w:sz w:val="22"/>
          <w:szCs w:val="22"/>
        </w:rPr>
        <w:t>. Indirect effects on the link (log/logit) scale, computed as the product of the a-path intervention coefficient and the b-path within-person importance coefficient. MC = Monte Carlo (20,000 simulation draws). LOO = leave-one-participant-out. The LOO range is the minimum and maximum point indirect-effect estimate across the 33 fits; the LOO median is the median across fits.</w:t>
      </w:r>
    </w:p>
    <w:p w14:paraId="79057FD3" w14:textId="4178BF7F" w:rsidR="00D96162" w:rsidRPr="008F5967" w:rsidRDefault="000C5030" w:rsidP="00242493">
      <w:pPr>
        <w:spacing w:line="480" w:lineRule="auto"/>
        <w:rPr>
          <w:sz w:val="22"/>
          <w:szCs w:val="22"/>
        </w:rPr>
      </w:pPr>
      <w:r w:rsidRPr="008F5967">
        <w:rPr>
          <w:b/>
          <w:bCs/>
          <w:sz w:val="22"/>
          <w:szCs w:val="22"/>
        </w:rPr>
        <w:t>B.</w:t>
      </w:r>
      <w:r w:rsidR="003A792C">
        <w:rPr>
          <w:b/>
          <w:bCs/>
          <w:sz w:val="22"/>
          <w:szCs w:val="22"/>
        </w:rPr>
        <w:t>2</w:t>
      </w:r>
      <w:r w:rsidRPr="008F5967">
        <w:rPr>
          <w:b/>
          <w:bCs/>
          <w:sz w:val="22"/>
          <w:szCs w:val="22"/>
        </w:rPr>
        <w:t>. Profile-likelihood vs. Wald confidence intervals for a-path intervention coefficients</w:t>
      </w:r>
    </w:p>
    <w:p w14:paraId="6305AB99" w14:textId="5B7222F9" w:rsidR="00D96162" w:rsidRPr="008F5967" w:rsidRDefault="000C5030" w:rsidP="00242493">
      <w:pPr>
        <w:spacing w:line="480" w:lineRule="auto"/>
        <w:ind w:firstLine="720"/>
        <w:rPr>
          <w:sz w:val="22"/>
          <w:szCs w:val="22"/>
        </w:rPr>
      </w:pPr>
      <w:r w:rsidRPr="008F5967">
        <w:rPr>
          <w:sz w:val="22"/>
          <w:szCs w:val="22"/>
        </w:rPr>
        <w:t xml:space="preserve">At small Level-2 sample sizes, Wald confidence intervals for fixed effects in mixed-effects models can be anti-conservative because they assume the log-likelihood is locally quadratic near the maximum-likelihood estimate (Bates et al., 2015b; Bolker et al., 2009). To assess the robustness of the Wald inference reported in the main manuscript, profile-likelihood confidence intervals were computed for the intervention coefficient in both a-path models (importance, confidence). </w:t>
      </w:r>
      <w:r w:rsidR="00CC7D6A">
        <w:rPr>
          <w:sz w:val="22"/>
          <w:szCs w:val="22"/>
        </w:rPr>
        <w:t>As</w:t>
      </w:r>
      <w:r w:rsidRPr="008F5967">
        <w:rPr>
          <w:sz w:val="22"/>
          <w:szCs w:val="22"/>
        </w:rPr>
        <w:t xml:space="preserve"> every indirect effect in the manuscript depends on the a-path estimate, the a-path is the coefficient most consequential for the mediation inference. Wald CIs for the b-path within-person mediator coefficients were not reanalyzed via profile likelihood, as the b-path inference was far from the conventional significance threshold (</w:t>
      </w:r>
      <w:r w:rsidR="00EC2C4F">
        <w:t xml:space="preserve">seven of eight at </w:t>
      </w:r>
      <w:r w:rsidR="00EC2C4F">
        <w:rPr>
          <w:rStyle w:val="Emphasis"/>
        </w:rPr>
        <w:t>p</w:t>
      </w:r>
      <w:r w:rsidR="00EC2C4F">
        <w:t xml:space="preserve"> ≤ .001, with the importance b-path for heavy drinking day at </w:t>
      </w:r>
      <w:r w:rsidR="00EC2C4F">
        <w:rPr>
          <w:rStyle w:val="Emphasis"/>
        </w:rPr>
        <w:t>p</w:t>
      </w:r>
      <w:r w:rsidR="00EC2C4F">
        <w:t xml:space="preserve"> = .018</w:t>
      </w:r>
      <w:r w:rsidRPr="008F5967">
        <w:rPr>
          <w:sz w:val="22"/>
          <w:szCs w:val="22"/>
        </w:rPr>
        <w:t>) and is therefore not vulnerable to small differences in CI method.</w:t>
      </w:r>
    </w:p>
    <w:p w14:paraId="6B9506CA" w14:textId="4EAE8925" w:rsidR="00D96162" w:rsidRPr="008F5967" w:rsidRDefault="000C5030" w:rsidP="00242493">
      <w:pPr>
        <w:spacing w:line="480" w:lineRule="auto"/>
        <w:ind w:firstLine="720"/>
        <w:rPr>
          <w:sz w:val="22"/>
          <w:szCs w:val="22"/>
        </w:rPr>
      </w:pPr>
      <w:r w:rsidRPr="008F5967">
        <w:rPr>
          <w:sz w:val="22"/>
          <w:szCs w:val="22"/>
        </w:rPr>
        <w:t>Results are presented in Table S</w:t>
      </w:r>
      <w:r w:rsidR="008E29B9">
        <w:rPr>
          <w:sz w:val="22"/>
          <w:szCs w:val="22"/>
        </w:rPr>
        <w:t>4</w:t>
      </w:r>
      <w:r w:rsidRPr="008F5967">
        <w:rPr>
          <w:sz w:val="22"/>
          <w:szCs w:val="22"/>
        </w:rPr>
        <w:t xml:space="preserve">. The Wald and profile-likelihood CIs were essentially identical for both a-path intervention coefficients, agreeing to within 0.003 units on both bounds. The significant Wald inference for the importance a-path (b = 0.73, 95% CI [0.17, 1.29]) was confirmed by profile likelihood (95% CI [0.17, 1.29]); the non-significant Wald inference for the confidence a-path (b = 0.27, 95% CI [−0.35, 0.89]) was similarly confirmed (profile CI [−0.35, 0.89]). The small-sample concern with Wald inference was therefore not </w:t>
      </w:r>
      <w:r w:rsidRPr="008F5967">
        <w:rPr>
          <w:sz w:val="22"/>
          <w:szCs w:val="22"/>
        </w:rPr>
        <w:t>realized in these data, and the substantive conclusions about the a-paths are robust to the choice of confidence-interval method.</w:t>
      </w:r>
    </w:p>
    <w:p w14:paraId="4F325709" w14:textId="38253CD6" w:rsidR="00D96162" w:rsidRPr="008F5967" w:rsidRDefault="000C5030" w:rsidP="00242493">
      <w:pPr>
        <w:spacing w:line="480" w:lineRule="auto"/>
        <w:rPr>
          <w:sz w:val="22"/>
          <w:szCs w:val="22"/>
        </w:rPr>
      </w:pPr>
      <w:r w:rsidRPr="008F5967">
        <w:rPr>
          <w:b/>
          <w:bCs/>
          <w:sz w:val="22"/>
          <w:szCs w:val="22"/>
        </w:rPr>
        <w:t>Table S</w:t>
      </w:r>
      <w:r w:rsidR="003A792C">
        <w:rPr>
          <w:b/>
          <w:bCs/>
          <w:sz w:val="22"/>
          <w:szCs w:val="22"/>
        </w:rPr>
        <w:t>4</w:t>
      </w:r>
    </w:p>
    <w:p w14:paraId="5941E496" w14:textId="77777777" w:rsidR="00D96162" w:rsidRPr="008F5967" w:rsidRDefault="000C5030" w:rsidP="00242493">
      <w:pPr>
        <w:spacing w:line="480" w:lineRule="auto"/>
        <w:rPr>
          <w:sz w:val="22"/>
          <w:szCs w:val="22"/>
        </w:rPr>
      </w:pPr>
      <w:r w:rsidRPr="008F5967">
        <w:rPr>
          <w:i/>
          <w:iCs/>
          <w:sz w:val="22"/>
          <w:szCs w:val="22"/>
        </w:rPr>
        <w:t>Profile-Likelihood vs. Wald Confidence Intervals for the A-Path Intervention Coefficient</w:t>
      </w: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2520"/>
        <w:gridCol w:w="1380"/>
        <w:gridCol w:w="2730"/>
        <w:gridCol w:w="2730"/>
      </w:tblGrid>
      <w:tr w:rsidR="00D96162" w:rsidRPr="008F5967" w14:paraId="5D82BCDB" w14:textId="77777777" w:rsidTr="00FB1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4FEB330C" w14:textId="77777777" w:rsidR="00D96162" w:rsidRPr="008F5967" w:rsidRDefault="000C5030" w:rsidP="00242493">
            <w:pPr>
              <w:spacing w:line="480" w:lineRule="auto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Model</w:t>
            </w:r>
          </w:p>
        </w:tc>
        <w:tc>
          <w:tcPr>
            <w:tcW w:w="1380" w:type="dxa"/>
          </w:tcPr>
          <w:p w14:paraId="0D122410" w14:textId="77777777" w:rsidR="00D96162" w:rsidRPr="008F5967" w:rsidRDefault="000C5030" w:rsidP="0024249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Estimate (b)</w:t>
            </w:r>
          </w:p>
        </w:tc>
        <w:tc>
          <w:tcPr>
            <w:tcW w:w="2730" w:type="dxa"/>
          </w:tcPr>
          <w:p w14:paraId="0BFE1EFB" w14:textId="77777777" w:rsidR="00D96162" w:rsidRPr="008F5967" w:rsidRDefault="000C5030" w:rsidP="0024249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Wald 95% CI</w:t>
            </w:r>
          </w:p>
        </w:tc>
        <w:tc>
          <w:tcPr>
            <w:tcW w:w="2730" w:type="dxa"/>
          </w:tcPr>
          <w:p w14:paraId="2EF73A42" w14:textId="77777777" w:rsidR="00D96162" w:rsidRPr="008F5967" w:rsidRDefault="000C5030" w:rsidP="0024249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Profile-likelihood 95% CI</w:t>
            </w:r>
          </w:p>
        </w:tc>
      </w:tr>
      <w:tr w:rsidR="00D96162" w:rsidRPr="008F5967" w14:paraId="6AFBB428" w14:textId="77777777" w:rsidTr="00FB1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bottom w:val="nil"/>
              <w:right w:val="nil"/>
            </w:tcBorders>
          </w:tcPr>
          <w:p w14:paraId="64CCA678" w14:textId="77777777" w:rsidR="00D96162" w:rsidRPr="008F5967" w:rsidRDefault="000C5030" w:rsidP="00242493">
            <w:pPr>
              <w:spacing w:line="480" w:lineRule="auto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A-path: Importance</w:t>
            </w:r>
          </w:p>
        </w:tc>
        <w:tc>
          <w:tcPr>
            <w:tcW w:w="1380" w:type="dxa"/>
            <w:tcBorders>
              <w:left w:val="nil"/>
              <w:bottom w:val="nil"/>
              <w:right w:val="nil"/>
            </w:tcBorders>
          </w:tcPr>
          <w:p w14:paraId="1A1B2336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0.73</w:t>
            </w:r>
          </w:p>
        </w:tc>
        <w:tc>
          <w:tcPr>
            <w:tcW w:w="2730" w:type="dxa"/>
            <w:tcBorders>
              <w:left w:val="nil"/>
              <w:bottom w:val="nil"/>
              <w:right w:val="nil"/>
            </w:tcBorders>
          </w:tcPr>
          <w:p w14:paraId="1E228B63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[0.17, 1.29]</w:t>
            </w:r>
          </w:p>
        </w:tc>
        <w:tc>
          <w:tcPr>
            <w:tcW w:w="2730" w:type="dxa"/>
            <w:tcBorders>
              <w:left w:val="nil"/>
              <w:bottom w:val="nil"/>
            </w:tcBorders>
          </w:tcPr>
          <w:p w14:paraId="2E4A145B" w14:textId="77777777" w:rsidR="00D96162" w:rsidRPr="008F5967" w:rsidRDefault="000C5030" w:rsidP="0024249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[0.17, 1.29]</w:t>
            </w:r>
          </w:p>
        </w:tc>
      </w:tr>
      <w:tr w:rsidR="00D96162" w:rsidRPr="008F5967" w14:paraId="388203D7" w14:textId="77777777" w:rsidTr="00FB1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14:paraId="553B5F36" w14:textId="77777777" w:rsidR="00D96162" w:rsidRPr="008F5967" w:rsidRDefault="000C5030" w:rsidP="00242493">
            <w:pPr>
              <w:spacing w:line="480" w:lineRule="auto"/>
              <w:rPr>
                <w:sz w:val="22"/>
                <w:szCs w:val="22"/>
              </w:rPr>
            </w:pPr>
            <w:r w:rsidRPr="008F5967">
              <w:rPr>
                <w:b w:val="0"/>
                <w:bCs w:val="0"/>
                <w:sz w:val="22"/>
                <w:szCs w:val="22"/>
              </w:rPr>
              <w:t>A-path: Confidence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1C07E0C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0.27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0B06DA0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[−0.35, 0.89]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14:paraId="7B6A4FBD" w14:textId="77777777" w:rsidR="00D96162" w:rsidRPr="008F5967" w:rsidRDefault="000C5030" w:rsidP="0024249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F5967">
              <w:rPr>
                <w:sz w:val="22"/>
                <w:szCs w:val="22"/>
              </w:rPr>
              <w:t>[−0.35, 0.89]</w:t>
            </w:r>
          </w:p>
        </w:tc>
      </w:tr>
    </w:tbl>
    <w:p w14:paraId="08828711" w14:textId="4F250730" w:rsidR="00D96162" w:rsidRPr="008F5967" w:rsidRDefault="000C5030" w:rsidP="00242493">
      <w:pPr>
        <w:spacing w:line="480" w:lineRule="auto"/>
        <w:rPr>
          <w:sz w:val="22"/>
          <w:szCs w:val="22"/>
        </w:rPr>
      </w:pPr>
      <w:r w:rsidRPr="008F5967">
        <w:rPr>
          <w:i/>
          <w:iCs/>
          <w:sz w:val="22"/>
          <w:szCs w:val="22"/>
        </w:rPr>
        <w:t>Note</w:t>
      </w:r>
      <w:r w:rsidRPr="008F5967">
        <w:rPr>
          <w:sz w:val="22"/>
          <w:szCs w:val="22"/>
        </w:rPr>
        <w:t xml:space="preserve">. Wald CIs were computed as </w:t>
      </w:r>
      <w:r w:rsidRPr="008F5967">
        <w:rPr>
          <w:i/>
          <w:iCs/>
          <w:sz w:val="22"/>
          <w:szCs w:val="22"/>
        </w:rPr>
        <w:t>b</w:t>
      </w:r>
      <w:r w:rsidRPr="008F5967">
        <w:rPr>
          <w:sz w:val="22"/>
          <w:szCs w:val="22"/>
        </w:rPr>
        <w:t xml:space="preserve"> ± 1.96 × </w:t>
      </w:r>
      <w:r w:rsidRPr="008F5967">
        <w:rPr>
          <w:i/>
          <w:iCs/>
          <w:sz w:val="22"/>
          <w:szCs w:val="22"/>
        </w:rPr>
        <w:t>SE</w:t>
      </w:r>
      <w:r w:rsidRPr="008F5967">
        <w:rPr>
          <w:sz w:val="22"/>
          <w:szCs w:val="22"/>
        </w:rPr>
        <w:t>; profile-likelihood CIs were computed by inverting the likelihood-ratio test as implemented in the lme4 package (Bates et al., 2015b).</w:t>
      </w:r>
    </w:p>
    <w:p w14:paraId="12844D5A" w14:textId="2579F22A" w:rsidR="00D96162" w:rsidRPr="008F5967" w:rsidRDefault="00D96162" w:rsidP="00242493">
      <w:pPr>
        <w:spacing w:line="480" w:lineRule="auto"/>
        <w:ind w:firstLine="720"/>
        <w:rPr>
          <w:sz w:val="22"/>
          <w:szCs w:val="22"/>
        </w:rPr>
      </w:pPr>
    </w:p>
    <w:sectPr w:rsidR="00D96162" w:rsidRPr="008F5967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456"/>
    <w:multiLevelType w:val="hybridMultilevel"/>
    <w:tmpl w:val="6A74867E"/>
    <w:lvl w:ilvl="0" w:tplc="23F858CA">
      <w:start w:val="1"/>
      <w:numFmt w:val="bullet"/>
      <w:lvlText w:val="●"/>
      <w:lvlJc w:val="left"/>
      <w:pPr>
        <w:ind w:left="720" w:hanging="360"/>
      </w:pPr>
    </w:lvl>
    <w:lvl w:ilvl="1" w:tplc="A3662F3C">
      <w:start w:val="1"/>
      <w:numFmt w:val="bullet"/>
      <w:lvlText w:val="○"/>
      <w:lvlJc w:val="left"/>
      <w:pPr>
        <w:ind w:left="1440" w:hanging="360"/>
      </w:pPr>
    </w:lvl>
    <w:lvl w:ilvl="2" w:tplc="6C183510">
      <w:start w:val="1"/>
      <w:numFmt w:val="bullet"/>
      <w:lvlText w:val="■"/>
      <w:lvlJc w:val="left"/>
      <w:pPr>
        <w:ind w:left="2160" w:hanging="360"/>
      </w:pPr>
    </w:lvl>
    <w:lvl w:ilvl="3" w:tplc="2F4CC3F2">
      <w:start w:val="1"/>
      <w:numFmt w:val="bullet"/>
      <w:lvlText w:val="●"/>
      <w:lvlJc w:val="left"/>
      <w:pPr>
        <w:ind w:left="2880" w:hanging="360"/>
      </w:pPr>
    </w:lvl>
    <w:lvl w:ilvl="4" w:tplc="A4FAA98E">
      <w:start w:val="1"/>
      <w:numFmt w:val="bullet"/>
      <w:lvlText w:val="○"/>
      <w:lvlJc w:val="left"/>
      <w:pPr>
        <w:ind w:left="3600" w:hanging="360"/>
      </w:pPr>
    </w:lvl>
    <w:lvl w:ilvl="5" w:tplc="4B3466D8">
      <w:start w:val="1"/>
      <w:numFmt w:val="bullet"/>
      <w:lvlText w:val="■"/>
      <w:lvlJc w:val="left"/>
      <w:pPr>
        <w:ind w:left="4320" w:hanging="360"/>
      </w:pPr>
    </w:lvl>
    <w:lvl w:ilvl="6" w:tplc="C8CE39D4">
      <w:start w:val="1"/>
      <w:numFmt w:val="bullet"/>
      <w:lvlText w:val="●"/>
      <w:lvlJc w:val="left"/>
      <w:pPr>
        <w:ind w:left="5040" w:hanging="360"/>
      </w:pPr>
    </w:lvl>
    <w:lvl w:ilvl="7" w:tplc="E2883546">
      <w:start w:val="1"/>
      <w:numFmt w:val="bullet"/>
      <w:lvlText w:val="●"/>
      <w:lvlJc w:val="left"/>
      <w:pPr>
        <w:ind w:left="5760" w:hanging="360"/>
      </w:pPr>
    </w:lvl>
    <w:lvl w:ilvl="8" w:tplc="1534EE06">
      <w:start w:val="1"/>
      <w:numFmt w:val="bullet"/>
      <w:lvlText w:val="●"/>
      <w:lvlJc w:val="left"/>
      <w:pPr>
        <w:ind w:left="6480" w:hanging="360"/>
      </w:pPr>
    </w:lvl>
  </w:abstractNum>
  <w:num w:numId="1" w16cid:durableId="17156900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62"/>
    <w:rsid w:val="000C5030"/>
    <w:rsid w:val="00137B48"/>
    <w:rsid w:val="00242493"/>
    <w:rsid w:val="003A2983"/>
    <w:rsid w:val="003A792C"/>
    <w:rsid w:val="0048692A"/>
    <w:rsid w:val="004C270A"/>
    <w:rsid w:val="00734115"/>
    <w:rsid w:val="008E29B9"/>
    <w:rsid w:val="008F5967"/>
    <w:rsid w:val="00997A2B"/>
    <w:rsid w:val="009C1C00"/>
    <w:rsid w:val="00A27BBF"/>
    <w:rsid w:val="00AB4306"/>
    <w:rsid w:val="00AE534F"/>
    <w:rsid w:val="00C72CFB"/>
    <w:rsid w:val="00CC7D6A"/>
    <w:rsid w:val="00D96162"/>
    <w:rsid w:val="00EC2C4F"/>
    <w:rsid w:val="00FB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F9B32"/>
  <w15:docId w15:val="{B43A46E5-E69B-4126-BD18-DC663DF2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PlainTable2">
    <w:name w:val="Plain Table 2"/>
    <w:basedOn w:val="TableNormal"/>
    <w:uiPriority w:val="42"/>
    <w:rsid w:val="00FB106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Emphasis">
    <w:name w:val="Emphasis"/>
    <w:basedOn w:val="DefaultParagraphFont"/>
    <w:uiPriority w:val="20"/>
    <w:qFormat/>
    <w:rsid w:val="00EC2C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3F4EDE27EA14494F00D8AD513EF35" ma:contentTypeVersion="6" ma:contentTypeDescription="Create a new document." ma:contentTypeScope="" ma:versionID="c1d7e95ce4be507bc3fa8f5d16ae145e">
  <xsd:schema xmlns:xsd="http://www.w3.org/2001/XMLSchema" xmlns:xs="http://www.w3.org/2001/XMLSchema" xmlns:p="http://schemas.microsoft.com/office/2006/metadata/properties" xmlns:ns3="fd8c660d-0652-4880-820a-8a83f054749f" targetNamespace="http://schemas.microsoft.com/office/2006/metadata/properties" ma:root="true" ma:fieldsID="c06aa08027b9da16ef31e5461055369f" ns3:_="">
    <xsd:import namespace="fd8c660d-0652-4880-820a-8a83f054749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c660d-0652-4880-820a-8a83f054749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8c660d-0652-4880-820a-8a83f05474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980BE-0A03-4444-9705-653356F56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c660d-0652-4880-820a-8a83f054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804C4-C63D-42F7-A74E-177E7C463E59}">
  <ds:schemaRefs>
    <ds:schemaRef ds:uri="http://schemas.microsoft.com/office/2006/metadata/properties"/>
    <ds:schemaRef ds:uri="http://schemas.microsoft.com/office/infopath/2007/PartnerControls"/>
    <ds:schemaRef ds:uri="fd8c660d-0652-4880-820a-8a83f054749f"/>
  </ds:schemaRefs>
</ds:datastoreItem>
</file>

<file path=customXml/itemProps3.xml><?xml version="1.0" encoding="utf-8"?>
<ds:datastoreItem xmlns:ds="http://schemas.openxmlformats.org/officeDocument/2006/customXml" ds:itemID="{FE39F281-D8C9-4F67-82B6-22C3F17C2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CADRE AUD P1</dc:creator>
  <cp:lastModifiedBy>Aggarwal, Abhishek</cp:lastModifiedBy>
  <cp:revision>2</cp:revision>
  <dcterms:created xsi:type="dcterms:W3CDTF">2026-06-05T18:59:00Z</dcterms:created>
  <dcterms:modified xsi:type="dcterms:W3CDTF">2026-06-05T18:59:00Z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0x0101002663F4EDE27EA14494F00D8AD513EF35</vt:lpwstr>
  </property>
</Properties>
</file>