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634C" w14:textId="7C16AFB7" w:rsidR="00C63630" w:rsidRPr="00B912CE" w:rsidRDefault="00B912CE" w:rsidP="00B91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2CE">
        <w:rPr>
          <w:rFonts w:ascii="Times New Roman" w:hAnsi="Times New Roman" w:cs="Times New Roman"/>
          <w:b/>
          <w:bCs/>
          <w:sz w:val="28"/>
          <w:szCs w:val="28"/>
        </w:rPr>
        <w:t>Highlights</w:t>
      </w:r>
    </w:p>
    <w:p w14:paraId="3767C852" w14:textId="77777777" w:rsidR="00B912CE" w:rsidRPr="00B912CE" w:rsidRDefault="00B912CE" w:rsidP="00B912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708CA" w14:textId="77777777" w:rsidR="00B912CE" w:rsidRPr="00B912CE" w:rsidRDefault="00B912CE" w:rsidP="00B912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2CE">
        <w:rPr>
          <w:rFonts w:ascii="Times New Roman" w:hAnsi="Times New Roman" w:cs="Times New Roman"/>
          <w:sz w:val="28"/>
          <w:szCs w:val="28"/>
        </w:rPr>
        <w:t>Seasonal hiring drives labor volatility and low retention in Egypt's hospitality.</w:t>
      </w:r>
    </w:p>
    <w:p w14:paraId="02892100" w14:textId="77777777" w:rsidR="00B912CE" w:rsidRPr="00B912CE" w:rsidRDefault="00B912CE" w:rsidP="00B912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2CE">
        <w:rPr>
          <w:rFonts w:ascii="Times New Roman" w:hAnsi="Times New Roman" w:cs="Times New Roman"/>
          <w:sz w:val="28"/>
          <w:szCs w:val="28"/>
        </w:rPr>
        <w:t>Minimum wage violations significantly reduce employee commitment and stability.</w:t>
      </w:r>
    </w:p>
    <w:p w14:paraId="61C3BAE4" w14:textId="77777777" w:rsidR="00B912CE" w:rsidRPr="00B912CE" w:rsidRDefault="00B912CE" w:rsidP="00B912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2CE">
        <w:rPr>
          <w:rFonts w:ascii="Times New Roman" w:hAnsi="Times New Roman" w:cs="Times New Roman"/>
          <w:sz w:val="28"/>
          <w:szCs w:val="28"/>
        </w:rPr>
        <w:t>An adaptive employment pooling model is proposed to stabilize labor supply.</w:t>
      </w:r>
    </w:p>
    <w:p w14:paraId="2CE59805" w14:textId="77777777" w:rsidR="00B912CE" w:rsidRPr="00B912CE" w:rsidRDefault="00B912CE" w:rsidP="00B912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2CE">
        <w:rPr>
          <w:rFonts w:ascii="Times New Roman" w:hAnsi="Times New Roman" w:cs="Times New Roman"/>
          <w:sz w:val="28"/>
          <w:szCs w:val="28"/>
        </w:rPr>
        <w:t>A unified competence matrix ensures transferable skills across hotel consortia.</w:t>
      </w:r>
    </w:p>
    <w:p w14:paraId="7F05C477" w14:textId="77777777" w:rsidR="00B912CE" w:rsidRPr="00B912CE" w:rsidRDefault="00B912CE" w:rsidP="00B912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2CE">
        <w:rPr>
          <w:rFonts w:ascii="Times New Roman" w:hAnsi="Times New Roman" w:cs="Times New Roman"/>
          <w:sz w:val="28"/>
          <w:szCs w:val="28"/>
        </w:rPr>
        <w:t>Consortium funding can mitigate crisis impacts and reduce skilled labor migration.</w:t>
      </w:r>
    </w:p>
    <w:p w14:paraId="7CED97DC" w14:textId="77777777" w:rsidR="00B912CE" w:rsidRPr="00B912CE" w:rsidRDefault="00B912CE" w:rsidP="00B912C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912CE" w:rsidRPr="00B912CE" w:rsidSect="003434C5">
      <w:type w:val="continuous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04A1"/>
    <w:multiLevelType w:val="multilevel"/>
    <w:tmpl w:val="7612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24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CE"/>
    <w:rsid w:val="000C7C95"/>
    <w:rsid w:val="003434C5"/>
    <w:rsid w:val="003951F1"/>
    <w:rsid w:val="00796462"/>
    <w:rsid w:val="008E59C9"/>
    <w:rsid w:val="009C0402"/>
    <w:rsid w:val="00AF3FE4"/>
    <w:rsid w:val="00B912CE"/>
    <w:rsid w:val="00C63630"/>
    <w:rsid w:val="00CF4B55"/>
    <w:rsid w:val="00DE1085"/>
    <w:rsid w:val="00DE7E91"/>
    <w:rsid w:val="00E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C8D0"/>
  <w15:chartTrackingRefBased/>
  <w15:docId w15:val="{35B1D14C-7562-46D5-A059-1993B32D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2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2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2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2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Tawfik</dc:creator>
  <cp:keywords/>
  <dc:description/>
  <cp:lastModifiedBy>Yasser Tawfik</cp:lastModifiedBy>
  <cp:revision>1</cp:revision>
  <dcterms:created xsi:type="dcterms:W3CDTF">2026-03-30T19:11:00Z</dcterms:created>
  <dcterms:modified xsi:type="dcterms:W3CDTF">2026-03-30T19:14:00Z</dcterms:modified>
</cp:coreProperties>
</file>