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FEE18">
      <w:pPr>
        <w:spacing w:after="100" w:afterAutospacing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Times New Roman" w:hAnsi="宋体" w:eastAsia="微软雅黑" w:cs="宋体"/>
          <w:b/>
          <w:bCs/>
          <w:kern w:val="2"/>
          <w:sz w:val="24"/>
          <w:szCs w:val="24"/>
          <w:lang w:val="en-US" w:eastAsia="zh-CN" w:bidi="ar-SA"/>
        </w:rPr>
        <w:t>Oral Surgery Mini-CEX Clinical Skills Assessment Form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308"/>
        <w:gridCol w:w="2"/>
        <w:gridCol w:w="2127"/>
        <w:gridCol w:w="5"/>
        <w:gridCol w:w="5"/>
        <w:gridCol w:w="95"/>
        <w:gridCol w:w="1573"/>
        <w:gridCol w:w="422"/>
        <w:gridCol w:w="3"/>
        <w:gridCol w:w="2152"/>
      </w:tblGrid>
      <w:tr w14:paraId="2E59B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92A09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b/>
                <w:bCs/>
                <w:kern w:val="2"/>
                <w:sz w:val="21"/>
                <w:szCs w:val="24"/>
                <w:lang w:val="en-US" w:eastAsia="zh-CN" w:bidi="ar-SA"/>
              </w:rPr>
              <w:t>essential information</w:t>
            </w:r>
          </w:p>
        </w:tc>
      </w:tr>
      <w:tr w14:paraId="2DD63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pct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5972C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Assessment Date:</w:t>
            </w:r>
          </w:p>
          <w:p w14:paraId="5F4EC5C0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____ Year, __ Month, __ Day</w:t>
            </w:r>
          </w:p>
        </w:tc>
        <w:tc>
          <w:tcPr>
            <w:tcW w:w="1319" w:type="pct"/>
            <w:gridSpan w:val="5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B1B44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Assessment scenarios: □ Complex tooth extraction □ Cystectomy □ Others: ______</w:t>
            </w:r>
          </w:p>
        </w:tc>
        <w:tc>
          <w:tcPr>
            <w:tcW w:w="1178" w:type="pct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693BB">
            <w:pPr>
              <w:spacing w:beforeAutospacing="0" w:afterAutospacing="0"/>
              <w:ind w:right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Assessment of teachers (Associate Senior Level and above)</w:t>
            </w:r>
          </w:p>
        </w:tc>
        <w:tc>
          <w:tcPr>
            <w:tcW w:w="1272" w:type="pct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CF07E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Assessed Person:</w:t>
            </w:r>
          </w:p>
        </w:tc>
      </w:tr>
      <w:tr w14:paraId="47F51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pct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D4076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Type of Surgery</w:t>
            </w:r>
          </w:p>
        </w:tc>
        <w:tc>
          <w:tcPr>
            <w:tcW w:w="1318" w:type="pct"/>
            <w:gridSpan w:val="4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9EE25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Operating time: ____ minutes</w:t>
            </w:r>
          </w:p>
        </w:tc>
        <w:tc>
          <w:tcPr>
            <w:tcW w:w="1180" w:type="pct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0A9F9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Blinded scoring: □ Yes □ No</w:t>
            </w:r>
          </w:p>
        </w:tc>
        <w:tc>
          <w:tcPr>
            <w:tcW w:w="1270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22493">
            <w:pPr>
              <w:spacing w:beforeAutospacing="0" w:afterAutospacing="0"/>
              <w:ind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Score Weight: Average score for each dimension (out of 50)</w:t>
            </w:r>
          </w:p>
        </w:tc>
      </w:tr>
      <w:tr w14:paraId="69C5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AC2FE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b/>
                <w:bCs/>
                <w:kern w:val="2"/>
                <w:sz w:val="21"/>
                <w:szCs w:val="24"/>
                <w:lang w:val="en-US" w:eastAsia="zh-CN" w:bidi="ar-SA"/>
              </w:rPr>
              <w:t>Core Competency Dimension</w:t>
            </w:r>
          </w:p>
        </w:tc>
        <w:tc>
          <w:tcPr>
            <w:tcW w:w="3951" w:type="pct"/>
            <w:gridSpan w:val="10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048B8">
            <w:pPr>
              <w:spacing w:beforeAutospacing="0" w:afterAutospacing="0"/>
              <w:ind w:right="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/>
                <w:bCs/>
                <w:kern w:val="2"/>
                <w:sz w:val="21"/>
                <w:szCs w:val="24"/>
                <w:lang w:val="en-US" w:eastAsia="zh-CN" w:bidi="ar-SA"/>
              </w:rPr>
              <w:t>Scoring Criteria (5-point scale)</w:t>
            </w:r>
          </w:p>
        </w:tc>
      </w:tr>
      <w:tr w14:paraId="41EE7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94986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Preoperative Preparation (5 points)</w:t>
            </w:r>
          </w:p>
        </w:tc>
        <w:tc>
          <w:tcPr>
            <w:tcW w:w="3951" w:type="pct"/>
            <w:gridSpan w:val="10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E5AA2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5 points: The instruments are properly categorized and arranged; imaging data (CBCT/panoramic images) accurately depict the surgical pathway; preoperative communication is comprehensive.</w:t>
            </w:r>
          </w:p>
          <w:p w14:paraId="10A68EBC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4 points: The equipment is basically complete, image annotations are clear, and communication is relatively thorough.</w:t>
            </w:r>
          </w:p>
          <w:p w14:paraId="7EB27FC3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3 points: Missing equipment details, blurred image annotations, and concise communication.</w:t>
            </w:r>
          </w:p>
          <w:p w14:paraId="0E807838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2 points: Disorganized equipment use, absence of imaging guidance, and lack of communication</w:t>
            </w:r>
          </w:p>
          <w:p w14:paraId="068A663C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1 point: Severe lack of preparation, rendering the surgery impossible to perform</w:t>
            </w:r>
          </w:p>
        </w:tc>
      </w:tr>
      <w:tr w14:paraId="428ED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E8D6E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Aseptic Principles (5 points)</w:t>
            </w:r>
          </w:p>
        </w:tc>
        <w:tc>
          <w:tcPr>
            <w:tcW w:w="3951" w:type="pct"/>
            <w:gridSpan w:val="10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98F71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Step 5: Strictly adhere to aseptic techniques (handwashing, wearing gloves, using drapes, and instrument transfer) without any violations.</w:t>
            </w:r>
          </w:p>
          <w:p w14:paraId="7F54801C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4 points: Basic aseptic techniques are followed, with occasional minor violations (e.g., gloves contacting non-aseptic areas).</w:t>
            </w:r>
          </w:p>
          <w:p w14:paraId="4810D9CB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3 points: Some procedures did not meet aseptic standards (e.g., improper use of drapes).</w:t>
            </w:r>
          </w:p>
          <w:p w14:paraId="14DAACF3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2 points: Multiple violations of aseptic principles (e.g., instrument contamination)</w:t>
            </w:r>
          </w:p>
          <w:p w14:paraId="1AB1213C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1 point: Severe violation of aseptic principles, posing an infection risk</w:t>
            </w:r>
          </w:p>
        </w:tc>
      </w:tr>
      <w:tr w14:paraId="6909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4EEA2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Rationality of surgical design (8 points)</w:t>
            </w:r>
          </w:p>
        </w:tc>
        <w:tc>
          <w:tcPr>
            <w:tcW w:w="3951" w:type="pct"/>
            <w:gridSpan w:val="10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58E39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5 points: Personalized surgical approach (based on imaging/pathology), incision design that adheres to anatomical layers, anticipation of potential risks, and establishment of contingency plans.</w:t>
            </w:r>
          </w:p>
          <w:p w14:paraId="392C118F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4 points: The proposal is fundamentally reasonable, with a relatively standardized incision design and a comprehensive contingency plan.</w:t>
            </w:r>
          </w:p>
          <w:p w14:paraId="4FEA8A0A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3 points: The proposal is average; the incision design lacks optimization, and the contingency plan is simplistic.</w:t>
            </w:r>
          </w:p>
          <w:p w14:paraId="7BD21343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2 points: The procedure lacks individualization, the incision design is inappropriate, and there is no emergency response plan.</w:t>
            </w:r>
          </w:p>
          <w:p w14:paraId="6E567FA2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1 point: The protocol is flawed and cannot ensure surgical safety.</w:t>
            </w:r>
          </w:p>
        </w:tc>
      </w:tr>
      <w:tr w14:paraId="4AD7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0D676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Operational Standardization (10 points)</w:t>
            </w:r>
          </w:p>
        </w:tc>
        <w:tc>
          <w:tcPr>
            <w:tcW w:w="3951" w:type="pct"/>
            <w:gridSpan w:val="10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4CED6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5 points: Precise anatomical layer dissection (e.g., design of periosteal flap, creation of bone windows), proficient instrument handling, and smooth surgical movements</w:t>
            </w:r>
          </w:p>
          <w:p w14:paraId="06BBD254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4 points: The hierarchical decomposition is relatively clear; instrument operation is basically proficient; movements appear slightly stiff.</w:t>
            </w:r>
          </w:p>
          <w:p w14:paraId="6A17A5A3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3 points: Ambiguous hierarchical decomposition, non-standardized instrument usage, and slow movement execution</w:t>
            </w:r>
          </w:p>
          <w:p w14:paraId="3EED1BDC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2 points: Confusion in procedural hierarchy, incorrect instrument usage, and disorganized movements</w:t>
            </w:r>
          </w:p>
          <w:p w14:paraId="0BC63E59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1 point: Severe operational error that jeopardizes surgical safety</w:t>
            </w:r>
          </w:p>
        </w:tc>
      </w:tr>
      <w:tr w14:paraId="4213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F142A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Vascular neuroprotection (8 points)</w:t>
            </w:r>
          </w:p>
        </w:tc>
        <w:tc>
          <w:tcPr>
            <w:tcW w:w="3951" w:type="pct"/>
            <w:gridSpan w:val="10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DD41F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5 points: Accurately identify and protect critical structures such as the inferior alveolar nerve and maxillary tubercle vessels, with no intraoperative injury observed.</w:t>
            </w:r>
          </w:p>
          <w:p w14:paraId="03DD0256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4 points: Basic identification of key structures; occasional mild stretching but no substantial damage observed.</w:t>
            </w:r>
          </w:p>
          <w:p w14:paraId="46F63811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Grade 3: Partial structural recognition is unclear, with potential risk of damage</w:t>
            </w:r>
          </w:p>
          <w:p w14:paraId="7322CB78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2 points: Failure to identify critical structures, resulting in neural/vascular injury</w:t>
            </w:r>
          </w:p>
          <w:p w14:paraId="3BA92900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Grade 1: Severe damage to nerves/vessels requiring emergency intervention</w:t>
            </w:r>
          </w:p>
        </w:tc>
      </w:tr>
      <w:tr w14:paraId="1ADAD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F26BD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Adaptability (8 points)</w:t>
            </w:r>
          </w:p>
        </w:tc>
        <w:tc>
          <w:tcPr>
            <w:tcW w:w="3951" w:type="pct"/>
            <w:gridSpan w:val="10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D0984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5 points: Decisive and scientifically effective management of intraoperative emergencies (e.g., hemorrhage, fracture, infection).</w:t>
            </w:r>
          </w:p>
          <w:p w14:paraId="3D6CAF1E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4 points: Basic response to emergencies with relatively reasonable measures</w:t>
            </w:r>
          </w:p>
          <w:p w14:paraId="57D0D215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Grade 3: Delayed response with inadequate measures</w:t>
            </w:r>
          </w:p>
          <w:p w14:paraId="3501A00A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2 points: Unable to handle emergencies; teacher intervention required</w:t>
            </w:r>
          </w:p>
          <w:p w14:paraId="01036E54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1 point: Treatment error exacerbating the condition</w:t>
            </w:r>
          </w:p>
        </w:tc>
      </w:tr>
      <w:tr w14:paraId="4CFD2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0479A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Digital Design Integrity (5 points)</w:t>
            </w:r>
          </w:p>
        </w:tc>
        <w:tc>
          <w:tcPr>
            <w:tcW w:w="3951" w:type="pct"/>
            <w:gridSpan w:val="10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B3FC1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5 points: Preoperative digital planning (e.g., virtual osteotomy, guide design) is comprehensive; intraoperative execution is precise; and the postoperative follow-up protocol is well-defined.</w:t>
            </w:r>
          </w:p>
          <w:p w14:paraId="2C44F600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4 points: The digital planning is essentially complete, intraoperative execution is relatively accurate, and the follow-up protocol is comprehensive.</w:t>
            </w:r>
          </w:p>
          <w:p w14:paraId="309E95C9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3 points: The digital planning is simplistic, intraoperative execution lacks precision, and the follow-up protocol is overly brief.</w:t>
            </w:r>
          </w:p>
          <w:p w14:paraId="19EF6CA8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2 points: No digital planning; intraoperative procedure relies solely on experience; no follow-up protocol</w:t>
            </w:r>
          </w:p>
          <w:p w14:paraId="0DA63004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1 point: Digital design error leading to surgical failure</w:t>
            </w:r>
          </w:p>
        </w:tc>
      </w:tr>
      <w:tr w14:paraId="33ACB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05942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Precautions during and after surgery (1 point)</w:t>
            </w:r>
          </w:p>
        </w:tc>
        <w:tc>
          <w:tcPr>
            <w:tcW w:w="3951" w:type="pct"/>
            <w:gridSpan w:val="10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2E4C9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5 points: Complete intraoperative hemostasis was achieved, and postoperative instructions (including antibiotic use, dietary guidance, and follow-up schedule) were comprehensive and personalized.</w:t>
            </w:r>
          </w:p>
          <w:p w14:paraId="0758F23A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4 points: Intraoperative hemostasis was essentially achieved, and postoperative medical orders were comprehensive.</w:t>
            </w:r>
          </w:p>
          <w:p w14:paraId="70001361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3 points: Inadequate intraoperative hemostasis and concise postoperative instructions</w:t>
            </w:r>
          </w:p>
          <w:p w14:paraId="3ACD5DD7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2 points: Improper intraoperative hemostasis and absence of postoperative medical instructions</w:t>
            </w:r>
          </w:p>
          <w:p w14:paraId="024AF834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1 point: Intraoperative bleeding was not controlled, and postoperative medical orders were incorrect.</w:t>
            </w:r>
          </w:p>
        </w:tc>
      </w:tr>
      <w:tr w14:paraId="44524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5F98C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b/>
                <w:bCs/>
                <w:kern w:val="2"/>
                <w:sz w:val="21"/>
                <w:szCs w:val="24"/>
                <w:lang w:val="en-US" w:eastAsia="zh-CN" w:bidi="ar-SA"/>
              </w:rPr>
              <w:t>Relevant scoring</w:t>
            </w:r>
          </w:p>
        </w:tc>
        <w:tc>
          <w:tcPr>
            <w:tcW w:w="3951" w:type="pct"/>
            <w:gridSpan w:val="10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C7F2C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b/>
                <w:bCs/>
                <w:kern w:val="2"/>
                <w:sz w:val="21"/>
                <w:szCs w:val="24"/>
                <w:lang w:val="en-US" w:eastAsia="zh-CN" w:bidi="ar-SA"/>
              </w:rPr>
              <w:t>detailed information</w:t>
            </w:r>
          </w:p>
        </w:tc>
      </w:tr>
      <w:tr w14:paraId="6A6A9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D0DB2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Score Weight</w:t>
            </w:r>
          </w:p>
        </w:tc>
        <w:tc>
          <w:tcPr>
            <w:tcW w:w="3951" w:type="pct"/>
            <w:gridSpan w:val="10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F77AB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Evenly distributed across all dimensions (total score: 50)</w:t>
            </w:r>
          </w:p>
        </w:tc>
      </w:tr>
      <w:tr w14:paraId="3CDA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62737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Teacher 1's Rating</w:t>
            </w:r>
          </w:p>
        </w:tc>
        <w:tc>
          <w:tcPr>
            <w:tcW w:w="1442" w:type="pct"/>
            <w:gridSpan w:val="4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A4E8C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-</w:t>
            </w:r>
          </w:p>
        </w:tc>
        <w:tc>
          <w:tcPr>
            <w:tcW w:w="988" w:type="pct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9F700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Teacher 2's Rating</w:t>
            </w:r>
          </w:p>
        </w:tc>
        <w:tc>
          <w:tcPr>
            <w:tcW w:w="1521" w:type="pct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EFC2F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-</w:t>
            </w:r>
          </w:p>
        </w:tc>
      </w:tr>
      <w:tr w14:paraId="0717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D5690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Weighted Score</w:t>
            </w:r>
          </w:p>
        </w:tc>
        <w:tc>
          <w:tcPr>
            <w:tcW w:w="3951" w:type="pct"/>
            <w:gridSpan w:val="10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534C6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-</w:t>
            </w:r>
          </w:p>
        </w:tc>
      </w:tr>
      <w:tr w14:paraId="3E555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4B2B7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b/>
                <w:bCs/>
                <w:kern w:val="2"/>
                <w:sz w:val="21"/>
                <w:szCs w:val="24"/>
                <w:lang w:val="en-US" w:eastAsia="zh-CN" w:bidi="ar-SA"/>
              </w:rPr>
              <w:t>total points</w:t>
            </w:r>
          </w:p>
        </w:tc>
        <w:tc>
          <w:tcPr>
            <w:tcW w:w="1445" w:type="pct"/>
            <w:gridSpan w:val="5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5D961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______ points (out of 50)</w:t>
            </w:r>
          </w:p>
        </w:tc>
        <w:tc>
          <w:tcPr>
            <w:tcW w:w="985" w:type="pct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E762A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grade</w:t>
            </w:r>
          </w:p>
        </w:tc>
        <w:tc>
          <w:tcPr>
            <w:tcW w:w="1521" w:type="pct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622C1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18"/>
                <w:szCs w:val="21"/>
                <w:lang w:val="en-US" w:eastAsia="zh-CN" w:bidi="ar-SA"/>
              </w:rPr>
              <w:t>□ Excellent (≥45 points) □ Good (35–44 points) □ Qualified (25–34 points) □ Needs improvement (&lt;25 points)</w:t>
            </w:r>
          </w:p>
        </w:tc>
      </w:tr>
      <w:tr w14:paraId="4F65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4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65F60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Comprehensive Teacher Evaluation Comment</w:t>
            </w:r>
          </w:p>
        </w:tc>
        <w:tc>
          <w:tcPr>
            <w:tcW w:w="3951" w:type="pct"/>
            <w:gridSpan w:val="10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5FD94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(Include strengths, weaknesses, and improvement suggestions)</w:t>
            </w:r>
          </w:p>
        </w:tc>
      </w:tr>
      <w:tr w14:paraId="0ECE5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04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46E47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The person being assessed signs.</w:t>
            </w:r>
          </w:p>
        </w:tc>
        <w:tc>
          <w:tcPr>
            <w:tcW w:w="1439" w:type="pct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42E41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______________</w:t>
            </w:r>
          </w:p>
        </w:tc>
        <w:tc>
          <w:tcPr>
            <w:tcW w:w="991" w:type="pct"/>
            <w:gridSpan w:val="4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B04EA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21"/>
                <w:szCs w:val="24"/>
                <w:lang w:val="en-US" w:eastAsia="zh-CN" w:bidi="ar-SA"/>
              </w:rPr>
              <w:t>Teacher Signature</w:t>
            </w:r>
          </w:p>
        </w:tc>
        <w:tc>
          <w:tcPr>
            <w:tcW w:w="1521" w:type="pct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5CB7F">
            <w:pPr>
              <w:spacing w:beforeAutospacing="0" w:afterAutospacing="0"/>
              <w:ind w:right="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 w14:paraId="5481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1A3C6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  <w:t>direction for use</w:t>
            </w:r>
          </w:p>
        </w:tc>
        <w:tc>
          <w:tcPr>
            <w:tcW w:w="3951" w:type="pct"/>
            <w:gridSpan w:val="10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9FCBF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  <w:t>detailed information</w:t>
            </w:r>
          </w:p>
        </w:tc>
      </w:tr>
      <w:tr w14:paraId="36932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2AA5A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18"/>
                <w:szCs w:val="18"/>
                <w:lang w:val="en-US" w:eastAsia="zh-CN" w:bidi="ar-SA"/>
              </w:rPr>
              <w:t>Score consistency</w:t>
            </w:r>
          </w:p>
        </w:tc>
        <w:tc>
          <w:tcPr>
            <w:tcW w:w="3951" w:type="pct"/>
            <w:gridSpan w:val="10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89815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18"/>
                <w:szCs w:val="18"/>
                <w:lang w:val="en-US" w:eastAsia="zh-CN" w:bidi="ar-SA"/>
              </w:rPr>
              <w:t>Two teachers conducted independent blinded scoring and calculated a weighted average score (with weights adjusted according to specific scenarios; for example, complex tooth extraction emphasizes "vascular and neural protection," while cyst excision focuses on "surgical design").</w:t>
            </w:r>
          </w:p>
        </w:tc>
      </w:tr>
      <w:tr w14:paraId="3B037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7F2E4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18"/>
                <w:szCs w:val="18"/>
                <w:lang w:val="en-US" w:eastAsia="zh-CN" w:bidi="ar-SA"/>
              </w:rPr>
              <w:t>Scene Adaptation</w:t>
            </w:r>
          </w:p>
        </w:tc>
        <w:tc>
          <w:tcPr>
            <w:tcW w:w="3951" w:type="pct"/>
            <w:gridSpan w:val="10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6F044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18"/>
                <w:szCs w:val="18"/>
                <w:lang w:val="en-US" w:eastAsia="zh-CN" w:bidi="ar-SA"/>
              </w:rPr>
              <w:t>The dimension weights can be adjusted according to specific surgical types (for example, the weight of "digital design integrity" is increased to 20% in digital guide surgery).</w:t>
            </w:r>
          </w:p>
        </w:tc>
      </w:tr>
      <w:tr w14:paraId="771C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5ECA0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18"/>
                <w:szCs w:val="18"/>
                <w:lang w:val="en-US" w:eastAsia="zh-CN" w:bidi="ar-SA"/>
              </w:rPr>
              <w:t>data logging</w:t>
            </w:r>
          </w:p>
        </w:tc>
        <w:tc>
          <w:tcPr>
            <w:tcW w:w="3951" w:type="pct"/>
            <w:gridSpan w:val="10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A3395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18"/>
                <w:szCs w:val="18"/>
                <w:lang w:val="en-US" w:eastAsia="zh-CN" w:bidi="ar-SA"/>
              </w:rPr>
              <w:t>The accompanying design includes the "Mini-CEX Scoring Record Form," which documents the original scores, improvement measures, and follow-up results for each assessment, facilitating statistical analysis.</w:t>
            </w:r>
          </w:p>
        </w:tc>
      </w:tr>
      <w:tr w14:paraId="109F7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19269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18"/>
                <w:szCs w:val="18"/>
                <w:lang w:val="en-US" w:eastAsia="zh-CN" w:bidi="ar-SA"/>
              </w:rPr>
              <w:t>Ethical Statement</w:t>
            </w:r>
          </w:p>
        </w:tc>
        <w:tc>
          <w:tcPr>
            <w:tcW w:w="3951" w:type="pct"/>
            <w:gridSpan w:val="10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6BB30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kern w:val="2"/>
                <w:sz w:val="18"/>
                <w:szCs w:val="18"/>
                <w:lang w:val="en-US" w:eastAsia="zh-CN" w:bidi="ar-SA"/>
              </w:rPr>
              <w:t>This study has been approved by the Ethics Committee of the Second Hospital of Shanxi Medical University (Approval No.:), and all participants have signed the informed consent form.</w:t>
            </w:r>
          </w:p>
        </w:tc>
      </w:tr>
    </w:tbl>
    <w:p w14:paraId="2E99EF4A">
      <w:pPr>
        <w:spacing w:after="100" w:afterAutospacing="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E1F1C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15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Times New Roman" w:hAnsi="宋体" w:eastAsia="微软雅黑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Consistency Testing Form for the Mini-CEX Score in Oral Surgery</w:t>
      </w:r>
    </w:p>
    <w:p w14:paraId="11948C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textAlignment w:val="baseline"/>
        <w:rPr>
          <w:rFonts w:hint="eastAsia" w:ascii="Arial" w:hAnsi="Arial" w:cs="Arial" w:eastAsiaTheme="minorEastAsia"/>
          <w:i w:val="0"/>
          <w:iCs w:val="0"/>
          <w:caps w:val="0"/>
          <w:color w:val="333333"/>
          <w:spacing w:val="0"/>
          <w:sz w:val="16"/>
          <w:szCs w:val="16"/>
          <w:shd w:val="clear" w:fill="FFFFFF"/>
          <w:vertAlign w:val="baseline"/>
          <w:lang w:eastAsia="zh-CN"/>
        </w:rPr>
      </w:pPr>
      <w:r>
        <w:rPr>
          <w:rFonts w:hint="eastAsia" w:ascii="Times New Roman" w:hAnsi="Arial" w:eastAsia="微软雅黑" w:cs="Arial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vertAlign w:val="baseline"/>
          <w:lang w:val="en-US" w:eastAsia="zh-CN" w:bidi="ar"/>
        </w:rPr>
        <w:t>(Based on Cohen's Kappa coefficient, used to assess consistency between blind ratings by two evaluators)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190"/>
        <w:gridCol w:w="1052"/>
        <w:gridCol w:w="2670"/>
      </w:tblGrid>
      <w:tr w14:paraId="782D3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宋体" w:eastAsia="微软雅黑" w:cs="宋体"/>
                <w:b/>
                <w:bCs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dimension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9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宋体" w:eastAsia="微软雅黑" w:cs="宋体"/>
                <w:b/>
                <w:bCs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Frequency Table of Consistency in Scoring (Distribution of Scores by Two Teachers)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C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宋体" w:eastAsia="微软雅黑" w:cs="宋体"/>
                <w:b/>
                <w:bCs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Kappa value (k)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EC1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宋体" w:eastAsia="微软雅黑" w:cs="宋体"/>
                <w:b/>
                <w:bCs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Consistency Level (Evaluation Criteria)</w:t>
            </w:r>
          </w:p>
        </w:tc>
      </w:tr>
      <w:tr w14:paraId="67425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E9B4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7"/>
                <w:lang w:val="en-US" w:eastAsia="zh-CN" w:bidi="ar"/>
              </w:rPr>
            </w:pPr>
          </w:p>
          <w:p w14:paraId="03A46A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宋体" w:eastAsia="微软雅黑" w:cs="宋体"/>
                <w:b/>
                <w:bCs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Preparation Before Operation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B5EA3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lang w:val="en-US" w:eastAsia="zh-CN" w:bidi="ar"/>
              </w:rPr>
            </w:pPr>
          </w:p>
          <w:p w14:paraId="02CE6F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eastAsia"/>
                <w:lang w:val="en-US" w:eastAsia="zh-CN" w:bidi="ar"/>
              </w:rPr>
            </w:pPr>
            <w:r>
              <w:rPr>
                <w:rFonts w:hint="eastAsia" w:ascii="Times New Roman" w:hAnsi="宋体" w:eastAsia="微软雅黑" w:cs="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 points: Teacher 1 = people, Teacher 2 = people</w:t>
            </w:r>
          </w:p>
          <w:p w14:paraId="79E9C3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eastAsia"/>
                <w:lang w:val="en-US" w:eastAsia="zh-CN" w:bidi="ar"/>
              </w:rPr>
            </w:pPr>
            <w:r>
              <w:rPr>
                <w:rFonts w:hint="eastAsia" w:ascii="Times New Roman" w:hAnsi="宋体" w:eastAsia="微软雅黑" w:cs="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 points: Teacher 1 = people, Teacher 2 = people</w:t>
            </w:r>
          </w:p>
          <w:p w14:paraId="33AE8F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Fonts w:hint="eastAsia" w:ascii="Times New Roman" w:hAnsi="宋体" w:eastAsia="微软雅黑" w:cs="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 points: Teacher 1 = people, Teacher 2 = people</w:t>
            </w:r>
          </w:p>
          <w:p w14:paraId="54E7CC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eastAsia"/>
                <w:lang w:val="en-US" w:eastAsia="zh-CN" w:bidi="ar"/>
              </w:rPr>
            </w:pPr>
            <w:r>
              <w:rPr>
                <w:rFonts w:hint="eastAsia" w:ascii="Times New Roman" w:hAnsi="宋体" w:eastAsia="微软雅黑" w:cs="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 points: Teacher 1 = people, Teacher 2 = people</w:t>
            </w:r>
          </w:p>
          <w:p w14:paraId="03FBB1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宋体" w:eastAsia="微软雅黑" w:cs="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 minute: Teacher 1 = person, Teacher 2 = person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FBF5C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6FCF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lang w:val="en-US" w:eastAsia="zh-CN" w:bidi="ar"/>
              </w:rPr>
            </w:pPr>
          </w:p>
          <w:p w14:paraId="083B71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lang w:val="en-US" w:eastAsia="zh-CN" w:bidi="ar"/>
              </w:rPr>
            </w:pPr>
            <w:r>
              <w:rPr>
                <w:rFonts w:hint="eastAsia" w:ascii="Times New Roman" w:hAnsi="宋体" w:eastAsia="微软雅黑" w:cs="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□ Excellent (k ≥ 0.8) □ Good</w:t>
            </w:r>
          </w:p>
          <w:p w14:paraId="1E64AE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lang w:val="en-US" w:eastAsia="zh-CN" w:bidi="ar"/>
              </w:rPr>
            </w:pPr>
            <w:r>
              <w:rPr>
                <w:rFonts w:hint="eastAsia" w:ascii="Times New Roman" w:hAnsi="宋体" w:eastAsia="微软雅黑" w:cs="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(0.6 ≤ K &lt;0.8) □ General</w:t>
            </w:r>
          </w:p>
          <w:p w14:paraId="55C096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lang w:val="en-US" w:eastAsia="zh-CN" w:bidi="ar"/>
              </w:rPr>
            </w:pPr>
            <w:r>
              <w:rPr>
                <w:rFonts w:hint="eastAsia" w:ascii="Times New Roman" w:hAnsi="宋体" w:eastAsia="微软雅黑" w:cs="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(0.4 ≤ K &lt;0.6) □ Poor (K &lt;...)</w:t>
            </w:r>
          </w:p>
          <w:p w14:paraId="3329D8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宋体" w:eastAsia="微软雅黑" w:cs="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0.4)</w:t>
            </w:r>
          </w:p>
        </w:tc>
      </w:tr>
      <w:tr w14:paraId="63501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8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宋体" w:eastAsia="微软雅黑" w:cs="宋体"/>
                <w:b/>
                <w:bCs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Aseptic Principles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3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宋体" w:eastAsia="微软雅黑" w:cs="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As above (fill in according to a 5-point scale)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9C097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C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宋体" w:eastAsia="微软雅黑" w:cs="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□ Excellent □ Good □ Average □ Poor</w:t>
            </w:r>
          </w:p>
        </w:tc>
      </w:tr>
      <w:tr w14:paraId="72E36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D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宋体" w:eastAsia="微软雅黑" w:cs="宋体"/>
                <w:b/>
                <w:bCs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Rationality of surgical design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B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宋体" w:eastAsia="微软雅黑" w:cs="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As above (fill in according to a 5-point scale)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742E4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C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宋体" w:eastAsia="微软雅黑" w:cs="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□ Excellent □ Good □ Average □ Poor</w:t>
            </w:r>
          </w:p>
        </w:tc>
      </w:tr>
      <w:tr w14:paraId="5B91A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8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宋体" w:eastAsia="微软雅黑" w:cs="宋体"/>
                <w:b/>
                <w:bCs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Operation Standardization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D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宋体" w:eastAsia="微软雅黑" w:cs="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As above (fill in according to a 5-point scale)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033AF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1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宋体" w:eastAsia="微软雅黑" w:cs="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□ Excellent □ Good □ Average □ Poor</w:t>
            </w:r>
          </w:p>
        </w:tc>
      </w:tr>
      <w:tr w14:paraId="18178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4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宋体" w:eastAsia="微软雅黑" w:cs="宋体"/>
                <w:b/>
                <w:bCs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Angiovascular protection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E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宋体" w:eastAsia="微软雅黑" w:cs="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As above (fill in according to a 5-point scale)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F24D5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2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宋体" w:eastAsia="微软雅黑" w:cs="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□ Excellent □ Good □ Average □ Poor</w:t>
            </w:r>
          </w:p>
        </w:tc>
      </w:tr>
      <w:tr w14:paraId="1EAD7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3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宋体" w:eastAsia="微软雅黑" w:cs="宋体"/>
                <w:b/>
                <w:bCs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strain capacity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2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宋体" w:eastAsia="微软雅黑" w:cs="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As above (fill in according to a 5-point scale)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615A2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1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宋体" w:eastAsia="微软雅黑" w:cs="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□ Excellent □ Good □ Average □ Poor</w:t>
            </w:r>
          </w:p>
        </w:tc>
      </w:tr>
      <w:tr w14:paraId="61D85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23DE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宋体" w:eastAsia="微软雅黑" w:cs="宋体"/>
                <w:b/>
                <w:bCs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Digital Design Integrity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EBB1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lang w:val="en-US" w:eastAsia="zh-CN" w:bidi="ar"/>
              </w:rPr>
            </w:pPr>
          </w:p>
          <w:p w14:paraId="6177D2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宋体" w:eastAsia="微软雅黑" w:cs="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As above (fill in according to a 5-point scale)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E2439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F7DB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lang w:val="en-US" w:eastAsia="zh-CN" w:bidi="ar"/>
              </w:rPr>
            </w:pPr>
          </w:p>
          <w:p w14:paraId="53F6CE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宋体" w:eastAsia="微软雅黑" w:cs="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□ Excellent □ Good □ Average □ Poor</w:t>
            </w:r>
          </w:p>
        </w:tc>
      </w:tr>
      <w:tr w14:paraId="5D806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7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宋体" w:eastAsia="微软雅黑" w:cs="宋体"/>
                <w:b/>
                <w:bCs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Precautions During and After Surgery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1230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lang w:val="en-US" w:eastAsia="zh-CN" w:bidi="ar"/>
              </w:rPr>
            </w:pPr>
          </w:p>
          <w:p w14:paraId="74FB91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宋体" w:eastAsia="微软雅黑" w:cs="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As above (fill in according to a 5-point scale)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300DA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D1D4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lang w:val="en-US" w:eastAsia="zh-CN" w:bidi="ar"/>
              </w:rPr>
            </w:pPr>
          </w:p>
          <w:p w14:paraId="0E5224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宋体" w:eastAsia="微软雅黑" w:cs="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□ Excellent □ Good □ Average □ Poor</w:t>
            </w:r>
          </w:p>
        </w:tc>
      </w:tr>
      <w:tr w14:paraId="6E8A9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7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宋体" w:eastAsia="微软雅黑" w:cs="宋体"/>
                <w:b/>
                <w:bCs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Overall Scale Consistency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5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宋体" w:eastAsia="微软雅黑" w:cs="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Merge calculations across all dimensions (based on total score consistency)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398D9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3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宋体" w:eastAsia="微软雅黑" w:cs="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□ Excellent □ Good □ Average □ Poor</w:t>
            </w:r>
          </w:p>
        </w:tc>
      </w:tr>
    </w:tbl>
    <w:p w14:paraId="4EC94A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  <w:shd w:val="clear" w:fill="FFFFFF"/>
          <w:vertAlign w:val="baseline"/>
        </w:rPr>
      </w:pPr>
    </w:p>
    <w:p w14:paraId="72E77D99">
      <w:pPr>
        <w:bidi w:val="0"/>
      </w:pPr>
    </w:p>
    <w:p w14:paraId="70409497">
      <w:pPr>
        <w:spacing w:after="120" w:line="360" w:lineRule="auto"/>
        <w:jc w:val="center"/>
        <w:rPr>
          <w:rFonts w:ascii="unset" w:hAnsi="unset" w:eastAsia="宋体" w:cs="unset"/>
          <w:b w:val="0"/>
          <w:i w:val="0"/>
          <w:strike w:val="0"/>
          <w:color w:val="auto"/>
          <w:sz w:val="24"/>
          <w:szCs w:val="24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s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2019A"/>
    <w:rsid w:val="1E6F7214"/>
    <w:rsid w:val="42276906"/>
    <w:rsid w:val="5212019A"/>
    <w:rsid w:val="5B214990"/>
    <w:rsid w:val="606E3305"/>
    <w:rsid w:val="7254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31"/>
    <w:basedOn w:val="5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ascii="Arial" w:hAnsi="Arial" w:cs="Arial"/>
      <w:color w:val="000000"/>
      <w:sz w:val="12"/>
      <w:szCs w:val="12"/>
      <w:u w:val="none"/>
    </w:rPr>
  </w:style>
  <w:style w:type="character" w:customStyle="1" w:styleId="9">
    <w:name w:val="font51"/>
    <w:basedOn w:val="5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uiPriority w:val="0"/>
    <w:rPr>
      <w:rFonts w:ascii="宋体" w:hAnsi="宋体" w:eastAsia="宋体" w:cs="宋体"/>
      <w:color w:val="000000"/>
      <w:sz w:val="20"/>
      <w:szCs w:val="20"/>
      <w:u w:val="single"/>
    </w:rPr>
  </w:style>
  <w:style w:type="character" w:customStyle="1" w:styleId="11">
    <w:name w:val="font71"/>
    <w:basedOn w:val="5"/>
    <w:qFormat/>
    <w:uiPriority w:val="0"/>
    <w:rPr>
      <w:rFonts w:ascii="宋体" w:hAnsi="宋体" w:eastAsia="宋体" w:cs="宋体"/>
      <w:color w:val="404040"/>
      <w:sz w:val="20"/>
      <w:szCs w:val="20"/>
      <w:u w:val="none"/>
    </w:rPr>
  </w:style>
  <w:style w:type="character" w:customStyle="1" w:styleId="12">
    <w:name w:val="font81"/>
    <w:basedOn w:val="5"/>
    <w:qFormat/>
    <w:uiPriority w:val="0"/>
    <w:rPr>
      <w:rFonts w:hint="default" w:ascii="Arial" w:hAnsi="Arial" w:cs="Arial"/>
      <w:color w:val="000000"/>
      <w:sz w:val="13"/>
      <w:szCs w:val="1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1853</Words>
  <Characters>1970</Characters>
  <Lines>0</Lines>
  <Paragraphs>0</Paragraphs>
  <TotalTime>0</TotalTime>
  <ScaleCrop>false</ScaleCrop>
  <LinksUpToDate>false</LinksUpToDate>
  <CharactersWithSpaces>2016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2026-06-13T07:08:00Z</dcterms:created>
  <dc:creator>❤vivi❤</dc:creator>
  <cp:lastModifiedBy>❤vivi❤</cp:lastModifiedBy>
  <dcterms:modified xsi:type="dcterms:W3CDTF">2026-06-13T09:54:01Z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830DC0A7B9D7436CAD59A5A067DC743E_11</vt:lpwstr>
  </property>
  <property fmtid="{D5CDD505-2E9C-101B-9397-08002B2CF9AE}" pid="4" name="KSOTemplateDocerSaveRecord">
    <vt:lpwstr>eyJoZGlkIjoiMTgyY2Y5Y2UxZjkwY2NiYzg1MTM4ZmQzOTFhYWJhY2IiLCJ1c2VySWQiOiIyNDUwMDg1NTUifQ==</vt:lpwstr>
  </property>
</Properties>
</file>