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3BC4" w14:textId="77777777" w:rsidR="00D00EB0" w:rsidRPr="00A277DA" w:rsidRDefault="00D00EB0" w:rsidP="00D00EB0">
      <w:pPr>
        <w:pStyle w:val="p1"/>
        <w:rPr>
          <w:rFonts w:ascii="Times New Roman" w:hAnsi="Times New Roman"/>
          <w:sz w:val="24"/>
          <w:szCs w:val="24"/>
          <w:lang w:val="en-US"/>
        </w:rPr>
      </w:pPr>
    </w:p>
    <w:p w14:paraId="1DA6B049" w14:textId="77777777" w:rsidR="00D00EB0" w:rsidRPr="00523520" w:rsidRDefault="00D00EB0" w:rsidP="00D00EB0">
      <w:pPr>
        <w:pStyle w:val="p1"/>
        <w:jc w:val="center"/>
        <w:rPr>
          <w:rFonts w:ascii="Times New Roman" w:hAnsi="Times New Roman"/>
          <w:sz w:val="38"/>
          <w:szCs w:val="38"/>
          <w:lang w:val="en-US"/>
        </w:rPr>
      </w:pPr>
      <w:r w:rsidRPr="00523520">
        <w:rPr>
          <w:rFonts w:ascii="Times New Roman" w:hAnsi="Times New Roman"/>
          <w:sz w:val="38"/>
          <w:szCs w:val="38"/>
          <w:lang w:val="en-US"/>
        </w:rPr>
        <w:t>Supplementary Materials for</w:t>
      </w:r>
    </w:p>
    <w:p w14:paraId="1EC5B172" w14:textId="77777777" w:rsidR="00D00EB0" w:rsidRPr="00523520" w:rsidRDefault="00D00EB0" w:rsidP="00D00EB0">
      <w:pPr>
        <w:jc w:val="center"/>
        <w:rPr>
          <w:sz w:val="28"/>
          <w:szCs w:val="28"/>
        </w:rPr>
      </w:pPr>
    </w:p>
    <w:p w14:paraId="21351C7C" w14:textId="77777777" w:rsidR="00D00EB0" w:rsidRPr="00523520" w:rsidRDefault="00D00EB0" w:rsidP="00D00EB0">
      <w:pPr>
        <w:jc w:val="center"/>
        <w:rPr>
          <w:sz w:val="32"/>
          <w:szCs w:val="32"/>
        </w:rPr>
      </w:pPr>
      <w:r w:rsidRPr="00523520">
        <w:rPr>
          <w:sz w:val="32"/>
          <w:szCs w:val="32"/>
        </w:rPr>
        <w:t>Implied Motion as a Mechanism for Spontaneous Belief Computation in Humans</w:t>
      </w:r>
    </w:p>
    <w:p w14:paraId="0D92921F" w14:textId="77777777" w:rsidR="00D00EB0" w:rsidRPr="00523520" w:rsidRDefault="00D00EB0" w:rsidP="00D00EB0">
      <w:pPr>
        <w:rPr>
          <w:sz w:val="28"/>
          <w:szCs w:val="28"/>
        </w:rPr>
      </w:pPr>
    </w:p>
    <w:p w14:paraId="4AFC7744" w14:textId="77777777" w:rsidR="00D00EB0" w:rsidRPr="00523520" w:rsidRDefault="00D00EB0" w:rsidP="00D00EB0">
      <w:pPr>
        <w:jc w:val="center"/>
        <w:rPr>
          <w:vertAlign w:val="superscript"/>
        </w:rPr>
      </w:pPr>
      <w:r w:rsidRPr="00523520">
        <w:t>Patricia Christian</w:t>
      </w:r>
      <w:r w:rsidRPr="00523520">
        <w:rPr>
          <w:vertAlign w:val="superscript"/>
        </w:rPr>
        <w:t>1#</w:t>
      </w:r>
      <w:r w:rsidRPr="00523520">
        <w:t>, James Cahill</w:t>
      </w:r>
      <w:r w:rsidRPr="00523520">
        <w:rPr>
          <w:vertAlign w:val="superscript"/>
        </w:rPr>
        <w:t>2</w:t>
      </w:r>
      <w:r w:rsidRPr="00523520">
        <w:t>, Adeline Fecker</w:t>
      </w:r>
      <w:r w:rsidRPr="00523520">
        <w:rPr>
          <w:vertAlign w:val="superscript"/>
        </w:rPr>
        <w:t>2</w:t>
      </w:r>
      <w:r w:rsidRPr="00523520">
        <w:t>, Martha Paskin</w:t>
      </w:r>
      <w:r w:rsidRPr="00523520">
        <w:rPr>
          <w:vertAlign w:val="superscript"/>
        </w:rPr>
        <w:t>1</w:t>
      </w:r>
      <w:r w:rsidRPr="00523520">
        <w:t>, Ronja Löfström</w:t>
      </w:r>
      <w:r w:rsidRPr="00523520">
        <w:rPr>
          <w:vertAlign w:val="superscript"/>
        </w:rPr>
        <w:t>1</w:t>
      </w:r>
      <w:r w:rsidRPr="00523520">
        <w:t>, Zane A. Zook</w:t>
      </w:r>
      <w:r w:rsidRPr="00523520">
        <w:rPr>
          <w:vertAlign w:val="superscript"/>
        </w:rPr>
        <w:t>2</w:t>
      </w:r>
      <w:r w:rsidRPr="00523520">
        <w:t>, Ahmed Raslan</w:t>
      </w:r>
      <w:r w:rsidRPr="00523520">
        <w:rPr>
          <w:vertAlign w:val="superscript"/>
        </w:rPr>
        <w:t>2</w:t>
      </w:r>
      <w:r w:rsidRPr="00523520">
        <w:t>, Kelly L. Collins</w:t>
      </w:r>
      <w:r w:rsidRPr="00523520">
        <w:rPr>
          <w:vertAlign w:val="superscript"/>
        </w:rPr>
        <w:t>2*</w:t>
      </w:r>
      <w:r w:rsidRPr="00523520">
        <w:t>, and Arvid Guterstam</w:t>
      </w:r>
      <w:r w:rsidRPr="00523520">
        <w:rPr>
          <w:vertAlign w:val="superscript"/>
        </w:rPr>
        <w:t>1*</w:t>
      </w:r>
    </w:p>
    <w:p w14:paraId="52785AE5" w14:textId="77777777" w:rsidR="00D00EB0" w:rsidRPr="00523520" w:rsidRDefault="00D00EB0" w:rsidP="00D00EB0"/>
    <w:p w14:paraId="6E43F24F" w14:textId="77777777" w:rsidR="00D00EB0" w:rsidRPr="00523520" w:rsidRDefault="00D00EB0" w:rsidP="00D00EB0">
      <w:pPr>
        <w:rPr>
          <w:sz w:val="20"/>
          <w:szCs w:val="20"/>
        </w:rPr>
      </w:pPr>
      <w:r w:rsidRPr="00523520">
        <w:rPr>
          <w:sz w:val="20"/>
          <w:szCs w:val="20"/>
          <w:vertAlign w:val="superscript"/>
        </w:rPr>
        <w:t xml:space="preserve">1 </w:t>
      </w:r>
      <w:r w:rsidRPr="00523520">
        <w:rPr>
          <w:sz w:val="20"/>
          <w:szCs w:val="20"/>
        </w:rPr>
        <w:t xml:space="preserve">Department of Clinical Neuroscience, Karolinska </w:t>
      </w:r>
      <w:proofErr w:type="spellStart"/>
      <w:r w:rsidRPr="00523520">
        <w:rPr>
          <w:sz w:val="20"/>
          <w:szCs w:val="20"/>
        </w:rPr>
        <w:t>Institutet</w:t>
      </w:r>
      <w:proofErr w:type="spellEnd"/>
      <w:r w:rsidRPr="00523520">
        <w:rPr>
          <w:sz w:val="20"/>
          <w:szCs w:val="20"/>
        </w:rPr>
        <w:t>, Stockholm, Sweden</w:t>
      </w:r>
    </w:p>
    <w:p w14:paraId="3FB3A8DA" w14:textId="77777777" w:rsidR="00D00EB0" w:rsidRPr="00523520" w:rsidRDefault="00D00EB0" w:rsidP="00D00EB0">
      <w:pPr>
        <w:rPr>
          <w:sz w:val="20"/>
          <w:szCs w:val="20"/>
        </w:rPr>
      </w:pPr>
      <w:r w:rsidRPr="00523520">
        <w:rPr>
          <w:sz w:val="20"/>
          <w:szCs w:val="20"/>
          <w:vertAlign w:val="superscript"/>
        </w:rPr>
        <w:t xml:space="preserve">2 </w:t>
      </w:r>
      <w:r w:rsidRPr="00523520">
        <w:rPr>
          <w:sz w:val="20"/>
          <w:szCs w:val="20"/>
        </w:rPr>
        <w:t>Department of Neurological Surgery, Oregon Health &amp; Science University, Portland, USA</w:t>
      </w:r>
    </w:p>
    <w:p w14:paraId="6A617940" w14:textId="77777777" w:rsidR="00D00EB0" w:rsidRPr="00523520" w:rsidRDefault="00D00EB0" w:rsidP="00D00EB0">
      <w:pPr>
        <w:rPr>
          <w:sz w:val="20"/>
          <w:szCs w:val="20"/>
        </w:rPr>
      </w:pPr>
      <w:r w:rsidRPr="00523520">
        <w:rPr>
          <w:sz w:val="20"/>
          <w:szCs w:val="20"/>
          <w:vertAlign w:val="superscript"/>
        </w:rPr>
        <w:t>#</w:t>
      </w:r>
      <w:r w:rsidRPr="00523520">
        <w:rPr>
          <w:sz w:val="20"/>
          <w:szCs w:val="20"/>
        </w:rPr>
        <w:t>Correspondence: patricia.christian@ki.se</w:t>
      </w:r>
    </w:p>
    <w:p w14:paraId="38758616" w14:textId="77777777" w:rsidR="00D00EB0" w:rsidRPr="00523520" w:rsidRDefault="00D00EB0" w:rsidP="00D00EB0">
      <w:pPr>
        <w:rPr>
          <w:sz w:val="20"/>
          <w:szCs w:val="20"/>
        </w:rPr>
      </w:pPr>
      <w:r w:rsidRPr="00523520">
        <w:rPr>
          <w:sz w:val="20"/>
          <w:szCs w:val="20"/>
        </w:rPr>
        <w:t>*</w:t>
      </w:r>
      <w:proofErr w:type="gramStart"/>
      <w:r w:rsidRPr="00523520">
        <w:rPr>
          <w:sz w:val="20"/>
          <w:szCs w:val="20"/>
        </w:rPr>
        <w:t>shared</w:t>
      </w:r>
      <w:proofErr w:type="gramEnd"/>
      <w:r w:rsidRPr="00523520">
        <w:rPr>
          <w:sz w:val="20"/>
          <w:szCs w:val="20"/>
        </w:rPr>
        <w:t xml:space="preserve"> senior author</w:t>
      </w:r>
      <w:r>
        <w:rPr>
          <w:sz w:val="20"/>
          <w:szCs w:val="20"/>
        </w:rPr>
        <w:t>ship</w:t>
      </w:r>
    </w:p>
    <w:p w14:paraId="0FA5BACF" w14:textId="77777777" w:rsidR="00D00EB0" w:rsidRPr="00523520" w:rsidRDefault="00D00EB0" w:rsidP="00D00EB0">
      <w:pPr>
        <w:jc w:val="center"/>
        <w:rPr>
          <w:bCs/>
          <w:sz w:val="36"/>
          <w:szCs w:val="36"/>
        </w:rPr>
      </w:pPr>
    </w:p>
    <w:p w14:paraId="63FC4F3E" w14:textId="77777777" w:rsidR="00D00EB0" w:rsidRPr="00523520" w:rsidRDefault="00D00EB0" w:rsidP="00D00EB0">
      <w:pPr>
        <w:rPr>
          <w:bCs/>
          <w:sz w:val="36"/>
          <w:szCs w:val="36"/>
        </w:rPr>
      </w:pPr>
    </w:p>
    <w:p w14:paraId="6178F8A1" w14:textId="77777777" w:rsidR="00D00EB0" w:rsidRPr="00523520" w:rsidRDefault="00D00EB0" w:rsidP="00D00EB0">
      <w:pPr>
        <w:rPr>
          <w:b/>
        </w:rPr>
      </w:pPr>
      <w:r w:rsidRPr="00523520">
        <w:rPr>
          <w:b/>
        </w:rPr>
        <w:t>Supplementary Materials</w:t>
      </w:r>
    </w:p>
    <w:p w14:paraId="183A042F" w14:textId="6F35D2F8" w:rsidR="00AE11BF" w:rsidRDefault="00822D99" w:rsidP="00DD559A">
      <w:pPr>
        <w:rPr>
          <w:bCs/>
        </w:rPr>
      </w:pPr>
      <w:r>
        <w:rPr>
          <w:bCs/>
        </w:rPr>
        <w:t xml:space="preserve">Eye-tracking </w:t>
      </w:r>
      <w:r w:rsidR="00AE11BF">
        <w:rPr>
          <w:bCs/>
        </w:rPr>
        <w:t>equipment</w:t>
      </w:r>
    </w:p>
    <w:p w14:paraId="5A511767" w14:textId="7EE67866" w:rsidR="00822D99" w:rsidRDefault="00AE11BF" w:rsidP="00DD559A">
      <w:pPr>
        <w:rPr>
          <w:bCs/>
        </w:rPr>
      </w:pPr>
      <w:r>
        <w:rPr>
          <w:bCs/>
        </w:rPr>
        <w:t xml:space="preserve">Eye-tracking </w:t>
      </w:r>
      <w:r w:rsidR="00822D99">
        <w:rPr>
          <w:bCs/>
        </w:rPr>
        <w:t>analysis</w:t>
      </w:r>
    </w:p>
    <w:p w14:paraId="5637F559" w14:textId="6EEECD91" w:rsidR="00D00EB0" w:rsidRPr="00523520" w:rsidRDefault="00D00EB0" w:rsidP="00DD559A">
      <w:pPr>
        <w:rPr>
          <w:bCs/>
        </w:rPr>
      </w:pPr>
      <w:r w:rsidRPr="00523520">
        <w:rPr>
          <w:bCs/>
        </w:rPr>
        <w:t>Fig. S1</w:t>
      </w:r>
    </w:p>
    <w:p w14:paraId="3BCC3285" w14:textId="77777777" w:rsidR="00D00EB0" w:rsidRPr="00523520" w:rsidRDefault="00D00EB0" w:rsidP="00DD559A">
      <w:pPr>
        <w:rPr>
          <w:bCs/>
        </w:rPr>
      </w:pPr>
      <w:r w:rsidRPr="00523520">
        <w:rPr>
          <w:bCs/>
        </w:rPr>
        <w:t>Fig. S2</w:t>
      </w:r>
    </w:p>
    <w:p w14:paraId="23BAF455" w14:textId="77777777" w:rsidR="00D00EB0" w:rsidRPr="00523520" w:rsidRDefault="00D00EB0" w:rsidP="00DD559A">
      <w:pPr>
        <w:rPr>
          <w:bCs/>
        </w:rPr>
      </w:pPr>
      <w:r w:rsidRPr="00523520">
        <w:rPr>
          <w:bCs/>
        </w:rPr>
        <w:t>Table S1</w:t>
      </w:r>
    </w:p>
    <w:p w14:paraId="3201C81E" w14:textId="77777777" w:rsidR="00DD559A" w:rsidRDefault="00D00EB0" w:rsidP="00DD559A">
      <w:pPr>
        <w:rPr>
          <w:bCs/>
        </w:rPr>
      </w:pPr>
      <w:r w:rsidRPr="00523520">
        <w:rPr>
          <w:bCs/>
        </w:rPr>
        <w:t>Table S2</w:t>
      </w:r>
    </w:p>
    <w:p w14:paraId="5A36351C" w14:textId="2E4F4473" w:rsidR="00D00EB0" w:rsidRPr="00523520" w:rsidRDefault="00D00EB0" w:rsidP="00DD559A">
      <w:pPr>
        <w:rPr>
          <w:bCs/>
        </w:rPr>
      </w:pPr>
      <w:r w:rsidRPr="00D00EB0">
        <w:rPr>
          <w:bCs/>
        </w:rPr>
        <w:t>Supplementary references</w:t>
      </w:r>
      <w:r w:rsidRPr="00523520">
        <w:rPr>
          <w:bCs/>
        </w:rPr>
        <w:t xml:space="preserve"> </w:t>
      </w:r>
    </w:p>
    <w:p w14:paraId="6CA04C42" w14:textId="77777777" w:rsidR="00D00EB0" w:rsidRPr="00523520" w:rsidRDefault="00D00EB0" w:rsidP="00D00EB0">
      <w:pPr>
        <w:rPr>
          <w:bCs/>
        </w:rPr>
      </w:pPr>
    </w:p>
    <w:p w14:paraId="65928A2B" w14:textId="73FBC1A0" w:rsidR="00822D99" w:rsidRDefault="00822D99">
      <w:pPr>
        <w:spacing w:after="160" w:line="278" w:lineRule="auto"/>
        <w:rPr>
          <w:b/>
          <w:sz w:val="28"/>
          <w:szCs w:val="28"/>
        </w:rPr>
      </w:pPr>
      <w:r>
        <w:rPr>
          <w:b/>
          <w:sz w:val="28"/>
          <w:szCs w:val="28"/>
        </w:rPr>
        <w:br w:type="page"/>
      </w:r>
    </w:p>
    <w:p w14:paraId="798E7752" w14:textId="77777777" w:rsidR="00585ADD" w:rsidRPr="00523520" w:rsidRDefault="00585ADD" w:rsidP="00585ADD">
      <w:pPr>
        <w:rPr>
          <w:b/>
        </w:rPr>
      </w:pPr>
      <w:r w:rsidRPr="00523520">
        <w:rPr>
          <w:b/>
        </w:rPr>
        <w:lastRenderedPageBreak/>
        <w:t>Eye-tracking equipment</w:t>
      </w:r>
    </w:p>
    <w:p w14:paraId="6984788D" w14:textId="77777777" w:rsidR="00585ADD" w:rsidRPr="00523520" w:rsidRDefault="00585ADD" w:rsidP="00585ADD">
      <w:pPr>
        <w:pStyle w:val="NormalWeb"/>
        <w:spacing w:before="0" w:beforeAutospacing="0" w:after="0" w:afterAutospacing="0"/>
        <w:ind w:firstLine="720"/>
        <w:jc w:val="both"/>
        <w:rPr>
          <w:lang w:val="en-US"/>
        </w:rPr>
      </w:pPr>
      <w:r w:rsidRPr="00523520">
        <w:rPr>
          <w:lang w:val="en-US"/>
        </w:rPr>
        <w:t>Participants eye movements were recorded via a desktop-mounted eye tracker (Tobii Pro Spectrum) sampling at 1200 Hz in experiments 1-4, and a laptop-mounted eye tracker in experiment 5 (Tobii Pro Fusion) sampling at 250 Hz. An on-screen calibration routine featuring nine locations was used and repeated until the maximum error for any point was less than 1°. Due to technical issues, the eye-tracking recording of three participants in experiment 2, three participants in experiment 3, and two participants in experiment 4, failed.</w:t>
      </w:r>
    </w:p>
    <w:p w14:paraId="1A11AB7E" w14:textId="77777777" w:rsidR="00585ADD" w:rsidRPr="00523520" w:rsidRDefault="00585ADD" w:rsidP="00585ADD">
      <w:pPr>
        <w:pStyle w:val="NormalWeb"/>
        <w:spacing w:before="0" w:beforeAutospacing="0" w:after="0" w:afterAutospacing="0"/>
        <w:jc w:val="both"/>
        <w:rPr>
          <w:lang w:val="en-US"/>
        </w:rPr>
      </w:pPr>
    </w:p>
    <w:p w14:paraId="32ECB453" w14:textId="77777777" w:rsidR="00585ADD" w:rsidRPr="00DE3939" w:rsidRDefault="00585ADD" w:rsidP="00585ADD">
      <w:pPr>
        <w:pStyle w:val="NormalWeb"/>
        <w:spacing w:before="0" w:beforeAutospacing="0" w:after="0" w:afterAutospacing="0"/>
        <w:jc w:val="both"/>
        <w:rPr>
          <w:b/>
          <w:bCs/>
          <w:lang w:val="en-US"/>
        </w:rPr>
      </w:pPr>
      <w:r w:rsidRPr="00523520">
        <w:rPr>
          <w:b/>
          <w:bCs/>
          <w:lang w:val="en-US"/>
        </w:rPr>
        <w:t>Eye-tracking analyses</w:t>
      </w:r>
    </w:p>
    <w:p w14:paraId="3DCEACCB" w14:textId="77777777" w:rsidR="00585ADD" w:rsidRPr="00523520" w:rsidRDefault="00585ADD" w:rsidP="00585ADD">
      <w:pPr>
        <w:jc w:val="both"/>
        <w:rPr>
          <w:rFonts w:eastAsiaTheme="minorHAnsi"/>
          <w:i/>
          <w:iCs/>
        </w:rPr>
      </w:pPr>
      <w:r w:rsidRPr="00523520">
        <w:rPr>
          <w:i/>
          <w:iCs/>
        </w:rPr>
        <w:t>Pupil Diameter</w:t>
      </w:r>
      <w:r w:rsidRPr="00523520">
        <w:rPr>
          <w:rFonts w:eastAsiaTheme="minorHAnsi"/>
          <w:i/>
          <w:iCs/>
        </w:rPr>
        <w:t xml:space="preserve"> </w:t>
      </w:r>
    </w:p>
    <w:p w14:paraId="3CC7BD04" w14:textId="77777777" w:rsidR="00585ADD" w:rsidRPr="00523520" w:rsidRDefault="00585ADD" w:rsidP="00585ADD">
      <w:pPr>
        <w:ind w:firstLine="567"/>
        <w:jc w:val="both"/>
        <w:rPr>
          <w:bCs/>
        </w:rPr>
      </w:pPr>
      <w:r w:rsidRPr="00523520">
        <w:t>In experiment 2 and 5, eye-tracking data w</w:t>
      </w:r>
      <w:r>
        <w:t>ere</w:t>
      </w:r>
      <w:r w:rsidRPr="00523520">
        <w:t xml:space="preserve"> analyzed to assess whether participants’ autonomic responses were modulated by the agent’s “belief state”. </w:t>
      </w:r>
      <w:r w:rsidRPr="00523520">
        <w:rPr>
          <w:bCs/>
        </w:rPr>
        <w:t xml:space="preserve">Pupil diameter was preprocessed and analyzed in the no-ball-outcome trials during ball detection task phase. </w:t>
      </w:r>
      <w:r w:rsidRPr="00523520">
        <w:t xml:space="preserve">Only </w:t>
      </w:r>
      <w:r w:rsidRPr="00523520">
        <w:rPr>
          <w:bCs/>
        </w:rPr>
        <w:t xml:space="preserve">no-ball-outcome </w:t>
      </w:r>
      <w:r w:rsidRPr="00523520">
        <w:t>trials were included in this analysis, because these trials were all presented for exactly 1-s (no button press) in contrast to ball-outcome trials. In ball-outcome trials, participants speeded button-press response led to the immediate conclusion of the trial, thus involving a rapid and variable change i</w:t>
      </w:r>
      <w:r>
        <w:t>n</w:t>
      </w:r>
      <w:r w:rsidRPr="00523520">
        <w:t xml:space="preserve"> visual stimulation which is likely to interfere with pupil size responses.</w:t>
      </w:r>
    </w:p>
    <w:p w14:paraId="55AB110D" w14:textId="7092A8DC" w:rsidR="00585ADD" w:rsidRPr="00523520" w:rsidRDefault="00585ADD" w:rsidP="00585ADD">
      <w:pPr>
        <w:ind w:firstLine="567"/>
        <w:jc w:val="both"/>
      </w:pPr>
      <w:r w:rsidRPr="00523520">
        <w:rPr>
          <w:bCs/>
        </w:rPr>
        <w:t>Raw pupil diameter was sampled at 1200 Hz and preprocessed to remove physiological artifacts following the preprocessing guidelines by</w:t>
      </w:r>
      <w:r w:rsidR="00C1088B">
        <w:rPr>
          <w:bCs/>
        </w:rPr>
        <w:fldChar w:fldCharType="begin"/>
      </w:r>
      <w:r w:rsidR="00C1088B">
        <w:rPr>
          <w:bCs/>
        </w:rPr>
        <w:instrText xml:space="preserve"> ADDIN ZOTERO_ITEM CSL_CITATION {"citationID":"V6XBChvZ","properties":{"unsorted":false,"formattedCitation":"\\super 1,2\\nosupersub{}","plainCitation":"1,2","noteIndex":0},"citationItems":[{"id":991,"uris":["http://zotero.org/users/13379990/items/DSRANFSZ"],"itemData":{"id":991,"type":"article-journal","abstract":"To guide behavior, perceptual systems must operate on intrinsically ambiguous sensory input. Observers are usually able to acknowledge the uncertainty of their perception, but in some cases, they critically fail to do so. Here, we show that a physiological correlate of ambiguity can be found in pupil dilation even when the observer is not aware of such ambiguity. We used a well-known auditory ambiguous stimulus, known as the tritone paradox, which can induce the perception of an upward or downward pitch shift within the same individual. In two experiments, behavioral responses showed that listeners could not explicitly access the ambiguity in this stimulus, even though their responses varied from trial to trial. However, pupil dilation was larger for the more ambiguous cases. The ambiguity of the stimulus for each listener was indexed by the entropy of behavioral responses, and this entropy was also a significant predictor of pupil size. In particular, entropy explained additional variation in pupil size independent of the explicit judgment of confidence in the specific situation that we investigated, in which the two measures were decoupled. Our data thus suggest that stimulus ambiguity is implicitly represented in the brain even without explicit awareness of this ambiguity.","container-title":"Proceedings of the National Academy of Sciences","DOI":"10.1073/pnas.2107997118","issue":"48","page":"e2107997118","publisher":"Proceedings of the National Academy of Sciences","source":"pnas.org (Atypon)","title":"An implicit representation of stimulus ambiguity in pupil size","volume":"118","author":[{"family":"Graves","given":"Jackson E."},{"family":"Egré","given":"Paul"},{"family":"Pressnitzer","given":"Daniel"},{"family":"Gardelle","given":"Vincent","non-dropping-particle":"de"}],"issued":{"date-parts":[["2021",11,30]]}}},{"id":1006,"uris":["http://zotero.org/users/13379990/items/AHSLVNAA"],"itemData":{"id":1006,"type":"article-journal","abstract":"Pupillometry has been one of the most widely used response systems in psychophysiology. Changes in pupil size can reflect diverse cognitive and emotional states, ranging from arousal, interest and effort to social decisions, but they are also widely used in clinical practice to assess patients’ brain functioning. As a result, research involving pupil size measurements has been reported in practically all psychology, psychiatry, and psychophysiological research journals, and now it has found its way into the primatology literature as well as into more practical applications, such as using pupil size as a measure of fatigue or a safety index during driving. The different systems used for recording pupil size are almost as variable as its applications, and all yield, as with many measurement techniques, a substantial amount of noise in addition to the real pupillometry data. Before analyzing pupil size, it is therefore of crucial importance first to detect this noise and deal with it appropriately, even prior to (if need be) resampling and baseline-correcting the data. In this article we first provide a short review of the literature on pupil size measurements, then we highlight the most important sources of noise and show how these can be detected. Finally, we provide stepby-step guidelines that will help those interested in pupil size to preprocess their data correctly. These guidelines are accompanied by an open source MATLAB script (available at https://github.com/ElioS-S/pupil-size). Given that pupil diameter is easily measured by standard eyetracking technologies and can provide fundamental insights into cognitive and emotional processes, it is hoped that this article will further motivate scholars from different disciplines to study pupil size.","container-title":"Behavior Research Methods","DOI":"10.3758/s13428-018-1075-y","ISSN":"1554-3528","issue":"3","journalAbbreviation":"Behav Res","language":"en","page":"1336-1342","source":"DOI.org (Crossref)","title":"Preprocessing pupil size data: Guidelines and code","title-short":"Preprocessing pupil size data","volume":"51","author":[{"family":"Kret","given":"Mariska E."},{"family":"Sjak-Shie","given":"Elio E."}],"issued":{"date-parts":[["2019",6]]}}}],"schema":"https://github.com/citation-style-language/schema/raw/master/csl-citation.json"} </w:instrText>
      </w:r>
      <w:r w:rsidR="00C1088B">
        <w:rPr>
          <w:bCs/>
        </w:rPr>
        <w:fldChar w:fldCharType="separate"/>
      </w:r>
      <w:r w:rsidR="00C1088B" w:rsidRPr="00C1088B">
        <w:rPr>
          <w:vertAlign w:val="superscript"/>
        </w:rPr>
        <w:t>1,2</w:t>
      </w:r>
      <w:r w:rsidR="00C1088B">
        <w:rPr>
          <w:bCs/>
        </w:rPr>
        <w:fldChar w:fldCharType="end"/>
      </w:r>
      <w:r w:rsidRPr="00523520">
        <w:rPr>
          <w:bCs/>
        </w:rPr>
        <w:t xml:space="preserve">. </w:t>
      </w:r>
      <w:r w:rsidRPr="00523520">
        <w:rPr>
          <w:rFonts w:eastAsiaTheme="minorHAnsi"/>
          <w:bCs/>
        </w:rPr>
        <w:t xml:space="preserve">First, </w:t>
      </w:r>
      <w:r w:rsidRPr="00523520">
        <w:rPr>
          <w:bCs/>
        </w:rPr>
        <w:t>data with most extreme (large or small) absolute pupil diameter</w:t>
      </w:r>
      <w:r w:rsidRPr="00523520">
        <w:rPr>
          <w:rFonts w:eastAsiaTheme="minorHAnsi"/>
          <w:bCs/>
        </w:rPr>
        <w:t xml:space="preserve"> was rejected, removing non-finite values and values outside of the expected physiological range</w:t>
      </w:r>
      <w:r w:rsidRPr="00523520">
        <w:rPr>
          <w:bCs/>
        </w:rPr>
        <w:t xml:space="preserve">. Blink-related artifacts were addressed by expanding periods of missing data by 100 </w:t>
      </w:r>
      <w:proofErr w:type="spellStart"/>
      <w:r w:rsidRPr="00523520">
        <w:rPr>
          <w:bCs/>
        </w:rPr>
        <w:t>ms</w:t>
      </w:r>
      <w:proofErr w:type="spellEnd"/>
      <w:r w:rsidRPr="00523520">
        <w:rPr>
          <w:bCs/>
        </w:rPr>
        <w:t xml:space="preserve"> before and after each detected blink, thereby removing samples potentially affected by eyelid closure or reopening. Short gaps in the data (≤ 250 </w:t>
      </w:r>
      <w:proofErr w:type="spellStart"/>
      <w:r w:rsidRPr="00523520">
        <w:rPr>
          <w:bCs/>
        </w:rPr>
        <w:t>ms</w:t>
      </w:r>
      <w:proofErr w:type="spellEnd"/>
      <w:r w:rsidRPr="00523520">
        <w:rPr>
          <w:bCs/>
        </w:rPr>
        <w:t xml:space="preserve">) were subsequently interpolated using linear interpolation, whereas longer gaps were retained as missing values. Following interpolation, the pupil signal was low-pass filtered with a cutoff frequency of 4 Hz </w:t>
      </w:r>
      <w:proofErr w:type="gramStart"/>
      <w:r w:rsidRPr="00523520">
        <w:rPr>
          <w:bCs/>
        </w:rPr>
        <w:t>in order to</w:t>
      </w:r>
      <w:proofErr w:type="gramEnd"/>
      <w:r w:rsidRPr="00523520">
        <w:rPr>
          <w:bCs/>
        </w:rPr>
        <w:t xml:space="preserve"> remove high-frequency noise. Finally, trials containing excessive missing data (trial containing less than 50% of data points) were excluded based on the proportion of valid samples remaining after preprocessing. This criterion ensured that only trials with sufficient data for reliable analysis were retained. Finally, data from both eyes were averaged together.</w:t>
      </w:r>
      <w:r w:rsidRPr="00523520">
        <w:t xml:space="preserve"> </w:t>
      </w:r>
    </w:p>
    <w:p w14:paraId="1EBA0E52" w14:textId="77777777" w:rsidR="00585ADD" w:rsidRPr="00523520" w:rsidRDefault="00585ADD" w:rsidP="00585ADD">
      <w:pPr>
        <w:autoSpaceDE w:val="0"/>
        <w:autoSpaceDN w:val="0"/>
        <w:adjustRightInd w:val="0"/>
        <w:ind w:firstLine="567"/>
        <w:jc w:val="both"/>
        <w:rPr>
          <w:bCs/>
        </w:rPr>
      </w:pPr>
      <w:r w:rsidRPr="00523520">
        <w:rPr>
          <w:bCs/>
        </w:rPr>
        <w:t xml:space="preserve">First, mean pupil diameter (in mm) was calculated based on raw pupil size. We hypothesized that participants would show a greater increase in pupil size in trials where the agent’s expectation (i.e., false belief that the ball is behind the </w:t>
      </w:r>
      <w:proofErr w:type="spellStart"/>
      <w:r w:rsidRPr="00523520">
        <w:rPr>
          <w:bCs/>
        </w:rPr>
        <w:t>occluder</w:t>
      </w:r>
      <w:proofErr w:type="spellEnd"/>
      <w:r w:rsidRPr="00523520">
        <w:rPr>
          <w:bCs/>
        </w:rPr>
        <w:t xml:space="preserve">) is violated (Agent-Belief condition), compared to the no-belief control conditions (Fig 2E and Fig 4D). A paired t-test was computed to compare the mean pupil diameter between the Agent-Belief and </w:t>
      </w:r>
      <w:r w:rsidRPr="00523520">
        <w:t>Agent-</w:t>
      </w:r>
      <w:proofErr w:type="spellStart"/>
      <w:r w:rsidRPr="00523520">
        <w:t>NoBelief</w:t>
      </w:r>
      <w:r w:rsidRPr="00523520">
        <w:rPr>
          <w:vertAlign w:val="subscript"/>
        </w:rPr>
        <w:t>B</w:t>
      </w:r>
      <w:proofErr w:type="spellEnd"/>
      <w:r w:rsidRPr="00523520">
        <w:rPr>
          <w:bCs/>
        </w:rPr>
        <w:t xml:space="preserve"> conditions. </w:t>
      </w:r>
    </w:p>
    <w:p w14:paraId="62C41729" w14:textId="77777777" w:rsidR="00585ADD" w:rsidRPr="00523520" w:rsidRDefault="00585ADD" w:rsidP="00585ADD">
      <w:pPr>
        <w:autoSpaceDE w:val="0"/>
        <w:autoSpaceDN w:val="0"/>
        <w:adjustRightInd w:val="0"/>
        <w:ind w:firstLine="567"/>
        <w:jc w:val="both"/>
        <w:rPr>
          <w:bCs/>
        </w:rPr>
      </w:pPr>
      <w:r w:rsidRPr="00523520">
        <w:rPr>
          <w:bCs/>
        </w:rPr>
        <w:t xml:space="preserve">Second, a baseline-corrected pupil diameter was calculated to control for individual differences in pupil size across participants. The pupil signal for each trial epoch was baseline-normalized by calculating the signal change relative to the baseline (in percentage). This baseline was calculated as the mean pupil diameter across all trials and conditions. For each time point, the percentage signal change relative to this baseline was computed. Pupil signals were then averaged within each condition to obtain a mean pupil time course for each subject. </w:t>
      </w:r>
    </w:p>
    <w:p w14:paraId="39B1901E" w14:textId="37B5416B" w:rsidR="00822D99" w:rsidRDefault="00585ADD" w:rsidP="00585ADD">
      <w:pPr>
        <w:pStyle w:val="NormalWeb"/>
        <w:spacing w:before="0" w:beforeAutospacing="0" w:after="0" w:afterAutospacing="0"/>
        <w:jc w:val="both"/>
        <w:rPr>
          <w:i/>
          <w:iCs/>
          <w:lang w:val="en-US"/>
        </w:rPr>
      </w:pPr>
      <w:r w:rsidRPr="00585ADD">
        <w:rPr>
          <w:lang w:val="en-US"/>
        </w:rPr>
        <w:t xml:space="preserve">The time course of the condition effect on pupil dilation was measured by computing paired-samples </w:t>
      </w:r>
      <w:r w:rsidRPr="00585ADD">
        <w:rPr>
          <w:rStyle w:val="mord"/>
          <w:lang w:val="en-US"/>
        </w:rPr>
        <w:t>t</w:t>
      </w:r>
      <w:r w:rsidRPr="00585ADD">
        <w:rPr>
          <w:lang w:val="en-US"/>
        </w:rPr>
        <w:t xml:space="preserve">-tests between the Agent-Belief and Agent-No-Belief conditions, recording the </w:t>
      </w:r>
      <w:r w:rsidRPr="00585ADD">
        <w:rPr>
          <w:rStyle w:val="mord"/>
          <w:lang w:val="en-US"/>
        </w:rPr>
        <w:t>t</w:t>
      </w:r>
      <w:r w:rsidRPr="00585ADD">
        <w:rPr>
          <w:lang w:val="en-US"/>
        </w:rPr>
        <w:t xml:space="preserve">-statistic at each sample over the 1-s trial period. Periods of significance in this time series of </w:t>
      </w:r>
      <w:r w:rsidRPr="00585ADD">
        <w:rPr>
          <w:rStyle w:val="mord"/>
          <w:lang w:val="en-US"/>
        </w:rPr>
        <w:t>t</w:t>
      </w:r>
      <w:r w:rsidRPr="00585ADD">
        <w:rPr>
          <w:lang w:val="en-US"/>
        </w:rPr>
        <w:t xml:space="preserve">-statistics were identified using cluster-based permutation statistic, in accordance with the approach in </w:t>
      </w:r>
      <w:r w:rsidRPr="00523520">
        <w:fldChar w:fldCharType="begin"/>
      </w:r>
      <w:r w:rsidR="00C1088B">
        <w:rPr>
          <w:lang w:val="en-US"/>
        </w:rPr>
        <w:instrText xml:space="preserve"> ADDIN ZOTERO_ITEM CSL_CITATION {"citationID":"y49eiYER","properties":{"unsorted":false,"formattedCitation":"\\super 1\\nosupersub{}","plainCitation":"1","noteIndex":0},"citationItems":[{"id":991,"uris":["http://zotero.org/users/13379990/items/DSRANFSZ"],"itemData":{"id":991,"type":"article-journal","abstract":"To guide behavior, perceptual systems must operate on intrinsically ambiguous sensory input. Observers are usually able to acknowledge the uncertainty of their perception, but in some cases, they critically fail to do so. Here, we show that a physiological correlate of ambiguity can be found in pupil dilation even when the observer is not aware of such ambiguity. We used a well-known auditory ambiguous stimulus, known as the tritone paradox, which can induce the perception of an upward or downward pitch shift within the same individual. In two experiments, behavioral responses showed that listeners could not explicitly access the ambiguity in this stimulus, even though their responses varied from trial to trial. However, pupil dilation was larger for the more ambiguous cases. The ambiguity of the stimulus for each listener was indexed by the entropy of behavioral responses, and this entropy was also a significant predictor of pupil size. In particular, entropy explained additional variation in pupil size independent of the explicit judgment of confidence in the specific situation that we investigated, in which the two measures were decoupled. Our data thus suggest that stimulus ambiguity is implicitly represented in the brain even without explicit awareness of this ambiguity.","container-title":"Proceedings of the National Academy of Sciences","DOI":"10.1073/pnas.2107997118","issue":"48","page":"e2107997118","publisher":"Proceedings of the National Academy of Sciences","source":"pnas.org (Atypon)","title":"An implicit representation of stimulus ambiguity in pupil size","volume":"118","author":[{"family":"Graves","given":"Jackson E."},{"family":"Egré","given":"Paul"},{"family":"Pressnitzer","given":"Daniel"},{"family":"Gardelle","given":"Vincent","non-dropping-particle":"de"}],"issued":{"date-parts":[["2021",11,30]]}}}],"schema":"https://github.com/citation-style-language/schema/raw/master/csl-citation.json"} </w:instrText>
      </w:r>
      <w:r w:rsidRPr="00523520">
        <w:fldChar w:fldCharType="separate"/>
      </w:r>
      <w:r w:rsidR="00C1088B" w:rsidRPr="00C1088B">
        <w:rPr>
          <w:vertAlign w:val="superscript"/>
          <w:lang w:val="en-US"/>
        </w:rPr>
        <w:t>1</w:t>
      </w:r>
      <w:r w:rsidRPr="00523520">
        <w:fldChar w:fldCharType="end"/>
      </w:r>
      <w:r w:rsidRPr="00585ADD">
        <w:rPr>
          <w:lang w:val="en-US"/>
        </w:rPr>
        <w:t xml:space="preserve">. The absolute </w:t>
      </w:r>
      <w:r w:rsidRPr="00585ADD">
        <w:rPr>
          <w:rStyle w:val="mord"/>
          <w:lang w:val="en-US"/>
        </w:rPr>
        <w:t>t</w:t>
      </w:r>
      <w:r w:rsidRPr="00585ADD">
        <w:rPr>
          <w:lang w:val="en-US"/>
        </w:rPr>
        <w:t xml:space="preserve">-statistics were summed for the largest consecutive series (cluster) of values exceeding </w:t>
      </w:r>
      <w:r w:rsidRPr="00585ADD">
        <w:rPr>
          <w:rStyle w:val="mord"/>
          <w:rFonts w:ascii="Cambria Math" w:hAnsi="Cambria Math" w:cs="Cambria Math"/>
          <w:lang w:val="en-US"/>
        </w:rPr>
        <w:t>∣</w:t>
      </w:r>
      <w:r w:rsidRPr="00585ADD">
        <w:rPr>
          <w:rStyle w:val="mord"/>
          <w:lang w:val="en-US"/>
        </w:rPr>
        <w:t>t</w:t>
      </w:r>
      <w:r w:rsidRPr="00585ADD">
        <w:rPr>
          <w:rStyle w:val="mord"/>
          <w:rFonts w:ascii="Cambria Math" w:hAnsi="Cambria Math" w:cs="Cambria Math"/>
          <w:lang w:val="en-US"/>
        </w:rPr>
        <w:t>∣</w:t>
      </w:r>
      <w:r w:rsidRPr="00585ADD">
        <w:rPr>
          <w:rStyle w:val="mrel"/>
          <w:lang w:val="en-US"/>
        </w:rPr>
        <w:t>&gt;</w:t>
      </w:r>
      <w:r w:rsidRPr="00585ADD">
        <w:rPr>
          <w:rStyle w:val="mord"/>
          <w:lang w:val="en-US"/>
        </w:rPr>
        <w:t>2.0</w:t>
      </w:r>
      <w:r w:rsidRPr="00585ADD">
        <w:rPr>
          <w:lang w:val="en-US"/>
        </w:rPr>
        <w:t xml:space="preserve">. This observed cluster mass was then compared with the equivalent largest cluster mass obtained across 10,000 iterations of the same process following a random permutation of condition </w:t>
      </w:r>
      <w:r w:rsidRPr="00585ADD">
        <w:rPr>
          <w:lang w:val="en-US"/>
        </w:rPr>
        <w:lastRenderedPageBreak/>
        <w:t>labels for each participant. Clusters whose observed mass exceeded the 95th percentile of the permuted distribution were considered statistically significant (</w:t>
      </w:r>
      <w:r w:rsidRPr="00585ADD">
        <w:rPr>
          <w:rStyle w:val="mord"/>
          <w:lang w:val="en-US"/>
        </w:rPr>
        <w:t xml:space="preserve">p </w:t>
      </w:r>
      <w:r w:rsidRPr="00585ADD">
        <w:rPr>
          <w:rStyle w:val="mrel"/>
          <w:lang w:val="en-US"/>
        </w:rPr>
        <w:t xml:space="preserve">&lt; </w:t>
      </w:r>
      <w:r w:rsidRPr="00585ADD">
        <w:rPr>
          <w:rStyle w:val="mord"/>
          <w:lang w:val="en-US"/>
        </w:rPr>
        <w:t>0.05</w:t>
      </w:r>
      <w:r w:rsidRPr="00585ADD">
        <w:rPr>
          <w:lang w:val="en-US"/>
        </w:rPr>
        <w:t>). Observed clusters were further classified according to direction: positive clusters reflected greater pupil percentage change for Agent-Belief</w:t>
      </w:r>
      <w:r w:rsidRPr="00585ADD">
        <w:rPr>
          <w:bCs/>
          <w:lang w:val="en-US"/>
        </w:rPr>
        <w:t xml:space="preserve"> </w:t>
      </w:r>
      <w:r w:rsidRPr="00585ADD">
        <w:rPr>
          <w:lang w:val="en-US"/>
        </w:rPr>
        <w:t>&gt; Agent-</w:t>
      </w:r>
      <w:proofErr w:type="spellStart"/>
      <w:r w:rsidRPr="00585ADD">
        <w:rPr>
          <w:lang w:val="en-US"/>
        </w:rPr>
        <w:t>NoBelief</w:t>
      </w:r>
      <w:r w:rsidRPr="00585ADD">
        <w:rPr>
          <w:vertAlign w:val="subscript"/>
          <w:lang w:val="en-US"/>
        </w:rPr>
        <w:t>B</w:t>
      </w:r>
      <w:proofErr w:type="spellEnd"/>
      <w:r w:rsidRPr="00585ADD">
        <w:rPr>
          <w:lang w:val="en-US"/>
        </w:rPr>
        <w:t>, whereas negative clusters reflected greater pupil percentage change Agent-</w:t>
      </w:r>
      <w:proofErr w:type="spellStart"/>
      <w:r w:rsidRPr="00585ADD">
        <w:rPr>
          <w:lang w:val="en-US"/>
        </w:rPr>
        <w:t>NoBelief</w:t>
      </w:r>
      <w:r w:rsidRPr="00585ADD">
        <w:rPr>
          <w:vertAlign w:val="subscript"/>
          <w:lang w:val="en-US"/>
        </w:rPr>
        <w:t>B</w:t>
      </w:r>
      <w:proofErr w:type="spellEnd"/>
      <w:r w:rsidRPr="00585ADD">
        <w:rPr>
          <w:bCs/>
          <w:lang w:val="en-US"/>
        </w:rPr>
        <w:t xml:space="preserve"> </w:t>
      </w:r>
      <w:r w:rsidRPr="00585ADD">
        <w:rPr>
          <w:lang w:val="en-US"/>
        </w:rPr>
        <w:t xml:space="preserve">&gt; Agent-Belief. </w:t>
      </w:r>
      <w:r w:rsidRPr="00585ADD">
        <w:rPr>
          <w:bCs/>
          <w:lang w:val="en-US"/>
        </w:rPr>
        <w:t>Results of the cluster-based permutation analysis are shown in Fig 2D and Fig 4C</w:t>
      </w:r>
      <w:r w:rsidR="00822D99" w:rsidRPr="00523520">
        <w:rPr>
          <w:i/>
          <w:iCs/>
          <w:lang w:val="en-US"/>
        </w:rPr>
        <w:t>Eye movements</w:t>
      </w:r>
    </w:p>
    <w:p w14:paraId="5C055217" w14:textId="77777777" w:rsidR="00585ADD" w:rsidRDefault="00585ADD" w:rsidP="00585ADD">
      <w:pPr>
        <w:pStyle w:val="NormalWeb"/>
        <w:spacing w:before="0" w:beforeAutospacing="0" w:after="0" w:afterAutospacing="0"/>
        <w:jc w:val="both"/>
        <w:rPr>
          <w:i/>
          <w:iCs/>
          <w:lang w:val="en-US"/>
        </w:rPr>
      </w:pPr>
    </w:p>
    <w:p w14:paraId="3B26DDFC" w14:textId="54DD75BA" w:rsidR="00585ADD" w:rsidRPr="00523520" w:rsidRDefault="00DD559A" w:rsidP="00585ADD">
      <w:pPr>
        <w:pStyle w:val="NormalWeb"/>
        <w:spacing w:before="0" w:beforeAutospacing="0" w:after="0" w:afterAutospacing="0"/>
        <w:jc w:val="both"/>
        <w:rPr>
          <w:b/>
          <w:bCs/>
          <w:lang w:val="en-US"/>
        </w:rPr>
      </w:pPr>
      <w:r w:rsidRPr="00523520">
        <w:rPr>
          <w:i/>
          <w:iCs/>
          <w:lang w:val="en-US"/>
        </w:rPr>
        <w:t>Eye movements</w:t>
      </w:r>
    </w:p>
    <w:p w14:paraId="6BF29302" w14:textId="77777777" w:rsidR="00822D99" w:rsidRPr="00523520" w:rsidRDefault="00822D99" w:rsidP="00822D99">
      <w:pPr>
        <w:pStyle w:val="NormalWeb"/>
        <w:spacing w:before="0" w:beforeAutospacing="0" w:after="0" w:afterAutospacing="0"/>
        <w:ind w:firstLine="567"/>
        <w:jc w:val="both"/>
        <w:rPr>
          <w:b/>
          <w:bCs/>
          <w:lang w:val="en-US"/>
        </w:rPr>
      </w:pPr>
      <w:r w:rsidRPr="00523520">
        <w:rPr>
          <w:bCs/>
          <w:lang w:val="en-US"/>
        </w:rPr>
        <w:t>We analyzed eye position in experiment 1 during the dot-motion task phase of the trial to rule out that an asymmetric distribution of the subjects’ overt attention might have affected their motion judgments. The results are shown in Fig. S1. Eye position was coded relative to the head shown in the preceding display</w:t>
      </w:r>
      <w:r w:rsidRPr="00523520">
        <w:rPr>
          <w:lang w:val="en-US"/>
        </w:rPr>
        <w:t xml:space="preserve"> </w:t>
      </w:r>
      <w:r w:rsidRPr="00523520">
        <w:rPr>
          <w:bCs/>
          <w:lang w:val="en-US"/>
        </w:rPr>
        <w:t xml:space="preserve">(flipping the x axis when the head was to the left of the display). For each subject, we computed a horizonal eye position difference score (in pixels): ΔX = [mean horizontal eye position for the </w:t>
      </w:r>
      <w:r w:rsidRPr="00523520">
        <w:rPr>
          <w:lang w:val="en-US"/>
        </w:rPr>
        <w:t>Agent-Belief</w:t>
      </w:r>
      <w:r w:rsidRPr="00523520">
        <w:rPr>
          <w:bCs/>
          <w:lang w:val="en-US"/>
        </w:rPr>
        <w:t xml:space="preserve"> trials] – [mean horizontal eye position for the </w:t>
      </w:r>
      <w:r w:rsidRPr="00523520">
        <w:rPr>
          <w:lang w:val="en-US"/>
        </w:rPr>
        <w:t>Agent-</w:t>
      </w:r>
      <w:proofErr w:type="spellStart"/>
      <w:r w:rsidRPr="00523520">
        <w:rPr>
          <w:lang w:val="en-US"/>
        </w:rPr>
        <w:t>NoBelief</w:t>
      </w:r>
      <w:r w:rsidRPr="00523520">
        <w:rPr>
          <w:vertAlign w:val="subscript"/>
          <w:lang w:val="en-US"/>
        </w:rPr>
        <w:t>A</w:t>
      </w:r>
      <w:proofErr w:type="spellEnd"/>
      <w:r w:rsidRPr="00523520">
        <w:rPr>
          <w:bCs/>
          <w:lang w:val="en-US"/>
        </w:rPr>
        <w:t xml:space="preserve"> trials]. We then performed a t-test among the 27 subjects and found that ΔX was not significantly </w:t>
      </w:r>
      <w:r w:rsidRPr="00523520">
        <w:rPr>
          <w:lang w:val="en-US"/>
        </w:rPr>
        <w:t xml:space="preserve">different from zero </w:t>
      </w:r>
      <w:r w:rsidRPr="00523520">
        <w:rPr>
          <w:bCs/>
          <w:lang w:val="en-US"/>
        </w:rPr>
        <w:t>(mean ΔX</w:t>
      </w:r>
      <w:r w:rsidRPr="00523520" w:rsidDel="00063315">
        <w:rPr>
          <w:bCs/>
          <w:lang w:val="en-US"/>
        </w:rPr>
        <w:t xml:space="preserve"> </w:t>
      </w:r>
      <w:r w:rsidRPr="00523520">
        <w:rPr>
          <w:bCs/>
          <w:lang w:val="en-US"/>
        </w:rPr>
        <w:t>= 0.09, t</w:t>
      </w:r>
      <w:r w:rsidRPr="00523520">
        <w:rPr>
          <w:bCs/>
          <w:vertAlign w:val="subscript"/>
          <w:lang w:val="en-US"/>
        </w:rPr>
        <w:t>26</w:t>
      </w:r>
      <w:r w:rsidRPr="00523520">
        <w:rPr>
          <w:bCs/>
          <w:lang w:val="en-US"/>
        </w:rPr>
        <w:t xml:space="preserve"> = -1.74, </w:t>
      </w:r>
      <w:r w:rsidRPr="00523520">
        <w:rPr>
          <w:bCs/>
          <w:i/>
          <w:iCs/>
          <w:lang w:val="en-US"/>
        </w:rPr>
        <w:t>p</w:t>
      </w:r>
      <w:r w:rsidRPr="00523520">
        <w:rPr>
          <w:bCs/>
          <w:lang w:val="en-US"/>
        </w:rPr>
        <w:t xml:space="preserve"> = 0.094), demonstrating that the </w:t>
      </w:r>
      <w:r w:rsidRPr="00523520">
        <w:rPr>
          <w:lang w:val="en-US"/>
        </w:rPr>
        <w:t>Agent-Belief</w:t>
      </w:r>
      <w:r w:rsidRPr="00523520">
        <w:rPr>
          <w:bCs/>
          <w:lang w:val="en-US"/>
        </w:rPr>
        <w:t xml:space="preserve"> did not cause a systematic shift in horizontal eye position relative to the </w:t>
      </w:r>
      <w:r w:rsidRPr="00523520">
        <w:rPr>
          <w:lang w:val="en-US"/>
        </w:rPr>
        <w:t>Agent-</w:t>
      </w:r>
      <w:proofErr w:type="spellStart"/>
      <w:r w:rsidRPr="00523520">
        <w:rPr>
          <w:lang w:val="en-US"/>
        </w:rPr>
        <w:t>NoBelief</w:t>
      </w:r>
      <w:r w:rsidRPr="00523520">
        <w:rPr>
          <w:vertAlign w:val="subscript"/>
          <w:lang w:val="en-US"/>
        </w:rPr>
        <w:t>A</w:t>
      </w:r>
      <w:proofErr w:type="spellEnd"/>
      <w:r w:rsidRPr="00523520">
        <w:rPr>
          <w:bCs/>
          <w:lang w:val="en-US"/>
        </w:rPr>
        <w:t xml:space="preserve"> condition. This result was expected given that subjects were instructed to </w:t>
      </w:r>
      <w:proofErr w:type="gramStart"/>
      <w:r w:rsidRPr="00523520">
        <w:rPr>
          <w:bCs/>
          <w:lang w:val="en-US"/>
        </w:rPr>
        <w:t>fixate</w:t>
      </w:r>
      <w:proofErr w:type="gramEnd"/>
      <w:r w:rsidRPr="00523520">
        <w:rPr>
          <w:bCs/>
          <w:lang w:val="en-US"/>
        </w:rPr>
        <w:t xml:space="preserve"> centrally and that the two conditions were visually identical</w:t>
      </w:r>
      <w:r w:rsidRPr="00523520">
        <w:rPr>
          <w:lang w:val="en-US"/>
        </w:rPr>
        <w:t xml:space="preserve"> 4.5s before task </w:t>
      </w:r>
      <w:proofErr w:type="gramStart"/>
      <w:r w:rsidRPr="00523520">
        <w:rPr>
          <w:lang w:val="en-US"/>
        </w:rPr>
        <w:t>onset</w:t>
      </w:r>
      <w:r w:rsidRPr="00523520">
        <w:rPr>
          <w:bCs/>
          <w:lang w:val="en-US"/>
        </w:rPr>
        <w:t>, and</w:t>
      </w:r>
      <w:proofErr w:type="gramEnd"/>
      <w:r w:rsidRPr="00523520">
        <w:rPr>
          <w:bCs/>
          <w:lang w:val="en-US"/>
        </w:rPr>
        <w:t xml:space="preserve"> replicates the findings of Guterstam &amp; Graziano (2020b). In Experiment 2, again, we analyzed eye position during the dot-motion task phase of the trial to rule out that an asymmetric allocation of participants’ overt attention might have affected their performance, using the same procedures as described in experiment 1. Again, we found that ΔX was not significantly different from zero for the dot motion task (mean ΔX</w:t>
      </w:r>
      <w:r w:rsidRPr="00523520" w:rsidDel="00063315">
        <w:rPr>
          <w:bCs/>
          <w:lang w:val="en-US"/>
        </w:rPr>
        <w:t xml:space="preserve"> </w:t>
      </w:r>
      <w:r w:rsidRPr="00523520">
        <w:rPr>
          <w:bCs/>
          <w:lang w:val="en-US"/>
        </w:rPr>
        <w:t>= -0.02, t</w:t>
      </w:r>
      <w:r w:rsidRPr="00523520">
        <w:rPr>
          <w:bCs/>
          <w:vertAlign w:val="subscript"/>
          <w:lang w:val="en-US"/>
        </w:rPr>
        <w:t>29</w:t>
      </w:r>
      <w:r w:rsidRPr="00523520">
        <w:rPr>
          <w:bCs/>
          <w:lang w:val="en-US"/>
        </w:rPr>
        <w:t xml:space="preserve"> = -0.45, </w:t>
      </w:r>
      <w:r w:rsidRPr="00523520">
        <w:rPr>
          <w:bCs/>
          <w:i/>
          <w:iCs/>
          <w:lang w:val="en-US"/>
        </w:rPr>
        <w:t>p</w:t>
      </w:r>
      <w:r w:rsidRPr="00523520">
        <w:rPr>
          <w:bCs/>
          <w:lang w:val="en-US"/>
        </w:rPr>
        <w:t xml:space="preserve"> = 0.658), demonstrating that the </w:t>
      </w:r>
      <w:r w:rsidRPr="00523520">
        <w:rPr>
          <w:lang w:val="en-US"/>
        </w:rPr>
        <w:t>Agent-Belief</w:t>
      </w:r>
      <w:r w:rsidRPr="00523520">
        <w:rPr>
          <w:bCs/>
          <w:lang w:val="en-US"/>
        </w:rPr>
        <w:t xml:space="preserve"> did not cause a systematic shift in horizontal eye position relative to the </w:t>
      </w:r>
      <w:r w:rsidRPr="00523520">
        <w:rPr>
          <w:lang w:val="en-US"/>
        </w:rPr>
        <w:t>Agent-</w:t>
      </w:r>
      <w:proofErr w:type="spellStart"/>
      <w:r w:rsidRPr="00523520">
        <w:rPr>
          <w:lang w:val="en-US"/>
        </w:rPr>
        <w:t>NoBelief</w:t>
      </w:r>
      <w:r w:rsidRPr="00523520">
        <w:rPr>
          <w:vertAlign w:val="subscript"/>
          <w:lang w:val="en-US"/>
        </w:rPr>
        <w:t>B</w:t>
      </w:r>
      <w:proofErr w:type="spellEnd"/>
      <w:r w:rsidRPr="00523520">
        <w:rPr>
          <w:bCs/>
          <w:lang w:val="en-US"/>
        </w:rPr>
        <w:t xml:space="preserve"> condition. </w:t>
      </w:r>
    </w:p>
    <w:p w14:paraId="53FE91D6" w14:textId="77777777" w:rsidR="00822D99" w:rsidRPr="00523520" w:rsidRDefault="00822D99" w:rsidP="00822D99">
      <w:pPr>
        <w:ind w:firstLine="567"/>
        <w:jc w:val="both"/>
        <w:rPr>
          <w:bCs/>
        </w:rPr>
      </w:pPr>
      <w:r w:rsidRPr="00523520">
        <w:rPr>
          <w:bCs/>
        </w:rPr>
        <w:t xml:space="preserve">Similarly, we calculated eye position in experiments 2-4 for the ball detection task during the task phase (i.e., when the </w:t>
      </w:r>
      <w:proofErr w:type="spellStart"/>
      <w:r w:rsidRPr="00523520">
        <w:rPr>
          <w:bCs/>
        </w:rPr>
        <w:t>occluder</w:t>
      </w:r>
      <w:proofErr w:type="spellEnd"/>
      <w:r w:rsidRPr="00523520">
        <w:rPr>
          <w:bCs/>
        </w:rPr>
        <w:t xml:space="preserve"> opened) using the same procedures. The results are shown in Fig. S2. We computed ΔX for each experiment: The results show no significant differences between the Agent-Belief and </w:t>
      </w:r>
      <w:r w:rsidRPr="00523520">
        <w:t>Agent-</w:t>
      </w:r>
      <w:proofErr w:type="spellStart"/>
      <w:r w:rsidRPr="00523520">
        <w:t>NoBelief</w:t>
      </w:r>
      <w:r w:rsidRPr="00523520">
        <w:rPr>
          <w:vertAlign w:val="subscript"/>
        </w:rPr>
        <w:t>B</w:t>
      </w:r>
      <w:proofErr w:type="spellEnd"/>
      <w:r w:rsidRPr="00523520">
        <w:rPr>
          <w:bCs/>
        </w:rPr>
        <w:t xml:space="preserve"> condition in experiment 2 (mean ΔX = 0.09, t</w:t>
      </w:r>
      <w:r w:rsidRPr="00523520">
        <w:rPr>
          <w:bCs/>
          <w:vertAlign w:val="subscript"/>
        </w:rPr>
        <w:t>29</w:t>
      </w:r>
      <w:r w:rsidRPr="00523520">
        <w:rPr>
          <w:bCs/>
        </w:rPr>
        <w:t xml:space="preserve"> = 0.676, </w:t>
      </w:r>
      <w:r w:rsidRPr="00523520">
        <w:rPr>
          <w:bCs/>
          <w:i/>
          <w:iCs/>
        </w:rPr>
        <w:t>p</w:t>
      </w:r>
      <w:r w:rsidRPr="00523520">
        <w:rPr>
          <w:bCs/>
        </w:rPr>
        <w:t xml:space="preserve"> = 0.505), no significant differences between the Congruent Agent-Belief and Incongruent Agent-Belief condition in experiment 3 (mean ΔX = 0.14, t</w:t>
      </w:r>
      <w:r w:rsidRPr="00523520">
        <w:rPr>
          <w:bCs/>
          <w:vertAlign w:val="subscript"/>
        </w:rPr>
        <w:t>28</w:t>
      </w:r>
      <w:r w:rsidRPr="00523520">
        <w:rPr>
          <w:bCs/>
        </w:rPr>
        <w:t xml:space="preserve"> = 0.89, </w:t>
      </w:r>
      <w:r w:rsidRPr="00523520">
        <w:rPr>
          <w:bCs/>
          <w:i/>
          <w:iCs/>
        </w:rPr>
        <w:t>p</w:t>
      </w:r>
      <w:r w:rsidRPr="00523520">
        <w:rPr>
          <w:bCs/>
        </w:rPr>
        <w:t xml:space="preserve"> = 0.385) and experiment 4 (mean ΔX = 0.002, t</w:t>
      </w:r>
      <w:r w:rsidRPr="00523520">
        <w:rPr>
          <w:bCs/>
          <w:vertAlign w:val="subscript"/>
        </w:rPr>
        <w:t>26</w:t>
      </w:r>
      <w:r w:rsidRPr="00523520">
        <w:rPr>
          <w:bCs/>
        </w:rPr>
        <w:t xml:space="preserve"> = 0.116, </w:t>
      </w:r>
      <w:r w:rsidRPr="00523520">
        <w:rPr>
          <w:bCs/>
          <w:i/>
          <w:iCs/>
        </w:rPr>
        <w:t>p</w:t>
      </w:r>
      <w:r w:rsidRPr="00523520">
        <w:rPr>
          <w:bCs/>
        </w:rPr>
        <w:t xml:space="preserve"> = 0.991). These findings rule out the alternative explanation that the behavioral differences observed between conditions in experiments 2-4 were driven by systematic differences in participants’ overt attention during the task phase.</w:t>
      </w:r>
    </w:p>
    <w:p w14:paraId="1C4016F5" w14:textId="2D428203" w:rsidR="00D00EB0" w:rsidRPr="00DD559A" w:rsidRDefault="00822D99" w:rsidP="00DD559A">
      <w:pPr>
        <w:ind w:firstLine="567"/>
        <w:jc w:val="both"/>
      </w:pPr>
      <w:r w:rsidRPr="00523520">
        <w:t xml:space="preserve">Additionally, to rule out that differences in ball-detection latencies between belief and no-belief conditions in experiments 2-4 could be explained by systematic differences in gaze position during the belief representation phase, we calculated mean gaze duration within predefined areas of interest (AOIs) encompassing the agent and the </w:t>
      </w:r>
      <w:proofErr w:type="spellStart"/>
      <w:r w:rsidRPr="00523520">
        <w:t>occluder</w:t>
      </w:r>
      <w:proofErr w:type="spellEnd"/>
      <w:r w:rsidRPr="00523520">
        <w:t>. In experiment 2, we found no significant differences in mean gaze duration neither the agent AOI (</w:t>
      </w:r>
      <w:r w:rsidRPr="00523520">
        <w:rPr>
          <w:bCs/>
        </w:rPr>
        <w:t xml:space="preserve">Agent-Belief </w:t>
      </w:r>
      <w:r w:rsidRPr="00523520">
        <w:t>= 0.135 s; Agent-</w:t>
      </w:r>
      <w:proofErr w:type="spellStart"/>
      <w:r w:rsidRPr="00523520">
        <w:t>NoBelief</w:t>
      </w:r>
      <w:r w:rsidRPr="00523520">
        <w:rPr>
          <w:vertAlign w:val="subscript"/>
        </w:rPr>
        <w:t>B</w:t>
      </w:r>
      <w:proofErr w:type="spellEnd"/>
      <w:r w:rsidRPr="00523520">
        <w:rPr>
          <w:bCs/>
        </w:rPr>
        <w:t xml:space="preserve"> </w:t>
      </w:r>
      <w:r w:rsidRPr="00523520">
        <w:t xml:space="preserve">= 0.138 s, </w:t>
      </w:r>
      <w:r w:rsidRPr="00523520">
        <w:rPr>
          <w:bCs/>
        </w:rPr>
        <w:t>t</w:t>
      </w:r>
      <w:r w:rsidRPr="00523520">
        <w:rPr>
          <w:bCs/>
          <w:vertAlign w:val="subscript"/>
        </w:rPr>
        <w:t>26</w:t>
      </w:r>
      <w:r w:rsidRPr="00523520">
        <w:rPr>
          <w:bCs/>
        </w:rPr>
        <w:t xml:space="preserve"> </w:t>
      </w:r>
      <w:r w:rsidRPr="00523520">
        <w:t xml:space="preserve">= -0.458, </w:t>
      </w:r>
      <w:r w:rsidRPr="00523520">
        <w:rPr>
          <w:i/>
          <w:iCs/>
        </w:rPr>
        <w:t>p</w:t>
      </w:r>
      <w:r w:rsidRPr="00523520">
        <w:t xml:space="preserve"> = 0.651) nor the </w:t>
      </w:r>
      <w:proofErr w:type="spellStart"/>
      <w:r w:rsidRPr="00523520">
        <w:t>occluder</w:t>
      </w:r>
      <w:proofErr w:type="spellEnd"/>
      <w:r w:rsidRPr="00523520">
        <w:t xml:space="preserve"> AOI (</w:t>
      </w:r>
      <w:r w:rsidRPr="00523520">
        <w:rPr>
          <w:bCs/>
        </w:rPr>
        <w:t xml:space="preserve">Agent-Belief </w:t>
      </w:r>
      <w:r w:rsidRPr="00523520">
        <w:t>= 0.525 s; Agent-</w:t>
      </w:r>
      <w:proofErr w:type="spellStart"/>
      <w:r w:rsidRPr="00523520">
        <w:t>NoBelief</w:t>
      </w:r>
      <w:r w:rsidRPr="00523520">
        <w:rPr>
          <w:vertAlign w:val="subscript"/>
        </w:rPr>
        <w:t>B</w:t>
      </w:r>
      <w:proofErr w:type="spellEnd"/>
      <w:r w:rsidRPr="00523520">
        <w:rPr>
          <w:bCs/>
        </w:rPr>
        <w:t xml:space="preserve"> </w:t>
      </w:r>
      <w:r w:rsidRPr="00523520">
        <w:t xml:space="preserve">= 0.531 s, </w:t>
      </w:r>
      <w:r w:rsidRPr="00523520">
        <w:rPr>
          <w:bCs/>
        </w:rPr>
        <w:t>t</w:t>
      </w:r>
      <w:r w:rsidRPr="00523520">
        <w:rPr>
          <w:bCs/>
          <w:vertAlign w:val="subscript"/>
        </w:rPr>
        <w:t>26</w:t>
      </w:r>
      <w:r w:rsidRPr="00523520">
        <w:rPr>
          <w:bCs/>
        </w:rPr>
        <w:t xml:space="preserve"> </w:t>
      </w:r>
      <w:r w:rsidRPr="00523520">
        <w:t xml:space="preserve">= -0.573, </w:t>
      </w:r>
      <w:r w:rsidRPr="00523520">
        <w:rPr>
          <w:i/>
          <w:iCs/>
        </w:rPr>
        <w:t>p</w:t>
      </w:r>
      <w:r w:rsidRPr="00523520">
        <w:t xml:space="preserve"> = 0.571). A similar pattern of results was observed in experiments 3 for the agent AOI (</w:t>
      </w:r>
      <w:r w:rsidRPr="00523520">
        <w:rPr>
          <w:bCs/>
        </w:rPr>
        <w:t xml:space="preserve">Congruent Agent-Belief </w:t>
      </w:r>
      <w:r w:rsidRPr="00523520">
        <w:t xml:space="preserve">= 0.154 s; </w:t>
      </w:r>
      <w:r w:rsidRPr="00523520">
        <w:rPr>
          <w:bCs/>
        </w:rPr>
        <w:t xml:space="preserve">Incongruent Agent-Belief </w:t>
      </w:r>
      <w:r w:rsidRPr="00523520">
        <w:t xml:space="preserve">= 0.164 s, </w:t>
      </w:r>
      <w:r w:rsidRPr="00523520">
        <w:rPr>
          <w:bCs/>
        </w:rPr>
        <w:t>t</w:t>
      </w:r>
      <w:r w:rsidRPr="00523520">
        <w:rPr>
          <w:bCs/>
          <w:vertAlign w:val="subscript"/>
        </w:rPr>
        <w:t>28</w:t>
      </w:r>
      <w:r w:rsidRPr="00523520">
        <w:rPr>
          <w:bCs/>
        </w:rPr>
        <w:t xml:space="preserve"> </w:t>
      </w:r>
      <w:r w:rsidRPr="00523520">
        <w:t xml:space="preserve">= -1.185, </w:t>
      </w:r>
      <w:r w:rsidRPr="00523520">
        <w:rPr>
          <w:i/>
          <w:iCs/>
        </w:rPr>
        <w:t>p</w:t>
      </w:r>
      <w:r w:rsidRPr="00523520">
        <w:t xml:space="preserve"> = 0.246) and the </w:t>
      </w:r>
      <w:proofErr w:type="spellStart"/>
      <w:r w:rsidRPr="00523520">
        <w:t>occluder</w:t>
      </w:r>
      <w:proofErr w:type="spellEnd"/>
      <w:r w:rsidRPr="00523520">
        <w:t xml:space="preserve"> AOI (</w:t>
      </w:r>
      <w:r w:rsidRPr="00523520">
        <w:rPr>
          <w:bCs/>
        </w:rPr>
        <w:t xml:space="preserve">Congruent Agent-Belief </w:t>
      </w:r>
      <w:r w:rsidRPr="00523520">
        <w:t xml:space="preserve">= 0.299 s; </w:t>
      </w:r>
      <w:r w:rsidRPr="00523520">
        <w:rPr>
          <w:bCs/>
        </w:rPr>
        <w:t>mean</w:t>
      </w:r>
      <w:r w:rsidRPr="00523520">
        <w:t xml:space="preserve"> </w:t>
      </w:r>
      <w:r w:rsidRPr="00523520">
        <w:rPr>
          <w:bCs/>
        </w:rPr>
        <w:t xml:space="preserve">Incongruent Agent-Belief </w:t>
      </w:r>
      <w:r w:rsidRPr="00523520">
        <w:t xml:space="preserve">= 0.303 s, </w:t>
      </w:r>
      <w:r w:rsidRPr="00523520">
        <w:rPr>
          <w:bCs/>
        </w:rPr>
        <w:t>t</w:t>
      </w:r>
      <w:r w:rsidRPr="00523520">
        <w:rPr>
          <w:bCs/>
          <w:vertAlign w:val="subscript"/>
        </w:rPr>
        <w:t>28</w:t>
      </w:r>
      <w:r w:rsidRPr="00523520">
        <w:rPr>
          <w:bCs/>
        </w:rPr>
        <w:t xml:space="preserve"> </w:t>
      </w:r>
      <w:r w:rsidRPr="00523520">
        <w:t>= -0.391,</w:t>
      </w:r>
      <w:r w:rsidRPr="00523520">
        <w:rPr>
          <w:i/>
          <w:iCs/>
        </w:rPr>
        <w:t xml:space="preserve"> p</w:t>
      </w:r>
      <w:r w:rsidRPr="00523520">
        <w:t xml:space="preserve"> = 0.699), and in experiment 4 for the agent AOI (</w:t>
      </w:r>
      <w:r w:rsidRPr="00523520">
        <w:rPr>
          <w:bCs/>
        </w:rPr>
        <w:t xml:space="preserve">Congruent Agent-Belief </w:t>
      </w:r>
      <w:r w:rsidRPr="00523520">
        <w:t xml:space="preserve">= 0.073 s; </w:t>
      </w:r>
      <w:r w:rsidRPr="00523520">
        <w:rPr>
          <w:bCs/>
        </w:rPr>
        <w:t xml:space="preserve">Incongruent Agent-Belief </w:t>
      </w:r>
      <w:r w:rsidRPr="00523520">
        <w:t xml:space="preserve">= 0.067 s, </w:t>
      </w:r>
      <w:r w:rsidRPr="00523520">
        <w:rPr>
          <w:bCs/>
        </w:rPr>
        <w:t>t</w:t>
      </w:r>
      <w:r w:rsidRPr="00523520">
        <w:rPr>
          <w:bCs/>
          <w:vertAlign w:val="subscript"/>
        </w:rPr>
        <w:t xml:space="preserve">26 </w:t>
      </w:r>
      <w:r w:rsidRPr="00523520">
        <w:t xml:space="preserve">= 1.01, </w:t>
      </w:r>
      <w:r w:rsidRPr="00523520">
        <w:rPr>
          <w:i/>
          <w:iCs/>
        </w:rPr>
        <w:t>p</w:t>
      </w:r>
      <w:r w:rsidRPr="00523520">
        <w:t xml:space="preserve"> = 0.322) and the </w:t>
      </w:r>
      <w:proofErr w:type="spellStart"/>
      <w:r w:rsidRPr="00523520">
        <w:t>occluder</w:t>
      </w:r>
      <w:proofErr w:type="spellEnd"/>
      <w:r w:rsidRPr="00523520">
        <w:t xml:space="preserve"> AOI (</w:t>
      </w:r>
      <w:r w:rsidRPr="00523520">
        <w:rPr>
          <w:bCs/>
        </w:rPr>
        <w:t xml:space="preserve">Congruent Agent-Belief </w:t>
      </w:r>
      <w:r w:rsidRPr="00523520">
        <w:t xml:space="preserve">= 0.473 s; </w:t>
      </w:r>
      <w:r w:rsidRPr="00523520">
        <w:rPr>
          <w:bCs/>
        </w:rPr>
        <w:t xml:space="preserve">Incongruent Agent-Belief </w:t>
      </w:r>
      <w:r w:rsidRPr="00523520">
        <w:t xml:space="preserve">= 0.478 s, </w:t>
      </w:r>
      <w:r w:rsidRPr="00523520">
        <w:rPr>
          <w:bCs/>
        </w:rPr>
        <w:t>t</w:t>
      </w:r>
      <w:r w:rsidRPr="00523520">
        <w:rPr>
          <w:bCs/>
          <w:vertAlign w:val="subscript"/>
        </w:rPr>
        <w:t xml:space="preserve">29 </w:t>
      </w:r>
      <w:r w:rsidRPr="00523520">
        <w:t xml:space="preserve">= -0.359, </w:t>
      </w:r>
      <w:r w:rsidRPr="00523520">
        <w:rPr>
          <w:i/>
          <w:iCs/>
        </w:rPr>
        <w:t>p</w:t>
      </w:r>
      <w:r w:rsidRPr="00523520">
        <w:t xml:space="preserve"> = 0.722)</w:t>
      </w:r>
    </w:p>
    <w:p w14:paraId="41CB885C" w14:textId="1E69845E" w:rsidR="00D00EB0" w:rsidRDefault="005745E8" w:rsidP="00D00EB0">
      <w:pPr>
        <w:jc w:val="center"/>
      </w:pPr>
      <w:r>
        <w:rPr>
          <w:noProof/>
          <w14:ligatures w14:val="standardContextual"/>
        </w:rPr>
        <w:lastRenderedPageBreak/>
        <w:drawing>
          <wp:inline distT="0" distB="0" distL="0" distR="0" wp14:anchorId="5107D886" wp14:editId="1903DB5F">
            <wp:extent cx="4288545" cy="4081280"/>
            <wp:effectExtent l="0" t="0" r="0" b="0"/>
            <wp:docPr id="155126640" name="Picture 1" descr="A diagram of a scientific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6640" name="Picture 1" descr="A diagram of a scientific experimen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88545" cy="4081280"/>
                    </a:xfrm>
                    <a:prstGeom prst="rect">
                      <a:avLst/>
                    </a:prstGeom>
                  </pic:spPr>
                </pic:pic>
              </a:graphicData>
            </a:graphic>
          </wp:inline>
        </w:drawing>
      </w:r>
    </w:p>
    <w:p w14:paraId="2617C07E" w14:textId="77777777" w:rsidR="00D00EB0" w:rsidRPr="00523520" w:rsidRDefault="00D00EB0" w:rsidP="00D00EB0">
      <w:pPr>
        <w:jc w:val="center"/>
      </w:pPr>
    </w:p>
    <w:p w14:paraId="6CF107B2" w14:textId="659E894E" w:rsidR="00D00EB0" w:rsidRPr="00D00EB0" w:rsidRDefault="00D00EB0" w:rsidP="00D00EB0">
      <w:pPr>
        <w:jc w:val="both"/>
        <w:rPr>
          <w:bCs/>
        </w:rPr>
      </w:pPr>
      <w:r w:rsidRPr="00523520">
        <w:rPr>
          <w:b/>
          <w:bCs/>
        </w:rPr>
        <w:t>Figure S1.</w:t>
      </w:r>
      <w:r w:rsidRPr="00523520">
        <w:t xml:space="preserve"> </w:t>
      </w:r>
      <w:r w:rsidRPr="00523520">
        <w:rPr>
          <w:bCs/>
        </w:rPr>
        <w:t>Distribution of gaze position in experiments 1-2 during the dot-motion task phase for the Agent-Belief and Agent-</w:t>
      </w:r>
      <w:proofErr w:type="spellStart"/>
      <w:r w:rsidRPr="00523520">
        <w:rPr>
          <w:bCs/>
        </w:rPr>
        <w:t>NoBelief</w:t>
      </w:r>
      <w:proofErr w:type="spellEnd"/>
      <w:r w:rsidRPr="00523520">
        <w:rPr>
          <w:bCs/>
        </w:rPr>
        <w:t xml:space="preserve"> conditions. For trials in which the agent’s head appeared on the right side, the X coordinates were flipped so that all trials were coded as though the head appeared on the left. Data is shown from the dot-motion task phase, during which participants viewed the dots stimulus and performed a motion direction discrimination task. Heatmaps show the proportion of total viewing time (%). The location of agent (right blue dashed line), </w:t>
      </w:r>
      <w:proofErr w:type="spellStart"/>
      <w:r w:rsidRPr="00523520">
        <w:rPr>
          <w:bCs/>
        </w:rPr>
        <w:t>occluder</w:t>
      </w:r>
      <w:proofErr w:type="spellEnd"/>
      <w:r w:rsidRPr="00523520">
        <w:rPr>
          <w:bCs/>
        </w:rPr>
        <w:t xml:space="preserve"> (left blue dashed line), and the empty space in-between agent and </w:t>
      </w:r>
      <w:proofErr w:type="spellStart"/>
      <w:r w:rsidRPr="00523520">
        <w:rPr>
          <w:bCs/>
        </w:rPr>
        <w:t>occluder</w:t>
      </w:r>
      <w:proofErr w:type="spellEnd"/>
      <w:r w:rsidRPr="00523520">
        <w:rPr>
          <w:bCs/>
        </w:rPr>
        <w:t xml:space="preserve"> (central red dashed line) in the preceding belief representation phase, are outlined for reference. Grid squares indicate the percentage of time participants’ gaze fell within each region during the belief-representation phase.</w:t>
      </w:r>
    </w:p>
    <w:p w14:paraId="75C12B80" w14:textId="77777777" w:rsidR="00D00EB0" w:rsidRPr="00523520" w:rsidRDefault="00D00EB0" w:rsidP="00D00EB0">
      <w:pPr>
        <w:rPr>
          <w:bCs/>
          <w:sz w:val="20"/>
          <w:szCs w:val="20"/>
        </w:rPr>
      </w:pPr>
    </w:p>
    <w:p w14:paraId="0EAEC6D0" w14:textId="696F1ED6" w:rsidR="00D00EB0" w:rsidRDefault="00D00EB0" w:rsidP="00D00EB0">
      <w:pPr>
        <w:ind w:left="720" w:firstLine="720"/>
        <w:rPr>
          <w:bCs/>
          <w:noProof/>
          <w:sz w:val="20"/>
          <w:szCs w:val="20"/>
          <w14:ligatures w14:val="standardContextual"/>
        </w:rPr>
      </w:pPr>
    </w:p>
    <w:p w14:paraId="5CE582D2" w14:textId="77777777" w:rsidR="005745E8" w:rsidRDefault="005745E8" w:rsidP="00D00EB0">
      <w:pPr>
        <w:ind w:left="720" w:firstLine="720"/>
        <w:rPr>
          <w:bCs/>
          <w:noProof/>
          <w:sz w:val="20"/>
          <w:szCs w:val="20"/>
          <w14:ligatures w14:val="standardContextual"/>
        </w:rPr>
      </w:pPr>
    </w:p>
    <w:p w14:paraId="0274B05E" w14:textId="77777777" w:rsidR="005745E8" w:rsidRDefault="005745E8" w:rsidP="00D00EB0">
      <w:pPr>
        <w:ind w:left="720" w:firstLine="720"/>
        <w:rPr>
          <w:bCs/>
          <w:noProof/>
          <w:sz w:val="20"/>
          <w:szCs w:val="20"/>
          <w14:ligatures w14:val="standardContextual"/>
        </w:rPr>
      </w:pPr>
    </w:p>
    <w:p w14:paraId="529A1169" w14:textId="77777777" w:rsidR="005745E8" w:rsidRDefault="005745E8" w:rsidP="00D00EB0">
      <w:pPr>
        <w:ind w:left="720" w:firstLine="720"/>
        <w:rPr>
          <w:bCs/>
          <w:noProof/>
          <w:sz w:val="20"/>
          <w:szCs w:val="20"/>
          <w14:ligatures w14:val="standardContextual"/>
        </w:rPr>
      </w:pPr>
    </w:p>
    <w:p w14:paraId="7A179C26" w14:textId="77777777" w:rsidR="005745E8" w:rsidRDefault="005745E8" w:rsidP="00D00EB0">
      <w:pPr>
        <w:ind w:left="720" w:firstLine="720"/>
        <w:rPr>
          <w:bCs/>
          <w:noProof/>
          <w:sz w:val="20"/>
          <w:szCs w:val="20"/>
          <w14:ligatures w14:val="standardContextual"/>
        </w:rPr>
      </w:pPr>
    </w:p>
    <w:p w14:paraId="6472560F" w14:textId="77777777" w:rsidR="005745E8" w:rsidRDefault="005745E8" w:rsidP="00D00EB0">
      <w:pPr>
        <w:ind w:left="720" w:firstLine="720"/>
        <w:rPr>
          <w:bCs/>
          <w:noProof/>
          <w:sz w:val="20"/>
          <w:szCs w:val="20"/>
          <w14:ligatures w14:val="standardContextual"/>
        </w:rPr>
      </w:pPr>
    </w:p>
    <w:p w14:paraId="230B4FD4" w14:textId="77777777" w:rsidR="005745E8" w:rsidRDefault="005745E8" w:rsidP="00D00EB0">
      <w:pPr>
        <w:ind w:left="720" w:firstLine="720"/>
        <w:rPr>
          <w:bCs/>
          <w:noProof/>
          <w:sz w:val="20"/>
          <w:szCs w:val="20"/>
          <w14:ligatures w14:val="standardContextual"/>
        </w:rPr>
      </w:pPr>
    </w:p>
    <w:p w14:paraId="62681126" w14:textId="77777777" w:rsidR="005745E8" w:rsidRDefault="005745E8" w:rsidP="00D00EB0">
      <w:pPr>
        <w:ind w:left="720" w:firstLine="720"/>
        <w:rPr>
          <w:bCs/>
          <w:noProof/>
          <w:sz w:val="20"/>
          <w:szCs w:val="20"/>
          <w14:ligatures w14:val="standardContextual"/>
        </w:rPr>
      </w:pPr>
    </w:p>
    <w:p w14:paraId="7E07A716" w14:textId="77777777" w:rsidR="005745E8" w:rsidRDefault="005745E8" w:rsidP="00D00EB0">
      <w:pPr>
        <w:ind w:left="720" w:firstLine="720"/>
        <w:rPr>
          <w:bCs/>
          <w:noProof/>
          <w:sz w:val="20"/>
          <w:szCs w:val="20"/>
          <w14:ligatures w14:val="standardContextual"/>
        </w:rPr>
      </w:pPr>
    </w:p>
    <w:p w14:paraId="0CF15DCC" w14:textId="77777777" w:rsidR="005745E8" w:rsidRDefault="005745E8" w:rsidP="00D00EB0">
      <w:pPr>
        <w:ind w:left="720" w:firstLine="720"/>
        <w:rPr>
          <w:bCs/>
          <w:noProof/>
          <w:sz w:val="20"/>
          <w:szCs w:val="20"/>
          <w14:ligatures w14:val="standardContextual"/>
        </w:rPr>
      </w:pPr>
    </w:p>
    <w:p w14:paraId="236CCBDE" w14:textId="77777777" w:rsidR="005745E8" w:rsidRDefault="005745E8" w:rsidP="00D00EB0">
      <w:pPr>
        <w:ind w:left="720" w:firstLine="720"/>
        <w:rPr>
          <w:bCs/>
          <w:noProof/>
          <w:sz w:val="20"/>
          <w:szCs w:val="20"/>
          <w14:ligatures w14:val="standardContextual"/>
        </w:rPr>
      </w:pPr>
    </w:p>
    <w:p w14:paraId="65213552" w14:textId="77777777" w:rsidR="005745E8" w:rsidRDefault="005745E8" w:rsidP="00D00EB0">
      <w:pPr>
        <w:ind w:left="720" w:firstLine="720"/>
        <w:rPr>
          <w:bCs/>
          <w:noProof/>
          <w:sz w:val="20"/>
          <w:szCs w:val="20"/>
          <w14:ligatures w14:val="standardContextual"/>
        </w:rPr>
      </w:pPr>
    </w:p>
    <w:p w14:paraId="27A603E4" w14:textId="77777777" w:rsidR="005745E8" w:rsidRDefault="005745E8" w:rsidP="00D00EB0">
      <w:pPr>
        <w:ind w:left="720" w:firstLine="720"/>
        <w:rPr>
          <w:bCs/>
          <w:noProof/>
          <w:sz w:val="20"/>
          <w:szCs w:val="20"/>
          <w14:ligatures w14:val="standardContextual"/>
        </w:rPr>
      </w:pPr>
    </w:p>
    <w:p w14:paraId="61A2007A" w14:textId="77777777" w:rsidR="005745E8" w:rsidRDefault="005745E8" w:rsidP="00D00EB0">
      <w:pPr>
        <w:ind w:left="720" w:firstLine="720"/>
        <w:rPr>
          <w:bCs/>
          <w:noProof/>
          <w:sz w:val="20"/>
          <w:szCs w:val="20"/>
          <w14:ligatures w14:val="standardContextual"/>
        </w:rPr>
      </w:pPr>
    </w:p>
    <w:p w14:paraId="58639C43" w14:textId="77777777" w:rsidR="005745E8" w:rsidRDefault="005745E8" w:rsidP="00D00EB0">
      <w:pPr>
        <w:ind w:left="720" w:firstLine="720"/>
        <w:rPr>
          <w:bCs/>
          <w:noProof/>
          <w:sz w:val="20"/>
          <w:szCs w:val="20"/>
          <w14:ligatures w14:val="standardContextual"/>
        </w:rPr>
      </w:pPr>
    </w:p>
    <w:p w14:paraId="2D531E3D" w14:textId="06ABC4C7" w:rsidR="005745E8" w:rsidRDefault="005745E8" w:rsidP="00D00EB0">
      <w:pPr>
        <w:ind w:left="720" w:firstLine="720"/>
        <w:rPr>
          <w:bCs/>
          <w:sz w:val="20"/>
          <w:szCs w:val="20"/>
        </w:rPr>
      </w:pPr>
      <w:r>
        <w:rPr>
          <w:bCs/>
          <w:noProof/>
          <w:sz w:val="20"/>
          <w:szCs w:val="20"/>
          <w14:ligatures w14:val="standardContextual"/>
        </w:rPr>
        <w:lastRenderedPageBreak/>
        <w:drawing>
          <wp:inline distT="0" distB="0" distL="0" distR="0" wp14:anchorId="06A8C2B0" wp14:editId="74310E70">
            <wp:extent cx="4288545" cy="5977140"/>
            <wp:effectExtent l="0" t="0" r="0" b="5080"/>
            <wp:docPr id="582248927"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48927" name="Picture 2" descr="A screenshot of a grap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88545" cy="5977140"/>
                    </a:xfrm>
                    <a:prstGeom prst="rect">
                      <a:avLst/>
                    </a:prstGeom>
                  </pic:spPr>
                </pic:pic>
              </a:graphicData>
            </a:graphic>
          </wp:inline>
        </w:drawing>
      </w:r>
    </w:p>
    <w:p w14:paraId="58D6959E" w14:textId="77777777" w:rsidR="00D00EB0" w:rsidRPr="00523520" w:rsidRDefault="00D00EB0" w:rsidP="00D00EB0">
      <w:pPr>
        <w:ind w:left="720" w:firstLine="720"/>
        <w:rPr>
          <w:bCs/>
          <w:sz w:val="20"/>
          <w:szCs w:val="20"/>
        </w:rPr>
      </w:pPr>
    </w:p>
    <w:p w14:paraId="620DD009" w14:textId="77777777" w:rsidR="00D00EB0" w:rsidRPr="00523520" w:rsidRDefault="00D00EB0" w:rsidP="00D00EB0">
      <w:pPr>
        <w:rPr>
          <w:bCs/>
          <w:sz w:val="20"/>
          <w:szCs w:val="20"/>
        </w:rPr>
      </w:pPr>
    </w:p>
    <w:p w14:paraId="46F2C522" w14:textId="77777777" w:rsidR="00D00EB0" w:rsidRPr="00523520" w:rsidRDefault="00D00EB0" w:rsidP="00D00EB0">
      <w:pPr>
        <w:jc w:val="both"/>
        <w:rPr>
          <w:bCs/>
          <w:sz w:val="22"/>
          <w:szCs w:val="22"/>
        </w:rPr>
      </w:pPr>
      <w:r w:rsidRPr="00523520">
        <w:rPr>
          <w:b/>
          <w:bCs/>
        </w:rPr>
        <w:t>Figure S2.</w:t>
      </w:r>
      <w:r w:rsidRPr="00523520">
        <w:t xml:space="preserve"> </w:t>
      </w:r>
      <w:r w:rsidRPr="00523520">
        <w:rPr>
          <w:bCs/>
        </w:rPr>
        <w:t>Distribution of gaze position in experiments 2-4 during the ball detection task. Data are shown for the Agent-Belief and Agent-</w:t>
      </w:r>
      <w:proofErr w:type="spellStart"/>
      <w:r w:rsidRPr="00523520">
        <w:rPr>
          <w:bCs/>
        </w:rPr>
        <w:t>NoBelief</w:t>
      </w:r>
      <w:r w:rsidRPr="00523520">
        <w:rPr>
          <w:bCs/>
          <w:vertAlign w:val="subscript"/>
        </w:rPr>
        <w:t>B</w:t>
      </w:r>
      <w:proofErr w:type="spellEnd"/>
      <w:r w:rsidRPr="00523520">
        <w:rPr>
          <w:bCs/>
        </w:rPr>
        <w:t xml:space="preserve"> conditions in experiment 2, and the Congruent and Incongruent Agent-Belief conditions in experiments 3-4. For trials in which the agent’s head appeared on the right side, the X-coordinates were flipped so that all trials were coded as though the head appeared on the left. Data is shown from the task phase, during which the </w:t>
      </w:r>
      <w:proofErr w:type="spellStart"/>
      <w:r w:rsidRPr="00523520">
        <w:rPr>
          <w:bCs/>
        </w:rPr>
        <w:t>occluder</w:t>
      </w:r>
      <w:proofErr w:type="spellEnd"/>
      <w:r w:rsidRPr="00523520">
        <w:rPr>
          <w:bCs/>
        </w:rPr>
        <w:t xml:space="preserve"> dropped down and participants performed the ball detection task. Heatmaps display the proportion of total viewing time (%). The locations of agent (right blue dashed line), </w:t>
      </w:r>
      <w:proofErr w:type="spellStart"/>
      <w:r w:rsidRPr="00523520">
        <w:rPr>
          <w:bCs/>
        </w:rPr>
        <w:t>occluder</w:t>
      </w:r>
      <w:proofErr w:type="spellEnd"/>
      <w:r w:rsidRPr="00523520">
        <w:rPr>
          <w:bCs/>
        </w:rPr>
        <w:t xml:space="preserve"> (left blue dashed line), and the empty space in-between agent and </w:t>
      </w:r>
      <w:proofErr w:type="spellStart"/>
      <w:r w:rsidRPr="00523520">
        <w:rPr>
          <w:bCs/>
        </w:rPr>
        <w:t>occluder</w:t>
      </w:r>
      <w:proofErr w:type="spellEnd"/>
      <w:r w:rsidRPr="00523520">
        <w:rPr>
          <w:bCs/>
        </w:rPr>
        <w:t xml:space="preserve"> (central red dashed line), are outlined for reference.</w:t>
      </w:r>
    </w:p>
    <w:p w14:paraId="6A81775A" w14:textId="77777777" w:rsidR="00D00EB0" w:rsidRPr="00523520" w:rsidRDefault="00D00EB0" w:rsidP="00D00EB0">
      <w:pPr>
        <w:rPr>
          <w:bCs/>
          <w:sz w:val="20"/>
          <w:szCs w:val="20"/>
        </w:rPr>
      </w:pPr>
    </w:p>
    <w:p w14:paraId="03CC94E9" w14:textId="77777777" w:rsidR="00D00EB0" w:rsidRDefault="00D00EB0" w:rsidP="00D00EB0">
      <w:pPr>
        <w:rPr>
          <w:bCs/>
          <w:sz w:val="20"/>
          <w:szCs w:val="20"/>
        </w:rPr>
      </w:pPr>
    </w:p>
    <w:p w14:paraId="2F343467" w14:textId="7EF0E348" w:rsidR="00D00EB0" w:rsidRDefault="00D00EB0" w:rsidP="00D00EB0">
      <w:pPr>
        <w:rPr>
          <w:b/>
          <w:sz w:val="20"/>
          <w:szCs w:val="20"/>
        </w:rPr>
      </w:pPr>
    </w:p>
    <w:p w14:paraId="00CB1A3B" w14:textId="77777777" w:rsidR="00D00EB0" w:rsidRDefault="00D00EB0" w:rsidP="00D00EB0">
      <w:pPr>
        <w:jc w:val="both"/>
        <w:rPr>
          <w:b/>
          <w:sz w:val="20"/>
          <w:szCs w:val="20"/>
        </w:rPr>
      </w:pPr>
    </w:p>
    <w:tbl>
      <w:tblPr>
        <w:tblStyle w:val="TableGrid"/>
        <w:tblW w:w="5000" w:type="pct"/>
        <w:tblLook w:val="04A0" w:firstRow="1" w:lastRow="0" w:firstColumn="1" w:lastColumn="0" w:noHBand="0" w:noVBand="1"/>
      </w:tblPr>
      <w:tblGrid>
        <w:gridCol w:w="1144"/>
        <w:gridCol w:w="1239"/>
        <w:gridCol w:w="1552"/>
        <w:gridCol w:w="1540"/>
        <w:gridCol w:w="1219"/>
        <w:gridCol w:w="1609"/>
        <w:gridCol w:w="1093"/>
      </w:tblGrid>
      <w:tr w:rsidR="00D00EB0" w:rsidRPr="005954E5" w14:paraId="0A3C3D5F" w14:textId="77777777" w:rsidTr="00D21B9D">
        <w:trPr>
          <w:trHeight w:val="564"/>
        </w:trPr>
        <w:tc>
          <w:tcPr>
            <w:tcW w:w="1147" w:type="dxa"/>
          </w:tcPr>
          <w:p w14:paraId="0AB9EF80" w14:textId="77777777" w:rsidR="00D00EB0" w:rsidRPr="005954E5" w:rsidRDefault="00D00EB0" w:rsidP="00D21B9D">
            <w:pPr>
              <w:jc w:val="center"/>
              <w:rPr>
                <w:rFonts w:ascii="Helvetica" w:hAnsi="Helvetica"/>
                <w:b/>
                <w:sz w:val="16"/>
                <w:szCs w:val="16"/>
              </w:rPr>
            </w:pPr>
            <w:r w:rsidRPr="005954E5">
              <w:rPr>
                <w:rFonts w:ascii="Helvetica" w:hAnsi="Helvetica"/>
                <w:b/>
                <w:sz w:val="16"/>
                <w:szCs w:val="16"/>
              </w:rPr>
              <w:t>Participant</w:t>
            </w:r>
          </w:p>
        </w:tc>
        <w:tc>
          <w:tcPr>
            <w:tcW w:w="1245" w:type="dxa"/>
          </w:tcPr>
          <w:p w14:paraId="1A25BF78" w14:textId="77777777" w:rsidR="00D00EB0" w:rsidRPr="005954E5" w:rsidRDefault="00D00EB0" w:rsidP="00D21B9D">
            <w:pPr>
              <w:jc w:val="center"/>
              <w:rPr>
                <w:rFonts w:ascii="Helvetica" w:hAnsi="Helvetica"/>
                <w:b/>
                <w:sz w:val="16"/>
                <w:szCs w:val="16"/>
              </w:rPr>
            </w:pPr>
            <w:r w:rsidRPr="005954E5">
              <w:rPr>
                <w:rFonts w:ascii="Helvetica" w:hAnsi="Helvetica"/>
                <w:b/>
                <w:sz w:val="16"/>
                <w:szCs w:val="16"/>
              </w:rPr>
              <w:t>Anatomical location</w:t>
            </w:r>
          </w:p>
        </w:tc>
        <w:tc>
          <w:tcPr>
            <w:tcW w:w="1572" w:type="dxa"/>
          </w:tcPr>
          <w:p w14:paraId="352F25E4" w14:textId="77777777" w:rsidR="00D00EB0" w:rsidRPr="005954E5" w:rsidRDefault="00D00EB0" w:rsidP="00D21B9D">
            <w:pPr>
              <w:jc w:val="center"/>
              <w:rPr>
                <w:rFonts w:ascii="Helvetica" w:hAnsi="Helvetica"/>
                <w:b/>
                <w:sz w:val="16"/>
                <w:szCs w:val="16"/>
              </w:rPr>
            </w:pPr>
            <w:r w:rsidRPr="005954E5">
              <w:rPr>
                <w:rFonts w:ascii="Helvetica" w:hAnsi="Helvetica"/>
                <w:b/>
                <w:sz w:val="16"/>
                <w:szCs w:val="16"/>
              </w:rPr>
              <w:t>Agent-Belief (decoding accuracy)</w:t>
            </w:r>
          </w:p>
        </w:tc>
        <w:tc>
          <w:tcPr>
            <w:tcW w:w="1560" w:type="dxa"/>
          </w:tcPr>
          <w:p w14:paraId="6CCD5C00" w14:textId="77777777" w:rsidR="00D00EB0" w:rsidRPr="005954E5" w:rsidRDefault="00D00EB0" w:rsidP="00D21B9D">
            <w:pPr>
              <w:jc w:val="center"/>
              <w:rPr>
                <w:rFonts w:ascii="Helvetica" w:hAnsi="Helvetica"/>
                <w:b/>
                <w:sz w:val="16"/>
                <w:szCs w:val="16"/>
              </w:rPr>
            </w:pPr>
            <w:r w:rsidRPr="005954E5">
              <w:rPr>
                <w:rFonts w:ascii="Helvetica" w:hAnsi="Helvetica"/>
                <w:b/>
                <w:sz w:val="16"/>
                <w:szCs w:val="16"/>
              </w:rPr>
              <w:t>Agent-</w:t>
            </w:r>
            <w:proofErr w:type="spellStart"/>
            <w:r w:rsidRPr="005954E5">
              <w:rPr>
                <w:rFonts w:ascii="Helvetica" w:hAnsi="Helvetica"/>
                <w:b/>
                <w:sz w:val="16"/>
                <w:szCs w:val="16"/>
              </w:rPr>
              <w:t>NoBelief</w:t>
            </w:r>
            <w:r w:rsidRPr="005954E5">
              <w:rPr>
                <w:rFonts w:ascii="Helvetica" w:hAnsi="Helvetica"/>
                <w:b/>
                <w:sz w:val="16"/>
                <w:szCs w:val="16"/>
                <w:vertAlign w:val="subscript"/>
              </w:rPr>
              <w:t>B</w:t>
            </w:r>
            <w:proofErr w:type="spellEnd"/>
            <w:r w:rsidRPr="005954E5">
              <w:rPr>
                <w:rFonts w:ascii="Helvetica" w:hAnsi="Helvetica"/>
                <w:b/>
                <w:sz w:val="16"/>
                <w:szCs w:val="16"/>
                <w:vertAlign w:val="subscript"/>
              </w:rPr>
              <w:t xml:space="preserve"> </w:t>
            </w:r>
            <w:r w:rsidRPr="005954E5">
              <w:rPr>
                <w:rFonts w:ascii="Helvetica" w:hAnsi="Helvetica"/>
                <w:b/>
                <w:sz w:val="16"/>
                <w:szCs w:val="16"/>
              </w:rPr>
              <w:t>(decoding accuracy)</w:t>
            </w:r>
          </w:p>
        </w:tc>
        <w:tc>
          <w:tcPr>
            <w:tcW w:w="1235" w:type="dxa"/>
          </w:tcPr>
          <w:p w14:paraId="1D4F6F17" w14:textId="77777777" w:rsidR="00D00EB0" w:rsidRPr="005954E5" w:rsidRDefault="00D00EB0" w:rsidP="00D21B9D">
            <w:pPr>
              <w:jc w:val="center"/>
              <w:rPr>
                <w:rFonts w:ascii="Helvetica" w:hAnsi="Helvetica"/>
                <w:b/>
                <w:sz w:val="16"/>
                <w:szCs w:val="16"/>
              </w:rPr>
            </w:pPr>
            <w:r w:rsidRPr="005954E5">
              <w:rPr>
                <w:rFonts w:ascii="Helvetica" w:hAnsi="Helvetica"/>
                <w:b/>
                <w:sz w:val="16"/>
                <w:szCs w:val="16"/>
              </w:rPr>
              <w:t xml:space="preserve">Agent-Belief </w:t>
            </w:r>
            <w:r w:rsidRPr="005954E5">
              <w:rPr>
                <w:rFonts w:ascii="Helvetica" w:hAnsi="Helvetica"/>
                <w:b/>
                <w:sz w:val="16"/>
                <w:szCs w:val="16"/>
              </w:rPr>
              <w:br/>
              <w:t>vs. chance</w:t>
            </w:r>
          </w:p>
        </w:tc>
        <w:tc>
          <w:tcPr>
            <w:tcW w:w="1633" w:type="dxa"/>
          </w:tcPr>
          <w:p w14:paraId="0B6583A0" w14:textId="77777777" w:rsidR="00D00EB0" w:rsidRPr="005954E5" w:rsidRDefault="00D00EB0" w:rsidP="00D21B9D">
            <w:pPr>
              <w:jc w:val="center"/>
              <w:rPr>
                <w:rFonts w:ascii="Helvetica" w:hAnsi="Helvetica"/>
                <w:b/>
                <w:sz w:val="16"/>
                <w:szCs w:val="16"/>
              </w:rPr>
            </w:pPr>
            <w:bookmarkStart w:id="0" w:name="_Hlk225252544"/>
            <w:r w:rsidRPr="005954E5">
              <w:rPr>
                <w:rFonts w:ascii="Helvetica" w:hAnsi="Helvetica"/>
                <w:b/>
                <w:sz w:val="16"/>
                <w:szCs w:val="16"/>
              </w:rPr>
              <w:t xml:space="preserve">Agent-Belief </w:t>
            </w:r>
            <w:r w:rsidRPr="005954E5">
              <w:rPr>
                <w:rFonts w:ascii="Helvetica" w:hAnsi="Helvetica"/>
                <w:b/>
                <w:sz w:val="16"/>
                <w:szCs w:val="16"/>
              </w:rPr>
              <w:br/>
              <w:t>vs.</w:t>
            </w:r>
            <w:r w:rsidRPr="005954E5">
              <w:rPr>
                <w:rFonts w:ascii="Helvetica" w:hAnsi="Helvetica"/>
                <w:b/>
                <w:sz w:val="16"/>
                <w:szCs w:val="16"/>
              </w:rPr>
              <w:br/>
              <w:t>Agent-</w:t>
            </w:r>
            <w:proofErr w:type="spellStart"/>
            <w:r w:rsidRPr="005954E5">
              <w:rPr>
                <w:rFonts w:ascii="Helvetica" w:hAnsi="Helvetica"/>
                <w:b/>
                <w:sz w:val="16"/>
                <w:szCs w:val="16"/>
              </w:rPr>
              <w:t>NoBelief</w:t>
            </w:r>
            <w:r w:rsidRPr="005954E5">
              <w:rPr>
                <w:rFonts w:ascii="Helvetica" w:hAnsi="Helvetica"/>
                <w:b/>
                <w:sz w:val="16"/>
                <w:szCs w:val="16"/>
                <w:vertAlign w:val="subscript"/>
              </w:rPr>
              <w:t>B</w:t>
            </w:r>
            <w:bookmarkEnd w:id="0"/>
            <w:proofErr w:type="spellEnd"/>
          </w:p>
        </w:tc>
        <w:tc>
          <w:tcPr>
            <w:tcW w:w="1096" w:type="dxa"/>
          </w:tcPr>
          <w:p w14:paraId="5077426D" w14:textId="77777777" w:rsidR="00D00EB0" w:rsidRPr="005954E5" w:rsidRDefault="00D00EB0" w:rsidP="00D21B9D">
            <w:pPr>
              <w:jc w:val="center"/>
              <w:rPr>
                <w:rFonts w:ascii="Helvetica" w:hAnsi="Helvetica"/>
                <w:b/>
                <w:sz w:val="16"/>
                <w:szCs w:val="16"/>
              </w:rPr>
            </w:pPr>
            <w:r w:rsidRPr="005954E5">
              <w:rPr>
                <w:rFonts w:ascii="Helvetica" w:hAnsi="Helvetica"/>
                <w:b/>
                <w:sz w:val="16"/>
                <w:szCs w:val="16"/>
              </w:rPr>
              <w:t>Combined corrected p value*</w:t>
            </w:r>
          </w:p>
        </w:tc>
      </w:tr>
      <w:tr w:rsidR="00D00EB0" w:rsidRPr="005954E5" w14:paraId="531C9C9A" w14:textId="77777777" w:rsidTr="00D21B9D">
        <w:tc>
          <w:tcPr>
            <w:tcW w:w="1147" w:type="dxa"/>
          </w:tcPr>
          <w:p w14:paraId="440B1CF5"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P2</w:t>
            </w:r>
          </w:p>
        </w:tc>
        <w:tc>
          <w:tcPr>
            <w:tcW w:w="1245" w:type="dxa"/>
          </w:tcPr>
          <w:p w14:paraId="7962CCB9"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L SMG</w:t>
            </w:r>
          </w:p>
        </w:tc>
        <w:tc>
          <w:tcPr>
            <w:tcW w:w="1572" w:type="dxa"/>
          </w:tcPr>
          <w:p w14:paraId="5E54E0B9"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62.5%</w:t>
            </w:r>
          </w:p>
        </w:tc>
        <w:tc>
          <w:tcPr>
            <w:tcW w:w="1560" w:type="dxa"/>
          </w:tcPr>
          <w:p w14:paraId="793DFB6F"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45.0%</w:t>
            </w:r>
          </w:p>
        </w:tc>
        <w:tc>
          <w:tcPr>
            <w:tcW w:w="1235" w:type="dxa"/>
          </w:tcPr>
          <w:p w14:paraId="59E3D68C"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0.021</w:t>
            </w:r>
          </w:p>
        </w:tc>
        <w:tc>
          <w:tcPr>
            <w:tcW w:w="1633" w:type="dxa"/>
          </w:tcPr>
          <w:p w14:paraId="14AA9134"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0.018</w:t>
            </w:r>
          </w:p>
        </w:tc>
        <w:tc>
          <w:tcPr>
            <w:tcW w:w="1096" w:type="dxa"/>
          </w:tcPr>
          <w:p w14:paraId="6E913148"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0.035</w:t>
            </w:r>
          </w:p>
        </w:tc>
      </w:tr>
      <w:tr w:rsidR="00D00EB0" w:rsidRPr="005954E5" w14:paraId="0A2E180F" w14:textId="77777777" w:rsidTr="00D21B9D">
        <w:tc>
          <w:tcPr>
            <w:tcW w:w="1147" w:type="dxa"/>
          </w:tcPr>
          <w:p w14:paraId="0BB0AD1F"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P3</w:t>
            </w:r>
          </w:p>
        </w:tc>
        <w:tc>
          <w:tcPr>
            <w:tcW w:w="1245" w:type="dxa"/>
          </w:tcPr>
          <w:p w14:paraId="13EE2454"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 xml:space="preserve">R </w:t>
            </w:r>
            <w:r>
              <w:rPr>
                <w:rFonts w:ascii="Helvetica" w:hAnsi="Helvetica"/>
                <w:bCs/>
                <w:sz w:val="16"/>
                <w:szCs w:val="16"/>
              </w:rPr>
              <w:t>AG</w:t>
            </w:r>
          </w:p>
        </w:tc>
        <w:tc>
          <w:tcPr>
            <w:tcW w:w="1572" w:type="dxa"/>
          </w:tcPr>
          <w:p w14:paraId="31F4687C"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72.5%</w:t>
            </w:r>
          </w:p>
        </w:tc>
        <w:tc>
          <w:tcPr>
            <w:tcW w:w="1560" w:type="dxa"/>
          </w:tcPr>
          <w:p w14:paraId="085918D8"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50.0%</w:t>
            </w:r>
          </w:p>
        </w:tc>
        <w:tc>
          <w:tcPr>
            <w:tcW w:w="1235" w:type="dxa"/>
          </w:tcPr>
          <w:p w14:paraId="5D1AC7FF"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0.004</w:t>
            </w:r>
          </w:p>
        </w:tc>
        <w:tc>
          <w:tcPr>
            <w:tcW w:w="1633" w:type="dxa"/>
          </w:tcPr>
          <w:p w14:paraId="67775DF2"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0.034</w:t>
            </w:r>
          </w:p>
        </w:tc>
        <w:tc>
          <w:tcPr>
            <w:tcW w:w="1096" w:type="dxa"/>
          </w:tcPr>
          <w:p w14:paraId="695C04B9"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0.019</w:t>
            </w:r>
          </w:p>
        </w:tc>
      </w:tr>
      <w:tr w:rsidR="00D00EB0" w:rsidRPr="005954E5" w14:paraId="2C7B1728" w14:textId="77777777" w:rsidTr="00D21B9D">
        <w:tc>
          <w:tcPr>
            <w:tcW w:w="1147" w:type="dxa"/>
          </w:tcPr>
          <w:p w14:paraId="255DABAD"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P4</w:t>
            </w:r>
          </w:p>
        </w:tc>
        <w:tc>
          <w:tcPr>
            <w:tcW w:w="1245" w:type="dxa"/>
          </w:tcPr>
          <w:p w14:paraId="158FD67B"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L AG</w:t>
            </w:r>
          </w:p>
        </w:tc>
        <w:tc>
          <w:tcPr>
            <w:tcW w:w="1572" w:type="dxa"/>
          </w:tcPr>
          <w:p w14:paraId="4A23DCDD"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60.0%</w:t>
            </w:r>
          </w:p>
        </w:tc>
        <w:tc>
          <w:tcPr>
            <w:tcW w:w="1560" w:type="dxa"/>
          </w:tcPr>
          <w:p w14:paraId="5CDCDC41"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42.5%</w:t>
            </w:r>
          </w:p>
        </w:tc>
        <w:tc>
          <w:tcPr>
            <w:tcW w:w="1235" w:type="dxa"/>
          </w:tcPr>
          <w:p w14:paraId="1FFA9EE1"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0.034</w:t>
            </w:r>
          </w:p>
        </w:tc>
        <w:tc>
          <w:tcPr>
            <w:tcW w:w="1633" w:type="dxa"/>
          </w:tcPr>
          <w:p w14:paraId="6CADDB7A"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0.017</w:t>
            </w:r>
          </w:p>
        </w:tc>
        <w:tc>
          <w:tcPr>
            <w:tcW w:w="1096" w:type="dxa"/>
          </w:tcPr>
          <w:p w14:paraId="64C9CAEF"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0.028</w:t>
            </w:r>
          </w:p>
        </w:tc>
      </w:tr>
      <w:tr w:rsidR="00D00EB0" w:rsidRPr="005954E5" w14:paraId="6691AAD0" w14:textId="77777777" w:rsidTr="00D21B9D">
        <w:tc>
          <w:tcPr>
            <w:tcW w:w="1147" w:type="dxa"/>
          </w:tcPr>
          <w:p w14:paraId="09341554"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P7</w:t>
            </w:r>
          </w:p>
        </w:tc>
        <w:tc>
          <w:tcPr>
            <w:tcW w:w="1245" w:type="dxa"/>
          </w:tcPr>
          <w:p w14:paraId="2E22E90B"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 xml:space="preserve">L </w:t>
            </w:r>
            <w:proofErr w:type="spellStart"/>
            <w:r w:rsidRPr="005954E5">
              <w:rPr>
                <w:rFonts w:ascii="Helvetica" w:hAnsi="Helvetica"/>
                <w:bCs/>
                <w:sz w:val="16"/>
                <w:szCs w:val="16"/>
              </w:rPr>
              <w:t>pSTG</w:t>
            </w:r>
            <w:proofErr w:type="spellEnd"/>
          </w:p>
        </w:tc>
        <w:tc>
          <w:tcPr>
            <w:tcW w:w="1572" w:type="dxa"/>
          </w:tcPr>
          <w:p w14:paraId="0C532750"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57.5%</w:t>
            </w:r>
          </w:p>
        </w:tc>
        <w:tc>
          <w:tcPr>
            <w:tcW w:w="1560" w:type="dxa"/>
          </w:tcPr>
          <w:p w14:paraId="6D17D325"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47.5%</w:t>
            </w:r>
          </w:p>
        </w:tc>
        <w:tc>
          <w:tcPr>
            <w:tcW w:w="1235" w:type="dxa"/>
          </w:tcPr>
          <w:p w14:paraId="460C1D4A"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0.030</w:t>
            </w:r>
          </w:p>
        </w:tc>
        <w:tc>
          <w:tcPr>
            <w:tcW w:w="1633" w:type="dxa"/>
          </w:tcPr>
          <w:p w14:paraId="59CC7A9F"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0.026</w:t>
            </w:r>
          </w:p>
        </w:tc>
        <w:tc>
          <w:tcPr>
            <w:tcW w:w="1096" w:type="dxa"/>
          </w:tcPr>
          <w:p w14:paraId="1488FE54"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w:t>
            </w:r>
            <w:r>
              <w:rPr>
                <w:rFonts w:ascii="Helvetica" w:hAnsi="Helvetica"/>
                <w:bCs/>
                <w:sz w:val="16"/>
                <w:szCs w:val="16"/>
              </w:rPr>
              <w:t xml:space="preserve"> </w:t>
            </w:r>
            <w:r w:rsidRPr="005954E5">
              <w:rPr>
                <w:rFonts w:ascii="Helvetica" w:hAnsi="Helvetica"/>
                <w:bCs/>
                <w:sz w:val="16"/>
                <w:szCs w:val="16"/>
              </w:rPr>
              <w:t>0.034</w:t>
            </w:r>
          </w:p>
        </w:tc>
      </w:tr>
      <w:tr w:rsidR="00D00EB0" w:rsidRPr="005954E5" w14:paraId="76C5915C" w14:textId="77777777" w:rsidTr="00D21B9D">
        <w:tc>
          <w:tcPr>
            <w:tcW w:w="1147" w:type="dxa"/>
          </w:tcPr>
          <w:p w14:paraId="7D52E6A5"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P10</w:t>
            </w:r>
          </w:p>
        </w:tc>
        <w:tc>
          <w:tcPr>
            <w:tcW w:w="1245" w:type="dxa"/>
          </w:tcPr>
          <w:p w14:paraId="70673629"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 xml:space="preserve">L </w:t>
            </w:r>
            <w:proofErr w:type="spellStart"/>
            <w:r w:rsidRPr="005954E5">
              <w:rPr>
                <w:rFonts w:ascii="Helvetica" w:hAnsi="Helvetica"/>
                <w:bCs/>
                <w:sz w:val="16"/>
                <w:szCs w:val="16"/>
              </w:rPr>
              <w:t>pSTG</w:t>
            </w:r>
            <w:proofErr w:type="spellEnd"/>
          </w:p>
        </w:tc>
        <w:tc>
          <w:tcPr>
            <w:tcW w:w="1572" w:type="dxa"/>
          </w:tcPr>
          <w:p w14:paraId="4295A43A"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60.0%</w:t>
            </w:r>
          </w:p>
        </w:tc>
        <w:tc>
          <w:tcPr>
            <w:tcW w:w="1560" w:type="dxa"/>
          </w:tcPr>
          <w:p w14:paraId="01CA1D1D"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45.0%</w:t>
            </w:r>
          </w:p>
        </w:tc>
        <w:tc>
          <w:tcPr>
            <w:tcW w:w="1235" w:type="dxa"/>
          </w:tcPr>
          <w:p w14:paraId="41CBA56C"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0.018</w:t>
            </w:r>
          </w:p>
        </w:tc>
        <w:tc>
          <w:tcPr>
            <w:tcW w:w="1633" w:type="dxa"/>
          </w:tcPr>
          <w:p w14:paraId="3C95E971"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0.010</w:t>
            </w:r>
          </w:p>
        </w:tc>
        <w:tc>
          <w:tcPr>
            <w:tcW w:w="1096" w:type="dxa"/>
          </w:tcPr>
          <w:p w14:paraId="5E297049"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0.010</w:t>
            </w:r>
          </w:p>
        </w:tc>
      </w:tr>
      <w:tr w:rsidR="00D00EB0" w:rsidRPr="005954E5" w14:paraId="1FF2AC60" w14:textId="77777777" w:rsidTr="00D21B9D">
        <w:tc>
          <w:tcPr>
            <w:tcW w:w="1147" w:type="dxa"/>
          </w:tcPr>
          <w:p w14:paraId="14666565"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P11</w:t>
            </w:r>
          </w:p>
        </w:tc>
        <w:tc>
          <w:tcPr>
            <w:tcW w:w="1245" w:type="dxa"/>
          </w:tcPr>
          <w:p w14:paraId="374C879E"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 xml:space="preserve">R </w:t>
            </w:r>
            <w:proofErr w:type="spellStart"/>
            <w:r w:rsidRPr="005954E5">
              <w:rPr>
                <w:rFonts w:ascii="Helvetica" w:hAnsi="Helvetica"/>
                <w:bCs/>
                <w:sz w:val="16"/>
                <w:szCs w:val="16"/>
              </w:rPr>
              <w:t>pSTS</w:t>
            </w:r>
            <w:proofErr w:type="spellEnd"/>
          </w:p>
        </w:tc>
        <w:tc>
          <w:tcPr>
            <w:tcW w:w="1572" w:type="dxa"/>
          </w:tcPr>
          <w:p w14:paraId="0DFB8D85"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60.0%</w:t>
            </w:r>
          </w:p>
        </w:tc>
        <w:tc>
          <w:tcPr>
            <w:tcW w:w="1560" w:type="dxa"/>
          </w:tcPr>
          <w:p w14:paraId="0670E7FC"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52.5%</w:t>
            </w:r>
          </w:p>
        </w:tc>
        <w:tc>
          <w:tcPr>
            <w:tcW w:w="1235" w:type="dxa"/>
          </w:tcPr>
          <w:p w14:paraId="348058A8"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0.030</w:t>
            </w:r>
          </w:p>
        </w:tc>
        <w:tc>
          <w:tcPr>
            <w:tcW w:w="1633" w:type="dxa"/>
          </w:tcPr>
          <w:p w14:paraId="3AD60205"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0.041</w:t>
            </w:r>
          </w:p>
        </w:tc>
        <w:tc>
          <w:tcPr>
            <w:tcW w:w="1096" w:type="dxa"/>
          </w:tcPr>
          <w:p w14:paraId="3F183D41"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0.020</w:t>
            </w:r>
          </w:p>
        </w:tc>
      </w:tr>
      <w:tr w:rsidR="00D00EB0" w:rsidRPr="005954E5" w14:paraId="4B2B1B8F" w14:textId="77777777" w:rsidTr="00D21B9D">
        <w:tc>
          <w:tcPr>
            <w:tcW w:w="1147" w:type="dxa"/>
          </w:tcPr>
          <w:p w14:paraId="3BCB9679"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P14</w:t>
            </w:r>
          </w:p>
        </w:tc>
        <w:tc>
          <w:tcPr>
            <w:tcW w:w="1245" w:type="dxa"/>
          </w:tcPr>
          <w:p w14:paraId="0C587142"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 xml:space="preserve">R </w:t>
            </w:r>
            <w:proofErr w:type="spellStart"/>
            <w:r w:rsidRPr="005954E5">
              <w:rPr>
                <w:rFonts w:ascii="Helvetica" w:hAnsi="Helvetica"/>
                <w:bCs/>
                <w:sz w:val="16"/>
                <w:szCs w:val="16"/>
              </w:rPr>
              <w:t>pSTS</w:t>
            </w:r>
            <w:proofErr w:type="spellEnd"/>
          </w:p>
        </w:tc>
        <w:tc>
          <w:tcPr>
            <w:tcW w:w="1572" w:type="dxa"/>
          </w:tcPr>
          <w:p w14:paraId="37FDA786"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60.0%</w:t>
            </w:r>
          </w:p>
        </w:tc>
        <w:tc>
          <w:tcPr>
            <w:tcW w:w="1560" w:type="dxa"/>
          </w:tcPr>
          <w:p w14:paraId="1910A283"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47.5%</w:t>
            </w:r>
          </w:p>
        </w:tc>
        <w:tc>
          <w:tcPr>
            <w:tcW w:w="1235" w:type="dxa"/>
          </w:tcPr>
          <w:p w14:paraId="2E374578"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0.013</w:t>
            </w:r>
          </w:p>
        </w:tc>
        <w:tc>
          <w:tcPr>
            <w:tcW w:w="1633" w:type="dxa"/>
          </w:tcPr>
          <w:p w14:paraId="1970EA2F"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0.013</w:t>
            </w:r>
          </w:p>
        </w:tc>
        <w:tc>
          <w:tcPr>
            <w:tcW w:w="1096" w:type="dxa"/>
          </w:tcPr>
          <w:p w14:paraId="1BD4BB88" w14:textId="77777777" w:rsidR="00D00EB0" w:rsidRPr="005954E5" w:rsidRDefault="00D00EB0" w:rsidP="00D21B9D">
            <w:pPr>
              <w:jc w:val="center"/>
              <w:rPr>
                <w:rFonts w:ascii="Helvetica" w:hAnsi="Helvetica"/>
                <w:bCs/>
                <w:sz w:val="16"/>
                <w:szCs w:val="16"/>
              </w:rPr>
            </w:pPr>
            <w:r w:rsidRPr="005954E5">
              <w:rPr>
                <w:rFonts w:ascii="Helvetica" w:hAnsi="Helvetica"/>
                <w:bCs/>
                <w:sz w:val="16"/>
                <w:szCs w:val="16"/>
              </w:rPr>
              <w:t>p = 0.018</w:t>
            </w:r>
          </w:p>
        </w:tc>
      </w:tr>
    </w:tbl>
    <w:p w14:paraId="3E8CD73F" w14:textId="77777777" w:rsidR="00D00EB0" w:rsidRDefault="00D00EB0" w:rsidP="00D00EB0">
      <w:pPr>
        <w:jc w:val="both"/>
        <w:rPr>
          <w:b/>
        </w:rPr>
      </w:pPr>
    </w:p>
    <w:p w14:paraId="4FCD1DE8" w14:textId="7BA21146" w:rsidR="00D00EB0" w:rsidRDefault="00D00EB0" w:rsidP="00D00EB0">
      <w:pPr>
        <w:jc w:val="both"/>
        <w:rPr>
          <w:bCs/>
        </w:rPr>
      </w:pPr>
      <w:r w:rsidRPr="00407730">
        <w:rPr>
          <w:b/>
        </w:rPr>
        <w:t>Table S1</w:t>
      </w:r>
      <w:r w:rsidRPr="00407730">
        <w:rPr>
          <w:bCs/>
        </w:rPr>
        <w:t xml:space="preserve">. </w:t>
      </w:r>
      <w:r w:rsidRPr="00407730">
        <w:rPr>
          <w:b/>
        </w:rPr>
        <w:t>Experiment 5 results</w:t>
      </w:r>
      <w:r w:rsidRPr="00407730">
        <w:rPr>
          <w:bCs/>
        </w:rPr>
        <w:t>. Significant electrode contacts revealed by our decoding analysis. P values are based on permutation testing with 10,000 iterations. *</w:t>
      </w:r>
      <w:r w:rsidRPr="00E80831">
        <w:t xml:space="preserve">The permutation tests for </w:t>
      </w:r>
      <w:r w:rsidRPr="00407730">
        <w:rPr>
          <w:bCs/>
          <w:i/>
          <w:iCs/>
        </w:rPr>
        <w:t>Agent-Belief vs. chance</w:t>
      </w:r>
      <w:r w:rsidRPr="00407730">
        <w:rPr>
          <w:bCs/>
        </w:rPr>
        <w:t xml:space="preserve"> and </w:t>
      </w:r>
      <w:r w:rsidRPr="00407730">
        <w:rPr>
          <w:bCs/>
          <w:i/>
          <w:iCs/>
        </w:rPr>
        <w:t>Agent-Belief vs. Agent-</w:t>
      </w:r>
      <w:proofErr w:type="spellStart"/>
      <w:r w:rsidRPr="00407730">
        <w:rPr>
          <w:bCs/>
          <w:i/>
          <w:iCs/>
        </w:rPr>
        <w:t>NoBelief</w:t>
      </w:r>
      <w:r w:rsidRPr="00407730">
        <w:rPr>
          <w:bCs/>
          <w:i/>
          <w:iCs/>
          <w:vertAlign w:val="subscript"/>
        </w:rPr>
        <w:t>B</w:t>
      </w:r>
      <w:proofErr w:type="spellEnd"/>
      <w:r w:rsidRPr="00407730">
        <w:rPr>
          <w:bCs/>
        </w:rPr>
        <w:t xml:space="preserve"> were combined using the Tippett approach as described in </w:t>
      </w:r>
      <w:r w:rsidRPr="00407730">
        <w:rPr>
          <w:bCs/>
        </w:rPr>
        <w:fldChar w:fldCharType="begin"/>
      </w:r>
      <w:r w:rsidR="00C1088B">
        <w:rPr>
          <w:bCs/>
        </w:rPr>
        <w:instrText xml:space="preserve"> ADDIN ZOTERO_ITEM CSL_CITATION {"citationID":"3POfvVwx","properties":{"formattedCitation":"\\super 3\\nosupersub{}","plainCitation":"3","noteIndex":0},"citationItems":[{"id":"566Hxruz/VuS1TIM4","uris":["http://zotero.org/users/35259/items/UFDLXX5X"],"itemData":{"id":8,"type":"article-journal","abstract":"Abstract\n            \n              In this work, we show how permutation methods can be applied to combination analyses such as those that include multiple imaging modalities, multiple data acquisitions of the same modality, or simply multiple hypotheses on the same data. Using the well‐known definition of union‐intersection tests and closed testing procedures, we use synchronized permutations to correct for such multiplicity of tests, allowing flexibility to integrate imaging data with different spatial resolutions, surface and/or volume‐based representations of the brain, including non‐imaging data. For the problem of joint inference, we propose and evaluate a modification of the recently introduced non‐parametric combination (NPC) methodology, such that instead of a two‐phase algorithm and large data storage requirements, the inference can be performed in a single phase, with reasonable computational demands. The method compares favorably to classical multivariate tests (such as MANCOVA), even when the latter is assessed using permutations. We also evaluate, in the context of permutation tests, various combining methods that have been proposed in the past decades, and identify those that provide the best control over error rate and power across a range of situations. We show that one of these, the method of Tippett, provides a link between correction for the multiplicity of tests and their combination. Finally, we discuss how the correction can solve certain problems of multiple comparisons in one‐way ANOVA designs, and how the combination is distinguished from conjunctions, even though both can be assessed using permutation tests. We also provide a common algorithm that accommodates combination and correction.\n              Hum Brain Mapp 37:1486‐1511, 2016\n              . © 2016 Wiley Periodicals, Inc.","container-title":"Human Brain Mapping","DOI":"10.1002/hbm.23115","ISSN":"1065-9471, 1097-0193","issue":"4","journalAbbreviation":"Human Brain Mapping","language":"en","license":"http://creativecommons.org/licenses/by/4.0/","page":"1486-1511","source":"DOI.org (Crossref)","title":"Non‐parametric combination and related permutation tests for neuroimaging","volume":"37","author":[{"family":"Winkler","given":"Anderson M."},{"family":"Webster","given":"Matthew A."},{"family":"Brooks","given":"Jonathan C."},{"family":"Tracey","given":"Irene"},{"family":"Smith","given":"Stephen M."},{"family":"Nichols","given":"Thomas E."}],"issued":{"date-parts":[["2016",4]]}}}],"schema":"https://github.com/citation-style-language/schema/raw/master/csl-citation.json"} </w:instrText>
      </w:r>
      <w:r w:rsidRPr="00407730">
        <w:rPr>
          <w:bCs/>
        </w:rPr>
        <w:fldChar w:fldCharType="separate"/>
      </w:r>
      <w:r w:rsidR="00C1088B" w:rsidRPr="00C1088B">
        <w:rPr>
          <w:sz w:val="22"/>
          <w:vertAlign w:val="superscript"/>
        </w:rPr>
        <w:t>3</w:t>
      </w:r>
      <w:r w:rsidRPr="00407730">
        <w:rPr>
          <w:bCs/>
        </w:rPr>
        <w:fldChar w:fldCharType="end"/>
      </w:r>
      <w:r w:rsidRPr="00407730">
        <w:rPr>
          <w:bCs/>
        </w:rPr>
        <w:t xml:space="preserve">, and Bonferroni-corrected across different electrodes within-subject. SMG, supramarginal gyrus. </w:t>
      </w:r>
      <w:proofErr w:type="spellStart"/>
      <w:r w:rsidRPr="00407730">
        <w:rPr>
          <w:bCs/>
        </w:rPr>
        <w:t>pSTS</w:t>
      </w:r>
      <w:proofErr w:type="spellEnd"/>
      <w:r w:rsidRPr="00407730">
        <w:rPr>
          <w:bCs/>
        </w:rPr>
        <w:t xml:space="preserve">, posterior superior temporal sulcus. </w:t>
      </w:r>
      <w:proofErr w:type="spellStart"/>
      <w:r w:rsidRPr="00407730">
        <w:rPr>
          <w:bCs/>
        </w:rPr>
        <w:t>pSTG</w:t>
      </w:r>
      <w:proofErr w:type="spellEnd"/>
      <w:r w:rsidRPr="00407730">
        <w:rPr>
          <w:bCs/>
        </w:rPr>
        <w:t>, posterior superior temporal gyrus. AG, angular gyrus.</w:t>
      </w:r>
    </w:p>
    <w:p w14:paraId="0B0128C6" w14:textId="77777777" w:rsidR="00D00EB0" w:rsidRDefault="00D00EB0" w:rsidP="00D00EB0">
      <w:pPr>
        <w:rPr>
          <w:bCs/>
        </w:rPr>
      </w:pPr>
      <w:r>
        <w:rPr>
          <w:bCs/>
        </w:rPr>
        <w:br w:type="page"/>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591"/>
        <w:gridCol w:w="892"/>
        <w:gridCol w:w="1034"/>
        <w:gridCol w:w="1029"/>
        <w:gridCol w:w="1631"/>
        <w:gridCol w:w="1182"/>
        <w:gridCol w:w="1861"/>
      </w:tblGrid>
      <w:tr w:rsidR="00D00EB0" w:rsidRPr="002C4C2B" w14:paraId="5E40C924" w14:textId="77777777" w:rsidTr="00D21B9D">
        <w:trPr>
          <w:trHeight w:val="416"/>
        </w:trPr>
        <w:tc>
          <w:tcPr>
            <w:tcW w:w="1129" w:type="dxa"/>
            <w:hideMark/>
          </w:tcPr>
          <w:p w14:paraId="4685DF17" w14:textId="77777777" w:rsidR="00D00EB0" w:rsidRPr="002C4C2B" w:rsidRDefault="00D00EB0" w:rsidP="00D21B9D">
            <w:pPr>
              <w:jc w:val="center"/>
              <w:rPr>
                <w:rFonts w:ascii="Helvetica" w:hAnsi="Helvetica" w:cs="Arial"/>
                <w:b/>
                <w:bCs/>
                <w:color w:val="000000"/>
                <w:sz w:val="15"/>
                <w:szCs w:val="15"/>
              </w:rPr>
            </w:pPr>
            <w:r w:rsidRPr="002C4C2B">
              <w:rPr>
                <w:rFonts w:ascii="Helvetica" w:hAnsi="Helvetica" w:cs="Arial"/>
                <w:b/>
                <w:bCs/>
                <w:color w:val="000000"/>
                <w:sz w:val="15"/>
                <w:szCs w:val="15"/>
              </w:rPr>
              <w:lastRenderedPageBreak/>
              <w:t>Participant</w:t>
            </w:r>
          </w:p>
        </w:tc>
        <w:tc>
          <w:tcPr>
            <w:tcW w:w="567" w:type="dxa"/>
            <w:hideMark/>
          </w:tcPr>
          <w:p w14:paraId="18CC40D0" w14:textId="77777777" w:rsidR="00D00EB0" w:rsidRPr="002C4C2B" w:rsidRDefault="00D00EB0" w:rsidP="00D21B9D">
            <w:pPr>
              <w:jc w:val="center"/>
              <w:rPr>
                <w:rFonts w:ascii="Helvetica" w:hAnsi="Helvetica" w:cs="Arial"/>
                <w:b/>
                <w:bCs/>
                <w:color w:val="000000"/>
                <w:sz w:val="15"/>
                <w:szCs w:val="15"/>
              </w:rPr>
            </w:pPr>
            <w:r w:rsidRPr="002C4C2B">
              <w:rPr>
                <w:rFonts w:ascii="Helvetica" w:hAnsi="Helvetica" w:cs="Arial"/>
                <w:b/>
                <w:bCs/>
                <w:color w:val="000000"/>
                <w:sz w:val="15"/>
                <w:szCs w:val="15"/>
              </w:rPr>
              <w:t>Age</w:t>
            </w:r>
          </w:p>
        </w:tc>
        <w:tc>
          <w:tcPr>
            <w:tcW w:w="856" w:type="dxa"/>
            <w:hideMark/>
          </w:tcPr>
          <w:p w14:paraId="6EDF1BAA" w14:textId="77777777" w:rsidR="00D00EB0" w:rsidRPr="002C4C2B" w:rsidRDefault="00D00EB0" w:rsidP="00D21B9D">
            <w:pPr>
              <w:jc w:val="center"/>
              <w:rPr>
                <w:rFonts w:ascii="Helvetica" w:hAnsi="Helvetica" w:cs="Arial"/>
                <w:b/>
                <w:bCs/>
                <w:color w:val="000000"/>
                <w:sz w:val="15"/>
                <w:szCs w:val="15"/>
              </w:rPr>
            </w:pPr>
            <w:r w:rsidRPr="002C4C2B">
              <w:rPr>
                <w:rFonts w:ascii="Helvetica" w:hAnsi="Helvetica" w:cs="Arial"/>
                <w:b/>
                <w:bCs/>
                <w:color w:val="000000"/>
                <w:sz w:val="15"/>
                <w:szCs w:val="15"/>
              </w:rPr>
              <w:t>Sex</w:t>
            </w:r>
          </w:p>
        </w:tc>
        <w:tc>
          <w:tcPr>
            <w:tcW w:w="992" w:type="dxa"/>
            <w:hideMark/>
          </w:tcPr>
          <w:p w14:paraId="00353A21" w14:textId="77777777" w:rsidR="00D00EB0" w:rsidRPr="002C4C2B" w:rsidRDefault="00D00EB0" w:rsidP="00D21B9D">
            <w:pPr>
              <w:jc w:val="center"/>
              <w:rPr>
                <w:rFonts w:ascii="Helvetica" w:hAnsi="Helvetica" w:cs="Arial"/>
                <w:b/>
                <w:bCs/>
                <w:color w:val="000000"/>
                <w:sz w:val="15"/>
                <w:szCs w:val="15"/>
              </w:rPr>
            </w:pPr>
            <w:proofErr w:type="gramStart"/>
            <w:r w:rsidRPr="002C4C2B">
              <w:rPr>
                <w:rFonts w:ascii="Helvetica" w:hAnsi="Helvetica" w:cs="Arial"/>
                <w:b/>
                <w:bCs/>
                <w:color w:val="000000"/>
                <w:sz w:val="15"/>
                <w:szCs w:val="15"/>
              </w:rPr>
              <w:t>Handed-ness</w:t>
            </w:r>
            <w:proofErr w:type="gramEnd"/>
          </w:p>
        </w:tc>
        <w:tc>
          <w:tcPr>
            <w:tcW w:w="987" w:type="dxa"/>
            <w:hideMark/>
          </w:tcPr>
          <w:p w14:paraId="1503B0B9" w14:textId="77777777" w:rsidR="00D00EB0" w:rsidRPr="002C4C2B" w:rsidRDefault="00D00EB0" w:rsidP="00D21B9D">
            <w:pPr>
              <w:jc w:val="center"/>
              <w:rPr>
                <w:rFonts w:ascii="Helvetica" w:hAnsi="Helvetica" w:cs="Arial"/>
                <w:b/>
                <w:bCs/>
                <w:color w:val="000000"/>
                <w:sz w:val="15"/>
                <w:szCs w:val="15"/>
              </w:rPr>
            </w:pPr>
            <w:r w:rsidRPr="002C4C2B">
              <w:rPr>
                <w:rFonts w:ascii="Helvetica" w:hAnsi="Helvetica" w:cs="Arial"/>
                <w:b/>
                <w:bCs/>
                <w:color w:val="000000"/>
                <w:sz w:val="15"/>
                <w:szCs w:val="15"/>
              </w:rPr>
              <w:t>Years of education</w:t>
            </w:r>
          </w:p>
        </w:tc>
        <w:tc>
          <w:tcPr>
            <w:tcW w:w="1565" w:type="dxa"/>
            <w:hideMark/>
          </w:tcPr>
          <w:p w14:paraId="499F6D8B" w14:textId="77777777" w:rsidR="00D00EB0" w:rsidRPr="002C4C2B" w:rsidRDefault="00D00EB0" w:rsidP="00D21B9D">
            <w:pPr>
              <w:jc w:val="center"/>
              <w:rPr>
                <w:rFonts w:ascii="Helvetica" w:hAnsi="Helvetica" w:cs="Arial"/>
                <w:b/>
                <w:bCs/>
                <w:color w:val="000000"/>
                <w:sz w:val="15"/>
                <w:szCs w:val="15"/>
              </w:rPr>
            </w:pPr>
            <w:proofErr w:type="spellStart"/>
            <w:r w:rsidRPr="002C4C2B">
              <w:rPr>
                <w:rFonts w:ascii="Helvetica" w:hAnsi="Helvetica" w:cs="Arial"/>
                <w:b/>
                <w:bCs/>
                <w:color w:val="000000"/>
                <w:sz w:val="15"/>
                <w:szCs w:val="15"/>
              </w:rPr>
              <w:t>Neurocogn</w:t>
            </w:r>
            <w:proofErr w:type="spellEnd"/>
            <w:r>
              <w:rPr>
                <w:rFonts w:ascii="Helvetica" w:hAnsi="Helvetica" w:cs="Arial"/>
                <w:b/>
                <w:bCs/>
                <w:color w:val="000000"/>
                <w:sz w:val="15"/>
                <w:szCs w:val="15"/>
                <w:lang w:val="sv-SE"/>
              </w:rPr>
              <w:t>i</w:t>
            </w:r>
            <w:proofErr w:type="spellStart"/>
            <w:r w:rsidRPr="002C4C2B">
              <w:rPr>
                <w:rFonts w:ascii="Helvetica" w:hAnsi="Helvetica" w:cs="Arial"/>
                <w:b/>
                <w:bCs/>
                <w:color w:val="000000"/>
                <w:sz w:val="15"/>
                <w:szCs w:val="15"/>
              </w:rPr>
              <w:t>tive</w:t>
            </w:r>
            <w:proofErr w:type="spellEnd"/>
            <w:r w:rsidRPr="002C4C2B">
              <w:rPr>
                <w:rFonts w:ascii="Helvetica" w:hAnsi="Helvetica" w:cs="Arial"/>
                <w:b/>
                <w:bCs/>
                <w:color w:val="000000"/>
                <w:sz w:val="15"/>
                <w:szCs w:val="15"/>
              </w:rPr>
              <w:t xml:space="preserve"> </w:t>
            </w:r>
            <w:r>
              <w:rPr>
                <w:rFonts w:ascii="Helvetica" w:hAnsi="Helvetica" w:cs="Arial"/>
                <w:b/>
                <w:bCs/>
                <w:color w:val="000000"/>
                <w:sz w:val="15"/>
                <w:szCs w:val="15"/>
              </w:rPr>
              <w:t>c</w:t>
            </w:r>
            <w:r w:rsidRPr="002C4C2B">
              <w:rPr>
                <w:rFonts w:ascii="Helvetica" w:hAnsi="Helvetica" w:cs="Arial"/>
                <w:b/>
                <w:bCs/>
                <w:color w:val="000000"/>
                <w:sz w:val="15"/>
                <w:szCs w:val="15"/>
              </w:rPr>
              <w:t>oncerns</w:t>
            </w:r>
          </w:p>
        </w:tc>
        <w:tc>
          <w:tcPr>
            <w:tcW w:w="1134" w:type="dxa"/>
            <w:hideMark/>
          </w:tcPr>
          <w:p w14:paraId="043A4885" w14:textId="77777777" w:rsidR="00D00EB0" w:rsidRPr="002C4C2B" w:rsidRDefault="00D00EB0" w:rsidP="00D21B9D">
            <w:pPr>
              <w:jc w:val="center"/>
              <w:rPr>
                <w:rFonts w:ascii="Helvetica" w:hAnsi="Helvetica" w:cs="Arial"/>
                <w:b/>
                <w:bCs/>
                <w:color w:val="000000"/>
                <w:sz w:val="15"/>
                <w:szCs w:val="15"/>
              </w:rPr>
            </w:pPr>
            <w:r w:rsidRPr="002C4C2B">
              <w:rPr>
                <w:rFonts w:ascii="Helvetica" w:hAnsi="Helvetica" w:cs="Arial"/>
                <w:b/>
                <w:bCs/>
                <w:color w:val="000000"/>
                <w:sz w:val="15"/>
                <w:szCs w:val="15"/>
              </w:rPr>
              <w:t>Reason for surgery</w:t>
            </w:r>
          </w:p>
        </w:tc>
        <w:tc>
          <w:tcPr>
            <w:tcW w:w="1786" w:type="dxa"/>
            <w:hideMark/>
          </w:tcPr>
          <w:p w14:paraId="4AFCC5E5" w14:textId="77777777" w:rsidR="00D00EB0" w:rsidRPr="002C4C2B" w:rsidRDefault="00D00EB0" w:rsidP="00D21B9D">
            <w:pPr>
              <w:jc w:val="center"/>
              <w:rPr>
                <w:rFonts w:ascii="Helvetica" w:hAnsi="Helvetica" w:cs="Arial"/>
                <w:b/>
                <w:bCs/>
                <w:color w:val="000000"/>
                <w:sz w:val="15"/>
                <w:szCs w:val="15"/>
              </w:rPr>
            </w:pPr>
            <w:r w:rsidRPr="002C4C2B">
              <w:rPr>
                <w:rFonts w:ascii="Helvetica" w:hAnsi="Helvetica" w:cs="Arial"/>
                <w:b/>
                <w:bCs/>
                <w:color w:val="000000"/>
                <w:sz w:val="15"/>
                <w:szCs w:val="15"/>
              </w:rPr>
              <w:t xml:space="preserve">Other </w:t>
            </w:r>
            <w:proofErr w:type="spellStart"/>
            <w:r w:rsidRPr="002C4C2B">
              <w:rPr>
                <w:rFonts w:ascii="Helvetica" w:hAnsi="Helvetica" w:cs="Arial"/>
                <w:b/>
                <w:bCs/>
                <w:color w:val="000000"/>
                <w:sz w:val="15"/>
                <w:szCs w:val="15"/>
              </w:rPr>
              <w:t>Pertient</w:t>
            </w:r>
            <w:proofErr w:type="spellEnd"/>
            <w:r w:rsidRPr="002C4C2B">
              <w:rPr>
                <w:rFonts w:ascii="Helvetica" w:hAnsi="Helvetica" w:cs="Arial"/>
                <w:b/>
                <w:bCs/>
                <w:color w:val="000000"/>
                <w:sz w:val="15"/>
                <w:szCs w:val="15"/>
              </w:rPr>
              <w:t xml:space="preserve"> Medical History</w:t>
            </w:r>
          </w:p>
        </w:tc>
      </w:tr>
      <w:tr w:rsidR="00D00EB0" w:rsidRPr="002C4C2B" w14:paraId="463CF8FB" w14:textId="77777777" w:rsidTr="00D21B9D">
        <w:trPr>
          <w:trHeight w:val="1131"/>
        </w:trPr>
        <w:tc>
          <w:tcPr>
            <w:tcW w:w="1129" w:type="dxa"/>
            <w:hideMark/>
          </w:tcPr>
          <w:p w14:paraId="767159F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w:t>
            </w:r>
          </w:p>
        </w:tc>
        <w:tc>
          <w:tcPr>
            <w:tcW w:w="567" w:type="dxa"/>
            <w:hideMark/>
          </w:tcPr>
          <w:p w14:paraId="75947A0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67</w:t>
            </w:r>
          </w:p>
        </w:tc>
        <w:tc>
          <w:tcPr>
            <w:tcW w:w="856" w:type="dxa"/>
            <w:hideMark/>
          </w:tcPr>
          <w:p w14:paraId="5C19FB3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Female</w:t>
            </w:r>
          </w:p>
        </w:tc>
        <w:tc>
          <w:tcPr>
            <w:tcW w:w="992" w:type="dxa"/>
            <w:hideMark/>
          </w:tcPr>
          <w:p w14:paraId="6BC842E0"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hideMark/>
          </w:tcPr>
          <w:p w14:paraId="7CBA84E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10</w:t>
            </w:r>
          </w:p>
        </w:tc>
        <w:tc>
          <w:tcPr>
            <w:tcW w:w="1565" w:type="dxa"/>
            <w:hideMark/>
          </w:tcPr>
          <w:p w14:paraId="1A89AA1A"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None</w:t>
            </w:r>
          </w:p>
        </w:tc>
        <w:tc>
          <w:tcPr>
            <w:tcW w:w="1134" w:type="dxa"/>
            <w:hideMark/>
          </w:tcPr>
          <w:p w14:paraId="2E4F57A0"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Idiopathic epilepsy</w:t>
            </w:r>
          </w:p>
        </w:tc>
        <w:tc>
          <w:tcPr>
            <w:tcW w:w="1786" w:type="dxa"/>
            <w:hideMark/>
          </w:tcPr>
          <w:p w14:paraId="34E16719"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 xml:space="preserve">Traumatic brain injury, abnormal </w:t>
            </w:r>
            <w:proofErr w:type="spellStart"/>
            <w:r w:rsidRPr="002C4C2B">
              <w:rPr>
                <w:rFonts w:ascii="Helvetica" w:hAnsi="Helvetica" w:cs="Arial"/>
                <w:color w:val="000000"/>
                <w:sz w:val="15"/>
                <w:szCs w:val="15"/>
              </w:rPr>
              <w:t>enlargment</w:t>
            </w:r>
            <w:proofErr w:type="spellEnd"/>
            <w:r w:rsidRPr="002C4C2B">
              <w:rPr>
                <w:rFonts w:ascii="Helvetica" w:hAnsi="Helvetica" w:cs="Arial"/>
                <w:color w:val="000000"/>
                <w:sz w:val="15"/>
                <w:szCs w:val="15"/>
              </w:rPr>
              <w:t xml:space="preserve"> of right amygdala, migraine, depression, anxiety, hypertension, sleep apnea</w:t>
            </w:r>
          </w:p>
        </w:tc>
      </w:tr>
      <w:tr w:rsidR="00D00EB0" w:rsidRPr="002C4C2B" w14:paraId="574D4265" w14:textId="77777777" w:rsidTr="00D21B9D">
        <w:trPr>
          <w:trHeight w:val="834"/>
        </w:trPr>
        <w:tc>
          <w:tcPr>
            <w:tcW w:w="1129" w:type="dxa"/>
            <w:noWrap/>
            <w:hideMark/>
          </w:tcPr>
          <w:p w14:paraId="2C28994A"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2</w:t>
            </w:r>
          </w:p>
        </w:tc>
        <w:tc>
          <w:tcPr>
            <w:tcW w:w="567" w:type="dxa"/>
            <w:noWrap/>
            <w:hideMark/>
          </w:tcPr>
          <w:p w14:paraId="2C8D792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18</w:t>
            </w:r>
          </w:p>
        </w:tc>
        <w:tc>
          <w:tcPr>
            <w:tcW w:w="856" w:type="dxa"/>
            <w:noWrap/>
            <w:hideMark/>
          </w:tcPr>
          <w:p w14:paraId="4A6CF19B"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507DA27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7ECFBE2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11</w:t>
            </w:r>
          </w:p>
        </w:tc>
        <w:tc>
          <w:tcPr>
            <w:tcW w:w="1565" w:type="dxa"/>
            <w:hideMark/>
          </w:tcPr>
          <w:p w14:paraId="02BE93B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Mild neurocognitive disorder secondary to epilepsy</w:t>
            </w:r>
          </w:p>
        </w:tc>
        <w:tc>
          <w:tcPr>
            <w:tcW w:w="1134" w:type="dxa"/>
            <w:noWrap/>
            <w:hideMark/>
          </w:tcPr>
          <w:p w14:paraId="6436B51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Intractable focal epilepsy</w:t>
            </w:r>
          </w:p>
        </w:tc>
        <w:tc>
          <w:tcPr>
            <w:tcW w:w="1786" w:type="dxa"/>
            <w:hideMark/>
          </w:tcPr>
          <w:p w14:paraId="21CD2D3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 xml:space="preserve">Adjustment disorder, anxiety, diplopia, </w:t>
            </w:r>
            <w:proofErr w:type="spellStart"/>
            <w:r w:rsidRPr="002C4C2B">
              <w:rPr>
                <w:rFonts w:ascii="Helvetica" w:hAnsi="Helvetica" w:cs="Arial"/>
                <w:color w:val="000000"/>
                <w:sz w:val="15"/>
                <w:szCs w:val="15"/>
              </w:rPr>
              <w:t>nonintractable</w:t>
            </w:r>
            <w:proofErr w:type="spellEnd"/>
            <w:r w:rsidRPr="002C4C2B">
              <w:rPr>
                <w:rFonts w:ascii="Helvetica" w:hAnsi="Helvetica" w:cs="Arial"/>
                <w:color w:val="000000"/>
                <w:sz w:val="15"/>
                <w:szCs w:val="15"/>
              </w:rPr>
              <w:t xml:space="preserve"> headaches</w:t>
            </w:r>
          </w:p>
        </w:tc>
      </w:tr>
      <w:tr w:rsidR="00D00EB0" w:rsidRPr="002C4C2B" w14:paraId="7AD92B95" w14:textId="77777777" w:rsidTr="00D21B9D">
        <w:trPr>
          <w:trHeight w:val="413"/>
        </w:trPr>
        <w:tc>
          <w:tcPr>
            <w:tcW w:w="1129" w:type="dxa"/>
            <w:hideMark/>
          </w:tcPr>
          <w:p w14:paraId="49F8F03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3</w:t>
            </w:r>
          </w:p>
        </w:tc>
        <w:tc>
          <w:tcPr>
            <w:tcW w:w="567" w:type="dxa"/>
            <w:hideMark/>
          </w:tcPr>
          <w:p w14:paraId="6E251BF0"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31</w:t>
            </w:r>
          </w:p>
        </w:tc>
        <w:tc>
          <w:tcPr>
            <w:tcW w:w="856" w:type="dxa"/>
            <w:hideMark/>
          </w:tcPr>
          <w:p w14:paraId="20ADC6D7"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hideMark/>
          </w:tcPr>
          <w:p w14:paraId="45B1FB4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Left</w:t>
            </w:r>
          </w:p>
        </w:tc>
        <w:tc>
          <w:tcPr>
            <w:tcW w:w="987" w:type="dxa"/>
            <w:hideMark/>
          </w:tcPr>
          <w:p w14:paraId="5802809A"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13</w:t>
            </w:r>
          </w:p>
        </w:tc>
        <w:tc>
          <w:tcPr>
            <w:tcW w:w="1565" w:type="dxa"/>
            <w:hideMark/>
          </w:tcPr>
          <w:p w14:paraId="730C86A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Language and memory deficits</w:t>
            </w:r>
          </w:p>
        </w:tc>
        <w:tc>
          <w:tcPr>
            <w:tcW w:w="1134" w:type="dxa"/>
            <w:hideMark/>
          </w:tcPr>
          <w:p w14:paraId="4296DEC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Epilepsy</w:t>
            </w:r>
          </w:p>
        </w:tc>
        <w:tc>
          <w:tcPr>
            <w:tcW w:w="1786" w:type="dxa"/>
            <w:hideMark/>
          </w:tcPr>
          <w:p w14:paraId="30EC788B"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ADD, anxiety, depression, migraines</w:t>
            </w:r>
          </w:p>
        </w:tc>
      </w:tr>
      <w:tr w:rsidR="00D00EB0" w:rsidRPr="002C4C2B" w14:paraId="5CCB0406" w14:textId="77777777" w:rsidTr="00D21B9D">
        <w:trPr>
          <w:trHeight w:val="419"/>
        </w:trPr>
        <w:tc>
          <w:tcPr>
            <w:tcW w:w="1129" w:type="dxa"/>
            <w:noWrap/>
            <w:hideMark/>
          </w:tcPr>
          <w:p w14:paraId="7869F11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4</w:t>
            </w:r>
          </w:p>
        </w:tc>
        <w:tc>
          <w:tcPr>
            <w:tcW w:w="567" w:type="dxa"/>
            <w:noWrap/>
            <w:hideMark/>
          </w:tcPr>
          <w:p w14:paraId="13529982"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33</w:t>
            </w:r>
          </w:p>
        </w:tc>
        <w:tc>
          <w:tcPr>
            <w:tcW w:w="856" w:type="dxa"/>
            <w:noWrap/>
            <w:hideMark/>
          </w:tcPr>
          <w:p w14:paraId="62D7D2D6"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0CC047F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4794A71E"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10</w:t>
            </w:r>
          </w:p>
        </w:tc>
        <w:tc>
          <w:tcPr>
            <w:tcW w:w="1565" w:type="dxa"/>
            <w:noWrap/>
            <w:hideMark/>
          </w:tcPr>
          <w:p w14:paraId="2CDBF71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None</w:t>
            </w:r>
          </w:p>
        </w:tc>
        <w:tc>
          <w:tcPr>
            <w:tcW w:w="1134" w:type="dxa"/>
            <w:hideMark/>
          </w:tcPr>
          <w:p w14:paraId="0DA2713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Idiopathic epilepsy</w:t>
            </w:r>
          </w:p>
        </w:tc>
        <w:tc>
          <w:tcPr>
            <w:tcW w:w="1786" w:type="dxa"/>
            <w:hideMark/>
          </w:tcPr>
          <w:p w14:paraId="2BDD1DB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Depression, anxiety, PTSD, migraines</w:t>
            </w:r>
          </w:p>
        </w:tc>
      </w:tr>
      <w:tr w:rsidR="00D00EB0" w:rsidRPr="002C4C2B" w14:paraId="4AAFC2FE" w14:textId="77777777" w:rsidTr="00D21B9D">
        <w:trPr>
          <w:trHeight w:val="600"/>
        </w:trPr>
        <w:tc>
          <w:tcPr>
            <w:tcW w:w="1129" w:type="dxa"/>
            <w:noWrap/>
            <w:hideMark/>
          </w:tcPr>
          <w:p w14:paraId="736639A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5</w:t>
            </w:r>
          </w:p>
        </w:tc>
        <w:tc>
          <w:tcPr>
            <w:tcW w:w="567" w:type="dxa"/>
            <w:noWrap/>
            <w:hideMark/>
          </w:tcPr>
          <w:p w14:paraId="33BE0BCA"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34</w:t>
            </w:r>
          </w:p>
        </w:tc>
        <w:tc>
          <w:tcPr>
            <w:tcW w:w="856" w:type="dxa"/>
            <w:noWrap/>
            <w:hideMark/>
          </w:tcPr>
          <w:p w14:paraId="1CD71BA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Female</w:t>
            </w:r>
          </w:p>
        </w:tc>
        <w:tc>
          <w:tcPr>
            <w:tcW w:w="992" w:type="dxa"/>
            <w:noWrap/>
            <w:hideMark/>
          </w:tcPr>
          <w:p w14:paraId="034D86C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50384C5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12</w:t>
            </w:r>
          </w:p>
        </w:tc>
        <w:tc>
          <w:tcPr>
            <w:tcW w:w="1565" w:type="dxa"/>
            <w:noWrap/>
            <w:hideMark/>
          </w:tcPr>
          <w:p w14:paraId="1AD5B3D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None</w:t>
            </w:r>
          </w:p>
        </w:tc>
        <w:tc>
          <w:tcPr>
            <w:tcW w:w="1134" w:type="dxa"/>
            <w:hideMark/>
          </w:tcPr>
          <w:p w14:paraId="136066B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Refractory epilepsy</w:t>
            </w:r>
          </w:p>
        </w:tc>
        <w:tc>
          <w:tcPr>
            <w:tcW w:w="1786" w:type="dxa"/>
            <w:hideMark/>
          </w:tcPr>
          <w:p w14:paraId="74506140"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Hypothyroidism, anxiety, depression, PTSD, psychotic disorder</w:t>
            </w:r>
          </w:p>
        </w:tc>
      </w:tr>
      <w:tr w:rsidR="00D00EB0" w:rsidRPr="002C4C2B" w14:paraId="6912F258" w14:textId="77777777" w:rsidTr="00D21B9D">
        <w:trPr>
          <w:trHeight w:val="600"/>
        </w:trPr>
        <w:tc>
          <w:tcPr>
            <w:tcW w:w="1129" w:type="dxa"/>
            <w:noWrap/>
            <w:hideMark/>
          </w:tcPr>
          <w:p w14:paraId="53D8761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6</w:t>
            </w:r>
          </w:p>
        </w:tc>
        <w:tc>
          <w:tcPr>
            <w:tcW w:w="567" w:type="dxa"/>
            <w:noWrap/>
            <w:hideMark/>
          </w:tcPr>
          <w:p w14:paraId="32375F2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31</w:t>
            </w:r>
          </w:p>
        </w:tc>
        <w:tc>
          <w:tcPr>
            <w:tcW w:w="856" w:type="dxa"/>
            <w:noWrap/>
            <w:hideMark/>
          </w:tcPr>
          <w:p w14:paraId="114AD66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Female</w:t>
            </w:r>
          </w:p>
        </w:tc>
        <w:tc>
          <w:tcPr>
            <w:tcW w:w="992" w:type="dxa"/>
            <w:noWrap/>
            <w:hideMark/>
          </w:tcPr>
          <w:p w14:paraId="7F1008D4"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252F9DE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9</w:t>
            </w:r>
          </w:p>
        </w:tc>
        <w:tc>
          <w:tcPr>
            <w:tcW w:w="1565" w:type="dxa"/>
            <w:hideMark/>
          </w:tcPr>
          <w:p w14:paraId="2ECAA979"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Mild neurocognitive disorder secondary to epilepsy</w:t>
            </w:r>
          </w:p>
        </w:tc>
        <w:tc>
          <w:tcPr>
            <w:tcW w:w="1134" w:type="dxa"/>
            <w:hideMark/>
          </w:tcPr>
          <w:p w14:paraId="2FD4640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Refractory autoimmune epilepsy</w:t>
            </w:r>
          </w:p>
        </w:tc>
        <w:tc>
          <w:tcPr>
            <w:tcW w:w="1786" w:type="dxa"/>
            <w:hideMark/>
          </w:tcPr>
          <w:p w14:paraId="020DDE39"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Anxiety, depression, ADHD, sleep apnea</w:t>
            </w:r>
          </w:p>
        </w:tc>
      </w:tr>
      <w:tr w:rsidR="00D00EB0" w:rsidRPr="002C4C2B" w14:paraId="077166C4" w14:textId="77777777" w:rsidTr="00D21B9D">
        <w:trPr>
          <w:trHeight w:val="280"/>
        </w:trPr>
        <w:tc>
          <w:tcPr>
            <w:tcW w:w="1129" w:type="dxa"/>
            <w:noWrap/>
            <w:hideMark/>
          </w:tcPr>
          <w:p w14:paraId="16E7F84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7</w:t>
            </w:r>
          </w:p>
        </w:tc>
        <w:tc>
          <w:tcPr>
            <w:tcW w:w="567" w:type="dxa"/>
            <w:noWrap/>
            <w:hideMark/>
          </w:tcPr>
          <w:p w14:paraId="5C2DAD1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42</w:t>
            </w:r>
          </w:p>
        </w:tc>
        <w:tc>
          <w:tcPr>
            <w:tcW w:w="856" w:type="dxa"/>
            <w:noWrap/>
            <w:hideMark/>
          </w:tcPr>
          <w:p w14:paraId="5F57172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Female</w:t>
            </w:r>
          </w:p>
        </w:tc>
        <w:tc>
          <w:tcPr>
            <w:tcW w:w="992" w:type="dxa"/>
            <w:noWrap/>
            <w:hideMark/>
          </w:tcPr>
          <w:p w14:paraId="2B1F7F3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72614C1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16</w:t>
            </w:r>
          </w:p>
        </w:tc>
        <w:tc>
          <w:tcPr>
            <w:tcW w:w="1565" w:type="dxa"/>
            <w:noWrap/>
            <w:hideMark/>
          </w:tcPr>
          <w:p w14:paraId="19B0A450"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None</w:t>
            </w:r>
          </w:p>
        </w:tc>
        <w:tc>
          <w:tcPr>
            <w:tcW w:w="1134" w:type="dxa"/>
            <w:noWrap/>
            <w:hideMark/>
          </w:tcPr>
          <w:p w14:paraId="289C4D1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Idiopathic epilepsy</w:t>
            </w:r>
          </w:p>
        </w:tc>
        <w:tc>
          <w:tcPr>
            <w:tcW w:w="1786" w:type="dxa"/>
            <w:noWrap/>
            <w:hideMark/>
          </w:tcPr>
          <w:p w14:paraId="0F45E51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Anxiety, depression</w:t>
            </w:r>
          </w:p>
        </w:tc>
      </w:tr>
      <w:tr w:rsidR="00D00EB0" w:rsidRPr="002C4C2B" w14:paraId="3815AFDF" w14:textId="77777777" w:rsidTr="00D21B9D">
        <w:trPr>
          <w:trHeight w:val="384"/>
        </w:trPr>
        <w:tc>
          <w:tcPr>
            <w:tcW w:w="1129" w:type="dxa"/>
            <w:noWrap/>
            <w:hideMark/>
          </w:tcPr>
          <w:p w14:paraId="2480196A"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8</w:t>
            </w:r>
          </w:p>
        </w:tc>
        <w:tc>
          <w:tcPr>
            <w:tcW w:w="567" w:type="dxa"/>
            <w:noWrap/>
            <w:hideMark/>
          </w:tcPr>
          <w:p w14:paraId="615BB16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41</w:t>
            </w:r>
          </w:p>
        </w:tc>
        <w:tc>
          <w:tcPr>
            <w:tcW w:w="856" w:type="dxa"/>
            <w:noWrap/>
            <w:hideMark/>
          </w:tcPr>
          <w:p w14:paraId="15B28C19"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Female</w:t>
            </w:r>
          </w:p>
        </w:tc>
        <w:tc>
          <w:tcPr>
            <w:tcW w:w="992" w:type="dxa"/>
            <w:noWrap/>
            <w:hideMark/>
          </w:tcPr>
          <w:p w14:paraId="7DB56B54"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Left</w:t>
            </w:r>
          </w:p>
        </w:tc>
        <w:tc>
          <w:tcPr>
            <w:tcW w:w="987" w:type="dxa"/>
            <w:noWrap/>
            <w:hideMark/>
          </w:tcPr>
          <w:p w14:paraId="33E363F6"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13</w:t>
            </w:r>
          </w:p>
        </w:tc>
        <w:tc>
          <w:tcPr>
            <w:tcW w:w="1565" w:type="dxa"/>
            <w:hideMark/>
          </w:tcPr>
          <w:p w14:paraId="357EA45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Mild language impairment</w:t>
            </w:r>
          </w:p>
        </w:tc>
        <w:tc>
          <w:tcPr>
            <w:tcW w:w="1134" w:type="dxa"/>
            <w:hideMark/>
          </w:tcPr>
          <w:p w14:paraId="567289F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Idiopathic epilepsy</w:t>
            </w:r>
          </w:p>
        </w:tc>
        <w:tc>
          <w:tcPr>
            <w:tcW w:w="1786" w:type="dxa"/>
            <w:hideMark/>
          </w:tcPr>
          <w:p w14:paraId="0324DBE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Anxiety, depression, migraines</w:t>
            </w:r>
          </w:p>
        </w:tc>
      </w:tr>
      <w:tr w:rsidR="00D00EB0" w:rsidRPr="002C4C2B" w14:paraId="497C4E05" w14:textId="77777777" w:rsidTr="00D21B9D">
        <w:trPr>
          <w:trHeight w:val="1001"/>
        </w:trPr>
        <w:tc>
          <w:tcPr>
            <w:tcW w:w="1129" w:type="dxa"/>
            <w:noWrap/>
            <w:hideMark/>
          </w:tcPr>
          <w:p w14:paraId="3308CE4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9</w:t>
            </w:r>
          </w:p>
        </w:tc>
        <w:tc>
          <w:tcPr>
            <w:tcW w:w="567" w:type="dxa"/>
            <w:noWrap/>
            <w:hideMark/>
          </w:tcPr>
          <w:p w14:paraId="73DDBF6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42</w:t>
            </w:r>
          </w:p>
        </w:tc>
        <w:tc>
          <w:tcPr>
            <w:tcW w:w="856" w:type="dxa"/>
            <w:noWrap/>
            <w:hideMark/>
          </w:tcPr>
          <w:p w14:paraId="1D057F5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76F2A556"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55BDBCB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12</w:t>
            </w:r>
          </w:p>
        </w:tc>
        <w:tc>
          <w:tcPr>
            <w:tcW w:w="1565" w:type="dxa"/>
            <w:hideMark/>
          </w:tcPr>
          <w:p w14:paraId="6AFCB43B"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Short-term episodic memory difficulties</w:t>
            </w:r>
          </w:p>
        </w:tc>
        <w:tc>
          <w:tcPr>
            <w:tcW w:w="1134" w:type="dxa"/>
            <w:hideMark/>
          </w:tcPr>
          <w:p w14:paraId="7B9B24C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Intractable focal epilepsy</w:t>
            </w:r>
          </w:p>
        </w:tc>
        <w:tc>
          <w:tcPr>
            <w:tcW w:w="1786" w:type="dxa"/>
            <w:hideMark/>
          </w:tcPr>
          <w:p w14:paraId="09DEF57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Traumatic brain injury, bilateral frontotemporal encephalomalacia, communication disorder, depression, anxiety</w:t>
            </w:r>
          </w:p>
        </w:tc>
      </w:tr>
      <w:tr w:rsidR="00D00EB0" w:rsidRPr="002C4C2B" w14:paraId="663BB7A1" w14:textId="77777777" w:rsidTr="00D21B9D">
        <w:trPr>
          <w:trHeight w:val="1045"/>
        </w:trPr>
        <w:tc>
          <w:tcPr>
            <w:tcW w:w="1129" w:type="dxa"/>
            <w:noWrap/>
            <w:hideMark/>
          </w:tcPr>
          <w:p w14:paraId="40C9E39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10</w:t>
            </w:r>
          </w:p>
        </w:tc>
        <w:tc>
          <w:tcPr>
            <w:tcW w:w="567" w:type="dxa"/>
            <w:noWrap/>
            <w:hideMark/>
          </w:tcPr>
          <w:p w14:paraId="1C2D0687"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32</w:t>
            </w:r>
          </w:p>
        </w:tc>
        <w:tc>
          <w:tcPr>
            <w:tcW w:w="856" w:type="dxa"/>
            <w:noWrap/>
            <w:hideMark/>
          </w:tcPr>
          <w:p w14:paraId="0660276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31D3B93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Left</w:t>
            </w:r>
          </w:p>
        </w:tc>
        <w:tc>
          <w:tcPr>
            <w:tcW w:w="987" w:type="dxa"/>
            <w:noWrap/>
            <w:hideMark/>
          </w:tcPr>
          <w:p w14:paraId="22761C7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12</w:t>
            </w:r>
          </w:p>
        </w:tc>
        <w:tc>
          <w:tcPr>
            <w:tcW w:w="1565" w:type="dxa"/>
            <w:hideMark/>
          </w:tcPr>
          <w:p w14:paraId="282E1F9A"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Impaired perceptual reasoning</w:t>
            </w:r>
          </w:p>
        </w:tc>
        <w:tc>
          <w:tcPr>
            <w:tcW w:w="1134" w:type="dxa"/>
            <w:hideMark/>
          </w:tcPr>
          <w:p w14:paraId="0C7F16CA"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Idiopathic epilepsy</w:t>
            </w:r>
          </w:p>
        </w:tc>
        <w:tc>
          <w:tcPr>
            <w:tcW w:w="1786" w:type="dxa"/>
            <w:hideMark/>
          </w:tcPr>
          <w:p w14:paraId="0299ED92"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Autism spectrum disorder, neuronal migration disorder (left hemispheric heterotopia/schizencephaly)</w:t>
            </w:r>
          </w:p>
        </w:tc>
      </w:tr>
      <w:tr w:rsidR="00D00EB0" w:rsidRPr="002C4C2B" w14:paraId="5EF00BBE" w14:textId="77777777" w:rsidTr="00D21B9D">
        <w:trPr>
          <w:trHeight w:val="416"/>
        </w:trPr>
        <w:tc>
          <w:tcPr>
            <w:tcW w:w="1129" w:type="dxa"/>
            <w:noWrap/>
            <w:hideMark/>
          </w:tcPr>
          <w:p w14:paraId="1C00812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11</w:t>
            </w:r>
          </w:p>
        </w:tc>
        <w:tc>
          <w:tcPr>
            <w:tcW w:w="567" w:type="dxa"/>
            <w:noWrap/>
            <w:hideMark/>
          </w:tcPr>
          <w:p w14:paraId="5A682BC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34</w:t>
            </w:r>
          </w:p>
        </w:tc>
        <w:tc>
          <w:tcPr>
            <w:tcW w:w="856" w:type="dxa"/>
            <w:noWrap/>
            <w:hideMark/>
          </w:tcPr>
          <w:p w14:paraId="696382D9"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299FA2B7"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6C31FED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12</w:t>
            </w:r>
          </w:p>
        </w:tc>
        <w:tc>
          <w:tcPr>
            <w:tcW w:w="1565" w:type="dxa"/>
            <w:noWrap/>
            <w:hideMark/>
          </w:tcPr>
          <w:p w14:paraId="5509D54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None</w:t>
            </w:r>
          </w:p>
        </w:tc>
        <w:tc>
          <w:tcPr>
            <w:tcW w:w="1134" w:type="dxa"/>
            <w:noWrap/>
            <w:hideMark/>
          </w:tcPr>
          <w:p w14:paraId="75479234"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Refractory epilepsy</w:t>
            </w:r>
          </w:p>
        </w:tc>
        <w:tc>
          <w:tcPr>
            <w:tcW w:w="1786" w:type="dxa"/>
            <w:hideMark/>
          </w:tcPr>
          <w:p w14:paraId="55C0C26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 xml:space="preserve">Neurofibromatosis type 1, resection of </w:t>
            </w:r>
            <w:proofErr w:type="gramStart"/>
            <w:r w:rsidRPr="002C4C2B">
              <w:rPr>
                <w:rFonts w:ascii="Helvetica" w:hAnsi="Helvetica" w:cs="Arial"/>
                <w:color w:val="000000"/>
                <w:sz w:val="15"/>
                <w:szCs w:val="15"/>
              </w:rPr>
              <w:t>low grade</w:t>
            </w:r>
            <w:proofErr w:type="gramEnd"/>
            <w:r w:rsidRPr="002C4C2B">
              <w:rPr>
                <w:rFonts w:ascii="Helvetica" w:hAnsi="Helvetica" w:cs="Arial"/>
                <w:color w:val="000000"/>
                <w:sz w:val="15"/>
                <w:szCs w:val="15"/>
              </w:rPr>
              <w:t xml:space="preserve"> glioma, obstructive hydrocephalus, alcohol use disorder, depression, adjustment disorder, conversion mutism</w:t>
            </w:r>
          </w:p>
        </w:tc>
      </w:tr>
      <w:tr w:rsidR="00D00EB0" w:rsidRPr="002C4C2B" w14:paraId="6E9F2094" w14:textId="77777777" w:rsidTr="00D21B9D">
        <w:trPr>
          <w:trHeight w:val="730"/>
        </w:trPr>
        <w:tc>
          <w:tcPr>
            <w:tcW w:w="1129" w:type="dxa"/>
            <w:noWrap/>
            <w:hideMark/>
          </w:tcPr>
          <w:p w14:paraId="39FF55A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12</w:t>
            </w:r>
          </w:p>
        </w:tc>
        <w:tc>
          <w:tcPr>
            <w:tcW w:w="567" w:type="dxa"/>
            <w:noWrap/>
            <w:hideMark/>
          </w:tcPr>
          <w:p w14:paraId="1386F65D"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42</w:t>
            </w:r>
          </w:p>
        </w:tc>
        <w:tc>
          <w:tcPr>
            <w:tcW w:w="856" w:type="dxa"/>
            <w:noWrap/>
            <w:hideMark/>
          </w:tcPr>
          <w:p w14:paraId="3BA614D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6D79774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67E0F6F1"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9</w:t>
            </w:r>
          </w:p>
        </w:tc>
        <w:tc>
          <w:tcPr>
            <w:tcW w:w="1565" w:type="dxa"/>
            <w:hideMark/>
          </w:tcPr>
          <w:p w14:paraId="3C6E5EFB"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Memory, executive, and learning difficulties</w:t>
            </w:r>
          </w:p>
        </w:tc>
        <w:tc>
          <w:tcPr>
            <w:tcW w:w="1134" w:type="dxa"/>
            <w:noWrap/>
            <w:hideMark/>
          </w:tcPr>
          <w:p w14:paraId="713E9E72"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Intractable focal epilepsy</w:t>
            </w:r>
          </w:p>
        </w:tc>
        <w:tc>
          <w:tcPr>
            <w:tcW w:w="1786" w:type="dxa"/>
            <w:hideMark/>
          </w:tcPr>
          <w:p w14:paraId="0A515E66"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 frontal ganglioma resection, depression, psychosis following use of phencyclidine</w:t>
            </w:r>
          </w:p>
        </w:tc>
      </w:tr>
      <w:tr w:rsidR="00D00EB0" w:rsidRPr="002C4C2B" w14:paraId="33D82CCC" w14:textId="77777777" w:rsidTr="00D21B9D">
        <w:trPr>
          <w:trHeight w:val="600"/>
        </w:trPr>
        <w:tc>
          <w:tcPr>
            <w:tcW w:w="1129" w:type="dxa"/>
            <w:noWrap/>
            <w:hideMark/>
          </w:tcPr>
          <w:p w14:paraId="69B1D070"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13</w:t>
            </w:r>
          </w:p>
        </w:tc>
        <w:tc>
          <w:tcPr>
            <w:tcW w:w="567" w:type="dxa"/>
            <w:noWrap/>
            <w:hideMark/>
          </w:tcPr>
          <w:p w14:paraId="6596507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19</w:t>
            </w:r>
          </w:p>
        </w:tc>
        <w:tc>
          <w:tcPr>
            <w:tcW w:w="856" w:type="dxa"/>
            <w:noWrap/>
            <w:hideMark/>
          </w:tcPr>
          <w:p w14:paraId="529B02F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1FCE582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4A180158"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12</w:t>
            </w:r>
          </w:p>
        </w:tc>
        <w:tc>
          <w:tcPr>
            <w:tcW w:w="1565" w:type="dxa"/>
            <w:noWrap/>
            <w:hideMark/>
          </w:tcPr>
          <w:p w14:paraId="15F86384"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None</w:t>
            </w:r>
          </w:p>
        </w:tc>
        <w:tc>
          <w:tcPr>
            <w:tcW w:w="1134" w:type="dxa"/>
            <w:noWrap/>
            <w:hideMark/>
          </w:tcPr>
          <w:p w14:paraId="750E6A8F"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Intractable focal epilepsy</w:t>
            </w:r>
          </w:p>
        </w:tc>
        <w:tc>
          <w:tcPr>
            <w:tcW w:w="1786" w:type="dxa"/>
            <w:hideMark/>
          </w:tcPr>
          <w:p w14:paraId="451AE536"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Parasomnia, monoallelic mutation of DEPDC5 gene</w:t>
            </w:r>
          </w:p>
        </w:tc>
      </w:tr>
      <w:tr w:rsidR="00D00EB0" w:rsidRPr="002C4C2B" w14:paraId="075FD96A" w14:textId="77777777" w:rsidTr="00D21B9D">
        <w:trPr>
          <w:trHeight w:val="600"/>
        </w:trPr>
        <w:tc>
          <w:tcPr>
            <w:tcW w:w="1129" w:type="dxa"/>
            <w:noWrap/>
            <w:hideMark/>
          </w:tcPr>
          <w:p w14:paraId="073B6255"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14</w:t>
            </w:r>
          </w:p>
        </w:tc>
        <w:tc>
          <w:tcPr>
            <w:tcW w:w="567" w:type="dxa"/>
            <w:noWrap/>
            <w:hideMark/>
          </w:tcPr>
          <w:p w14:paraId="0C3810A7"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27</w:t>
            </w:r>
          </w:p>
        </w:tc>
        <w:tc>
          <w:tcPr>
            <w:tcW w:w="856" w:type="dxa"/>
            <w:noWrap/>
            <w:hideMark/>
          </w:tcPr>
          <w:p w14:paraId="5DE38BDE"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Male</w:t>
            </w:r>
          </w:p>
        </w:tc>
        <w:tc>
          <w:tcPr>
            <w:tcW w:w="992" w:type="dxa"/>
            <w:noWrap/>
            <w:hideMark/>
          </w:tcPr>
          <w:p w14:paraId="7D799C23"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Right</w:t>
            </w:r>
          </w:p>
        </w:tc>
        <w:tc>
          <w:tcPr>
            <w:tcW w:w="987" w:type="dxa"/>
            <w:noWrap/>
            <w:hideMark/>
          </w:tcPr>
          <w:p w14:paraId="3D67D869"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16</w:t>
            </w:r>
          </w:p>
        </w:tc>
        <w:tc>
          <w:tcPr>
            <w:tcW w:w="1565" w:type="dxa"/>
            <w:noWrap/>
            <w:hideMark/>
          </w:tcPr>
          <w:p w14:paraId="53E60AF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None</w:t>
            </w:r>
          </w:p>
        </w:tc>
        <w:tc>
          <w:tcPr>
            <w:tcW w:w="1134" w:type="dxa"/>
            <w:noWrap/>
            <w:hideMark/>
          </w:tcPr>
          <w:p w14:paraId="3B405364"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Intractable focal epilepsy</w:t>
            </w:r>
          </w:p>
        </w:tc>
        <w:tc>
          <w:tcPr>
            <w:tcW w:w="1786" w:type="dxa"/>
            <w:hideMark/>
          </w:tcPr>
          <w:p w14:paraId="2DCC081C" w14:textId="77777777" w:rsidR="00D00EB0" w:rsidRPr="002C4C2B" w:rsidRDefault="00D00EB0" w:rsidP="00D21B9D">
            <w:pPr>
              <w:jc w:val="center"/>
              <w:rPr>
                <w:rFonts w:ascii="Helvetica" w:hAnsi="Helvetica" w:cs="Arial"/>
                <w:color w:val="000000"/>
                <w:sz w:val="15"/>
                <w:szCs w:val="15"/>
              </w:rPr>
            </w:pPr>
            <w:r w:rsidRPr="002C4C2B">
              <w:rPr>
                <w:rFonts w:ascii="Helvetica" w:hAnsi="Helvetica" w:cs="Arial"/>
                <w:color w:val="000000"/>
                <w:sz w:val="15"/>
                <w:szCs w:val="15"/>
              </w:rPr>
              <w:t>Episodic mood disorder, anxiety, depression, ADHD, encephalocele</w:t>
            </w:r>
          </w:p>
        </w:tc>
      </w:tr>
      <w:tr w:rsidR="00D00EB0" w:rsidRPr="002C4C2B" w14:paraId="0310F1BA" w14:textId="77777777" w:rsidTr="00D21B9D">
        <w:trPr>
          <w:trHeight w:val="280"/>
        </w:trPr>
        <w:tc>
          <w:tcPr>
            <w:tcW w:w="1129" w:type="dxa"/>
            <w:noWrap/>
            <w:hideMark/>
          </w:tcPr>
          <w:p w14:paraId="032476AD" w14:textId="77777777" w:rsidR="00D00EB0" w:rsidRPr="00F948EA" w:rsidRDefault="00D00EB0" w:rsidP="00D21B9D">
            <w:pPr>
              <w:jc w:val="center"/>
              <w:rPr>
                <w:rFonts w:ascii="Helvetica" w:hAnsi="Helvetica" w:cs="Arial"/>
                <w:color w:val="000000"/>
                <w:sz w:val="15"/>
                <w:szCs w:val="15"/>
              </w:rPr>
            </w:pPr>
            <w:r w:rsidRPr="00F948EA">
              <w:rPr>
                <w:rFonts w:ascii="Helvetica" w:hAnsi="Helvetica" w:cs="Arial"/>
                <w:color w:val="000000"/>
                <w:sz w:val="15"/>
                <w:szCs w:val="15"/>
              </w:rPr>
              <w:t>15</w:t>
            </w:r>
          </w:p>
        </w:tc>
        <w:tc>
          <w:tcPr>
            <w:tcW w:w="567" w:type="dxa"/>
            <w:noWrap/>
            <w:hideMark/>
          </w:tcPr>
          <w:p w14:paraId="28E9830C" w14:textId="77777777" w:rsidR="00D00EB0" w:rsidRPr="00F948EA" w:rsidRDefault="00D00EB0" w:rsidP="00D21B9D">
            <w:pPr>
              <w:jc w:val="center"/>
              <w:rPr>
                <w:rFonts w:ascii="Helvetica" w:hAnsi="Helvetica" w:cs="Arial"/>
                <w:color w:val="000000"/>
                <w:sz w:val="15"/>
                <w:szCs w:val="15"/>
                <w:lang w:val="sv-SE"/>
              </w:rPr>
            </w:pPr>
            <w:r w:rsidRPr="00F948EA">
              <w:rPr>
                <w:rFonts w:ascii="Helvetica" w:hAnsi="Helvetica" w:cs="Arial"/>
                <w:color w:val="000000"/>
                <w:sz w:val="15"/>
                <w:szCs w:val="15"/>
                <w:lang w:val="sv-SE"/>
              </w:rPr>
              <w:t>16</w:t>
            </w:r>
          </w:p>
        </w:tc>
        <w:tc>
          <w:tcPr>
            <w:tcW w:w="856" w:type="dxa"/>
            <w:noWrap/>
            <w:hideMark/>
          </w:tcPr>
          <w:p w14:paraId="21551FAE" w14:textId="77777777" w:rsidR="00D00EB0" w:rsidRPr="00F948EA" w:rsidRDefault="00D00EB0" w:rsidP="00D21B9D">
            <w:pPr>
              <w:jc w:val="center"/>
              <w:rPr>
                <w:rFonts w:ascii="Helvetica" w:hAnsi="Helvetica" w:cs="Arial"/>
                <w:color w:val="000000"/>
                <w:sz w:val="15"/>
                <w:szCs w:val="15"/>
                <w:lang w:val="sv-SE"/>
              </w:rPr>
            </w:pPr>
            <w:proofErr w:type="spellStart"/>
            <w:r w:rsidRPr="00F948EA">
              <w:rPr>
                <w:rFonts w:ascii="Helvetica" w:hAnsi="Helvetica" w:cs="Arial"/>
                <w:color w:val="000000"/>
                <w:sz w:val="15"/>
                <w:szCs w:val="15"/>
                <w:lang w:val="sv-SE"/>
              </w:rPr>
              <w:t>Male</w:t>
            </w:r>
            <w:proofErr w:type="spellEnd"/>
          </w:p>
        </w:tc>
        <w:tc>
          <w:tcPr>
            <w:tcW w:w="992" w:type="dxa"/>
            <w:noWrap/>
            <w:hideMark/>
          </w:tcPr>
          <w:p w14:paraId="59AD2928" w14:textId="77777777" w:rsidR="00D00EB0" w:rsidRPr="00F948EA" w:rsidRDefault="00D00EB0" w:rsidP="00D21B9D">
            <w:pPr>
              <w:jc w:val="center"/>
              <w:rPr>
                <w:rFonts w:ascii="Helvetica" w:hAnsi="Helvetica" w:cs="Arial"/>
                <w:color w:val="000000"/>
                <w:sz w:val="15"/>
                <w:szCs w:val="15"/>
                <w:lang w:val="sv-SE"/>
              </w:rPr>
            </w:pPr>
            <w:proofErr w:type="spellStart"/>
            <w:r w:rsidRPr="00F948EA">
              <w:rPr>
                <w:rFonts w:ascii="Helvetica" w:hAnsi="Helvetica" w:cs="Arial"/>
                <w:color w:val="000000"/>
                <w:sz w:val="15"/>
                <w:szCs w:val="15"/>
                <w:lang w:val="sv-SE"/>
              </w:rPr>
              <w:t>Left</w:t>
            </w:r>
            <w:proofErr w:type="spellEnd"/>
          </w:p>
        </w:tc>
        <w:tc>
          <w:tcPr>
            <w:tcW w:w="987" w:type="dxa"/>
            <w:noWrap/>
            <w:hideMark/>
          </w:tcPr>
          <w:p w14:paraId="6310C04A" w14:textId="77777777" w:rsidR="00D00EB0" w:rsidRPr="00F948EA" w:rsidRDefault="00D00EB0" w:rsidP="00D21B9D">
            <w:pPr>
              <w:jc w:val="center"/>
              <w:rPr>
                <w:rFonts w:ascii="Helvetica" w:hAnsi="Helvetica" w:cs="Arial"/>
                <w:color w:val="000000"/>
                <w:sz w:val="15"/>
                <w:szCs w:val="15"/>
                <w:lang w:val="sv-SE"/>
              </w:rPr>
            </w:pPr>
            <w:r w:rsidRPr="00F948EA">
              <w:rPr>
                <w:rFonts w:ascii="Helvetica" w:hAnsi="Helvetica" w:cs="Arial"/>
                <w:color w:val="000000"/>
                <w:sz w:val="15"/>
                <w:szCs w:val="15"/>
                <w:lang w:val="sv-SE"/>
              </w:rPr>
              <w:t>11</w:t>
            </w:r>
          </w:p>
        </w:tc>
        <w:tc>
          <w:tcPr>
            <w:tcW w:w="1565" w:type="dxa"/>
            <w:noWrap/>
            <w:hideMark/>
          </w:tcPr>
          <w:p w14:paraId="14ADD225" w14:textId="77777777" w:rsidR="00D00EB0" w:rsidRPr="00F948EA" w:rsidRDefault="00D00EB0" w:rsidP="00D21B9D">
            <w:pPr>
              <w:jc w:val="center"/>
              <w:rPr>
                <w:rFonts w:ascii="Helvetica" w:hAnsi="Helvetica" w:cs="Arial"/>
                <w:color w:val="000000"/>
                <w:sz w:val="15"/>
                <w:szCs w:val="15"/>
              </w:rPr>
            </w:pPr>
            <w:r w:rsidRPr="00F948EA">
              <w:rPr>
                <w:rFonts w:ascii="Helvetica" w:hAnsi="Helvetica" w:cs="Arial"/>
                <w:color w:val="000000"/>
                <w:sz w:val="15"/>
                <w:szCs w:val="15"/>
              </w:rPr>
              <w:t>Moderate intellect</w:t>
            </w:r>
            <w:r>
              <w:rPr>
                <w:rFonts w:ascii="Helvetica" w:hAnsi="Helvetica" w:cs="Arial"/>
                <w:color w:val="000000"/>
                <w:sz w:val="15"/>
                <w:szCs w:val="15"/>
                <w:lang w:val="sv-SE"/>
              </w:rPr>
              <w:t>u</w:t>
            </w:r>
            <w:r w:rsidRPr="00F948EA">
              <w:rPr>
                <w:rFonts w:ascii="Helvetica" w:hAnsi="Helvetica" w:cs="Arial"/>
                <w:color w:val="000000"/>
                <w:sz w:val="15"/>
                <w:szCs w:val="15"/>
              </w:rPr>
              <w:t>al disability</w:t>
            </w:r>
          </w:p>
        </w:tc>
        <w:tc>
          <w:tcPr>
            <w:tcW w:w="1134" w:type="dxa"/>
            <w:noWrap/>
            <w:hideMark/>
          </w:tcPr>
          <w:p w14:paraId="6B638132" w14:textId="77777777" w:rsidR="00D00EB0" w:rsidRPr="00F948EA" w:rsidRDefault="00D00EB0" w:rsidP="00D21B9D">
            <w:pPr>
              <w:jc w:val="center"/>
              <w:rPr>
                <w:rFonts w:ascii="Helvetica" w:hAnsi="Helvetica" w:cs="Arial"/>
                <w:color w:val="000000"/>
                <w:sz w:val="15"/>
                <w:szCs w:val="15"/>
              </w:rPr>
            </w:pPr>
            <w:r w:rsidRPr="00F948EA">
              <w:rPr>
                <w:rFonts w:ascii="Helvetica" w:hAnsi="Helvetica" w:cs="Arial"/>
                <w:color w:val="000000"/>
                <w:sz w:val="15"/>
                <w:szCs w:val="15"/>
              </w:rPr>
              <w:t>Intractable focal epilepsy</w:t>
            </w:r>
          </w:p>
        </w:tc>
        <w:tc>
          <w:tcPr>
            <w:tcW w:w="1786" w:type="dxa"/>
            <w:noWrap/>
            <w:hideMark/>
          </w:tcPr>
          <w:p w14:paraId="63605E5D" w14:textId="77777777" w:rsidR="00D00EB0" w:rsidRPr="00F948EA" w:rsidRDefault="00D00EB0" w:rsidP="00D21B9D">
            <w:pPr>
              <w:jc w:val="center"/>
              <w:rPr>
                <w:rFonts w:ascii="Helvetica" w:hAnsi="Helvetica" w:cs="Arial"/>
                <w:color w:val="000000"/>
                <w:sz w:val="15"/>
                <w:szCs w:val="15"/>
              </w:rPr>
            </w:pPr>
            <w:r w:rsidRPr="0074675F">
              <w:rPr>
                <w:rFonts w:ascii="Helvetica" w:hAnsi="Helvetica" w:cs="Arial"/>
                <w:color w:val="000000"/>
                <w:sz w:val="15"/>
                <w:szCs w:val="15"/>
              </w:rPr>
              <w:t>T</w:t>
            </w:r>
            <w:r w:rsidRPr="00F948EA">
              <w:rPr>
                <w:rFonts w:ascii="Helvetica" w:hAnsi="Helvetica" w:cs="Arial"/>
                <w:color w:val="000000"/>
                <w:sz w:val="15"/>
                <w:szCs w:val="15"/>
              </w:rPr>
              <w:t>raumatic brain injury, left hemispheric encephalomalacia and right hemiparesis, disruptive behavior disorder, depression, mixed receptive-expressive language disorder</w:t>
            </w:r>
          </w:p>
        </w:tc>
      </w:tr>
    </w:tbl>
    <w:p w14:paraId="329A354B" w14:textId="77777777" w:rsidR="00D00EB0" w:rsidRDefault="00D00EB0" w:rsidP="00D00EB0">
      <w:pPr>
        <w:jc w:val="both"/>
        <w:rPr>
          <w:b/>
        </w:rPr>
      </w:pPr>
    </w:p>
    <w:p w14:paraId="060787BC" w14:textId="2456D79C" w:rsidR="00D00EB0" w:rsidRDefault="00D00EB0" w:rsidP="00D00EB0">
      <w:pPr>
        <w:jc w:val="both"/>
        <w:rPr>
          <w:bCs/>
        </w:rPr>
      </w:pPr>
      <w:r w:rsidRPr="00407730">
        <w:rPr>
          <w:b/>
        </w:rPr>
        <w:t>Table S</w:t>
      </w:r>
      <w:r>
        <w:rPr>
          <w:b/>
        </w:rPr>
        <w:t>2</w:t>
      </w:r>
      <w:r w:rsidRPr="00407730">
        <w:rPr>
          <w:bCs/>
        </w:rPr>
        <w:t xml:space="preserve">. </w:t>
      </w:r>
      <w:r w:rsidRPr="00647CC1">
        <w:rPr>
          <w:b/>
        </w:rPr>
        <w:t>Experiment 5</w:t>
      </w:r>
      <w:r>
        <w:rPr>
          <w:bCs/>
        </w:rPr>
        <w:t>. P</w:t>
      </w:r>
      <w:r w:rsidRPr="00647CC1">
        <w:rPr>
          <w:bCs/>
        </w:rPr>
        <w:t>atient</w:t>
      </w:r>
      <w:r>
        <w:rPr>
          <w:bCs/>
        </w:rPr>
        <w:t xml:space="preserve"> characteristics.</w:t>
      </w:r>
    </w:p>
    <w:p w14:paraId="534EF196" w14:textId="200BE7BC" w:rsidR="00D00EB0" w:rsidRPr="00BA03FE" w:rsidRDefault="00D00EB0" w:rsidP="00D00EB0">
      <w:pPr>
        <w:rPr>
          <w:b/>
          <w:color w:val="000000"/>
          <w:sz w:val="28"/>
          <w:szCs w:val="28"/>
        </w:rPr>
      </w:pPr>
      <w:r>
        <w:rPr>
          <w:b/>
          <w:color w:val="000000"/>
          <w:sz w:val="28"/>
          <w:szCs w:val="28"/>
        </w:rPr>
        <w:lastRenderedPageBreak/>
        <w:t xml:space="preserve">Supplementary </w:t>
      </w:r>
      <w:r w:rsidRPr="00BA03FE">
        <w:rPr>
          <w:b/>
          <w:color w:val="000000"/>
          <w:sz w:val="28"/>
          <w:szCs w:val="28"/>
        </w:rPr>
        <w:t>References</w:t>
      </w:r>
    </w:p>
    <w:p w14:paraId="239A8ABF" w14:textId="77777777" w:rsidR="00D00EB0" w:rsidRDefault="00D00EB0" w:rsidP="00D00EB0">
      <w:pPr>
        <w:jc w:val="both"/>
        <w:rPr>
          <w:bCs/>
        </w:rPr>
      </w:pPr>
    </w:p>
    <w:p w14:paraId="36BB94EF" w14:textId="32E9B388" w:rsidR="00E7053D" w:rsidRPr="00E7053D" w:rsidRDefault="00995BA8" w:rsidP="00E7053D">
      <w:pPr>
        <w:pStyle w:val="Bibliography"/>
        <w:spacing w:line="240" w:lineRule="auto"/>
        <w:jc w:val="both"/>
      </w:pPr>
      <w:r>
        <w:rPr>
          <w:bCs/>
        </w:rPr>
        <w:t>S</w:t>
      </w:r>
      <w:r w:rsidR="00E7053D">
        <w:rPr>
          <w:bCs/>
        </w:rPr>
        <w:fldChar w:fldCharType="begin"/>
      </w:r>
      <w:r w:rsidR="00E7053D">
        <w:rPr>
          <w:bCs/>
        </w:rPr>
        <w:instrText xml:space="preserve"> ADDIN ZOTERO_BIBL {"uncited":[],"omitted":[],"custom":[]} CSL_BIBLIOGRAPHY </w:instrText>
      </w:r>
      <w:r w:rsidR="00E7053D">
        <w:rPr>
          <w:bCs/>
        </w:rPr>
        <w:fldChar w:fldCharType="separate"/>
      </w:r>
      <w:r w:rsidR="00E7053D" w:rsidRPr="00E7053D">
        <w:t>1.</w:t>
      </w:r>
      <w:r w:rsidR="00E7053D" w:rsidRPr="00E7053D">
        <w:tab/>
        <w:t xml:space="preserve">Graves, J. E., Egré, P., Pressnitzer, D. &amp; de Gardelle, V. An implicit representation of stimulus ambiguity in pupil size. </w:t>
      </w:r>
      <w:r w:rsidR="00E7053D" w:rsidRPr="00E7053D">
        <w:rPr>
          <w:i/>
          <w:iCs/>
        </w:rPr>
        <w:t>Proceedings of the National Academy of Sciences</w:t>
      </w:r>
      <w:r w:rsidR="00E7053D" w:rsidRPr="00E7053D">
        <w:t xml:space="preserve"> </w:t>
      </w:r>
      <w:r w:rsidR="00E7053D" w:rsidRPr="00E7053D">
        <w:rPr>
          <w:b/>
          <w:bCs/>
        </w:rPr>
        <w:t>118</w:t>
      </w:r>
      <w:r w:rsidR="00E7053D" w:rsidRPr="00E7053D">
        <w:t>, e2107997118 (2021).</w:t>
      </w:r>
    </w:p>
    <w:p w14:paraId="554D59AF" w14:textId="4A9929D1" w:rsidR="00E7053D" w:rsidRPr="00E7053D" w:rsidRDefault="00995BA8" w:rsidP="00E7053D">
      <w:pPr>
        <w:pStyle w:val="Bibliography"/>
        <w:spacing w:line="240" w:lineRule="auto"/>
        <w:jc w:val="both"/>
      </w:pPr>
      <w:r>
        <w:t>S</w:t>
      </w:r>
      <w:r w:rsidR="00E7053D" w:rsidRPr="00E7053D">
        <w:t>2.</w:t>
      </w:r>
      <w:r w:rsidR="00E7053D" w:rsidRPr="00E7053D">
        <w:tab/>
        <w:t xml:space="preserve">Kret, M. E. &amp; Sjak-Shie, E. E. Preprocessing pupil size data: Guidelines and code. </w:t>
      </w:r>
      <w:r w:rsidR="00E7053D" w:rsidRPr="00E7053D">
        <w:rPr>
          <w:i/>
          <w:iCs/>
        </w:rPr>
        <w:t>Behav Res</w:t>
      </w:r>
      <w:r w:rsidR="00E7053D" w:rsidRPr="00E7053D">
        <w:t xml:space="preserve"> </w:t>
      </w:r>
      <w:r w:rsidR="00E7053D" w:rsidRPr="00E7053D">
        <w:rPr>
          <w:b/>
          <w:bCs/>
        </w:rPr>
        <w:t>51</w:t>
      </w:r>
      <w:r w:rsidR="00E7053D" w:rsidRPr="00E7053D">
        <w:t>, 1336–1342 (2019).</w:t>
      </w:r>
    </w:p>
    <w:p w14:paraId="137665A5" w14:textId="70E626B7" w:rsidR="00E7053D" w:rsidRPr="00E7053D" w:rsidRDefault="00995BA8" w:rsidP="00E7053D">
      <w:pPr>
        <w:pStyle w:val="Bibliography"/>
        <w:spacing w:line="240" w:lineRule="auto"/>
        <w:jc w:val="both"/>
      </w:pPr>
      <w:r>
        <w:t>S</w:t>
      </w:r>
      <w:r w:rsidR="00E7053D" w:rsidRPr="00E7053D">
        <w:t>3.</w:t>
      </w:r>
      <w:r w:rsidR="00E7053D" w:rsidRPr="00E7053D">
        <w:tab/>
        <w:t xml:space="preserve">Winkler, A. M. </w:t>
      </w:r>
      <w:r w:rsidR="00E7053D" w:rsidRPr="00E7053D">
        <w:rPr>
          <w:i/>
          <w:iCs/>
        </w:rPr>
        <w:t>et al.</w:t>
      </w:r>
      <w:r w:rsidR="00E7053D" w:rsidRPr="00E7053D">
        <w:t xml:space="preserve"> Non‐parametric combination and related permutation tests for neuroimaging. </w:t>
      </w:r>
      <w:r w:rsidR="00E7053D" w:rsidRPr="00E7053D">
        <w:rPr>
          <w:i/>
          <w:iCs/>
        </w:rPr>
        <w:t>Human Brain Mapping</w:t>
      </w:r>
      <w:r w:rsidR="00E7053D" w:rsidRPr="00E7053D">
        <w:t xml:space="preserve"> </w:t>
      </w:r>
      <w:r w:rsidR="00E7053D" w:rsidRPr="00E7053D">
        <w:rPr>
          <w:b/>
          <w:bCs/>
        </w:rPr>
        <w:t>37</w:t>
      </w:r>
      <w:r w:rsidR="00E7053D" w:rsidRPr="00E7053D">
        <w:t>, 1486–1511 (2016).</w:t>
      </w:r>
    </w:p>
    <w:p w14:paraId="0726652A" w14:textId="46667E2B" w:rsidR="00DD559A" w:rsidRPr="00D00EB0" w:rsidRDefault="00E7053D" w:rsidP="00E7053D">
      <w:pPr>
        <w:jc w:val="both"/>
        <w:rPr>
          <w:bCs/>
        </w:rPr>
      </w:pPr>
      <w:r>
        <w:rPr>
          <w:bCs/>
        </w:rPr>
        <w:fldChar w:fldCharType="end"/>
      </w:r>
    </w:p>
    <w:sectPr w:rsidR="00DD559A" w:rsidRPr="00D00EB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B0"/>
    <w:rsid w:val="00191283"/>
    <w:rsid w:val="005745E8"/>
    <w:rsid w:val="00585ADD"/>
    <w:rsid w:val="00797140"/>
    <w:rsid w:val="00822D99"/>
    <w:rsid w:val="008E643C"/>
    <w:rsid w:val="00995BA8"/>
    <w:rsid w:val="00A7180C"/>
    <w:rsid w:val="00A94F8F"/>
    <w:rsid w:val="00AE11BF"/>
    <w:rsid w:val="00C1088B"/>
    <w:rsid w:val="00D00EB0"/>
    <w:rsid w:val="00DD559A"/>
    <w:rsid w:val="00E7053D"/>
    <w:rsid w:val="00FB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8916"/>
  <w15:chartTrackingRefBased/>
  <w15:docId w15:val="{09578A88-1757-4F73-9DA7-1B93B459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EB0"/>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00E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00E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00E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00EB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00EB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00EB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00EB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00EB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00EB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EB0"/>
    <w:rPr>
      <w:rFonts w:eastAsiaTheme="majorEastAsia" w:cstheme="majorBidi"/>
      <w:color w:val="272727" w:themeColor="text1" w:themeTint="D8"/>
    </w:rPr>
  </w:style>
  <w:style w:type="paragraph" w:styleId="Title">
    <w:name w:val="Title"/>
    <w:basedOn w:val="Normal"/>
    <w:next w:val="Normal"/>
    <w:link w:val="TitleChar"/>
    <w:uiPriority w:val="10"/>
    <w:qFormat/>
    <w:rsid w:val="00D00EB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0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E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0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EB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00EB0"/>
    <w:rPr>
      <w:i/>
      <w:iCs/>
      <w:color w:val="404040" w:themeColor="text1" w:themeTint="BF"/>
    </w:rPr>
  </w:style>
  <w:style w:type="paragraph" w:styleId="ListParagraph">
    <w:name w:val="List Paragraph"/>
    <w:basedOn w:val="Normal"/>
    <w:uiPriority w:val="34"/>
    <w:qFormat/>
    <w:rsid w:val="00D00EB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00EB0"/>
    <w:rPr>
      <w:i/>
      <w:iCs/>
      <w:color w:val="0F4761" w:themeColor="accent1" w:themeShade="BF"/>
    </w:rPr>
  </w:style>
  <w:style w:type="paragraph" w:styleId="IntenseQuote">
    <w:name w:val="Intense Quote"/>
    <w:basedOn w:val="Normal"/>
    <w:next w:val="Normal"/>
    <w:link w:val="IntenseQuoteChar"/>
    <w:uiPriority w:val="30"/>
    <w:qFormat/>
    <w:rsid w:val="00D00E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00EB0"/>
    <w:rPr>
      <w:i/>
      <w:iCs/>
      <w:color w:val="0F4761" w:themeColor="accent1" w:themeShade="BF"/>
    </w:rPr>
  </w:style>
  <w:style w:type="character" w:styleId="IntenseReference">
    <w:name w:val="Intense Reference"/>
    <w:basedOn w:val="DefaultParagraphFont"/>
    <w:uiPriority w:val="32"/>
    <w:qFormat/>
    <w:rsid w:val="00D00EB0"/>
    <w:rPr>
      <w:b/>
      <w:bCs/>
      <w:smallCaps/>
      <w:color w:val="0F4761" w:themeColor="accent1" w:themeShade="BF"/>
      <w:spacing w:val="5"/>
    </w:rPr>
  </w:style>
  <w:style w:type="paragraph" w:customStyle="1" w:styleId="p1">
    <w:name w:val="p1"/>
    <w:basedOn w:val="Normal"/>
    <w:rsid w:val="00D00EB0"/>
    <w:rPr>
      <w:rFonts w:ascii="Helvetica" w:hAnsi="Helvetica"/>
      <w:color w:val="000000"/>
      <w:sz w:val="26"/>
      <w:szCs w:val="26"/>
      <w:lang w:val="de-DE"/>
    </w:rPr>
  </w:style>
  <w:style w:type="table" w:styleId="TableGrid">
    <w:name w:val="Table Grid"/>
    <w:basedOn w:val="TableNormal"/>
    <w:uiPriority w:val="39"/>
    <w:rsid w:val="00D0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2D99"/>
    <w:pPr>
      <w:spacing w:before="100" w:beforeAutospacing="1" w:after="100" w:afterAutospacing="1"/>
    </w:pPr>
    <w:rPr>
      <w:rFonts w:eastAsiaTheme="minorHAnsi"/>
      <w:lang w:val="de-DE" w:eastAsia="de-DE"/>
    </w:rPr>
  </w:style>
  <w:style w:type="character" w:customStyle="1" w:styleId="mord">
    <w:name w:val="mord"/>
    <w:basedOn w:val="DefaultParagraphFont"/>
    <w:rsid w:val="00585ADD"/>
  </w:style>
  <w:style w:type="character" w:customStyle="1" w:styleId="mrel">
    <w:name w:val="mrel"/>
    <w:basedOn w:val="DefaultParagraphFont"/>
    <w:rsid w:val="00585ADD"/>
  </w:style>
  <w:style w:type="paragraph" w:styleId="Bibliography">
    <w:name w:val="Bibliography"/>
    <w:basedOn w:val="Normal"/>
    <w:next w:val="Normal"/>
    <w:uiPriority w:val="37"/>
    <w:unhideWhenUsed/>
    <w:rsid w:val="00E7053D"/>
    <w:pPr>
      <w:tabs>
        <w:tab w:val="left" w:pos="264"/>
      </w:tabs>
      <w:spacing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3640</Words>
  <Characters>20748</Characters>
  <Application>Microsoft Office Word</Application>
  <DocSecurity>0</DocSecurity>
  <Lines>172</Lines>
  <Paragraphs>48</Paragraphs>
  <ScaleCrop>false</ScaleCrop>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Christian</dc:creator>
  <cp:keywords/>
  <dc:description/>
  <cp:lastModifiedBy>Patricia Christian</cp:lastModifiedBy>
  <cp:revision>12</cp:revision>
  <dcterms:created xsi:type="dcterms:W3CDTF">2026-05-19T11:39:00Z</dcterms:created>
  <dcterms:modified xsi:type="dcterms:W3CDTF">2026-05-20T13:06:00Z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id="566Hxruz"/&gt;&lt;style id="http://www.zotero.org/styles/nature" hasBibliography="1" bibliographyStyleHasBeenSet="1"/&gt;&lt;prefs&gt;&lt;pref name="fieldType" value="Field"/&gt;&lt;/prefs&gt;&lt;/data&gt;</vt:lpwstr>
  </property>
</Properties>
</file>