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B367C" w14:textId="77777777" w:rsidR="003E36B0" w:rsidRPr="00B26F27" w:rsidRDefault="003E36B0" w:rsidP="003E36B0">
      <w:pPr>
        <w:pBdr>
          <w:top w:val="nil"/>
          <w:left w:val="nil"/>
          <w:bottom w:val="nil"/>
          <w:right w:val="nil"/>
          <w:between w:val="nil"/>
        </w:pBdr>
        <w:tabs>
          <w:tab w:val="left" w:pos="504"/>
        </w:tabs>
        <w:spacing w:after="240" w:line="480" w:lineRule="auto"/>
        <w:jc w:val="left"/>
        <w:rPr>
          <w:b/>
          <w:bCs/>
          <w:sz w:val="24"/>
        </w:rPr>
      </w:pPr>
      <w:r w:rsidRPr="00B26F27">
        <w:rPr>
          <w:b/>
          <w:bCs/>
          <w:sz w:val="24"/>
        </w:rPr>
        <w:t>SUPPLEMENTAL TEXT</w:t>
      </w:r>
    </w:p>
    <w:p w14:paraId="37B1FD1A" w14:textId="77777777" w:rsidR="003E36B0" w:rsidRPr="00B26F27" w:rsidRDefault="003E36B0" w:rsidP="003E36B0">
      <w:pPr>
        <w:pStyle w:val="MStitle"/>
        <w:spacing w:before="0" w:line="480" w:lineRule="auto"/>
        <w:jc w:val="left"/>
        <w:rPr>
          <w:sz w:val="24"/>
        </w:rPr>
      </w:pPr>
    </w:p>
    <w:p w14:paraId="75C8BD9E" w14:textId="77777777" w:rsidR="000F3A96" w:rsidRPr="00B26F27" w:rsidRDefault="000F3A96" w:rsidP="003E36B0">
      <w:pPr>
        <w:pStyle w:val="Authors"/>
        <w:spacing w:before="0" w:line="480" w:lineRule="auto"/>
        <w:jc w:val="left"/>
        <w:rPr>
          <w:b/>
        </w:rPr>
      </w:pPr>
      <w:r w:rsidRPr="00B26F27">
        <w:rPr>
          <w:b/>
        </w:rPr>
        <w:t>Phytoplankton dominate marine organic matter for the past half-billion years</w:t>
      </w:r>
    </w:p>
    <w:p w14:paraId="736108C4" w14:textId="5639784B" w:rsidR="003E36B0" w:rsidRPr="00B26F27" w:rsidRDefault="003E36B0" w:rsidP="003E36B0">
      <w:pPr>
        <w:pStyle w:val="Authors"/>
        <w:spacing w:before="0" w:line="480" w:lineRule="auto"/>
        <w:jc w:val="left"/>
        <w:rPr>
          <w:vertAlign w:val="superscript"/>
        </w:rPr>
      </w:pPr>
      <w:r w:rsidRPr="00B26F27">
        <w:t>Caitlyn R. Witkowski, Jingyi Wei, Matthew J. Roche, B. David A. Naafs, and Rich D. Pancost</w:t>
      </w:r>
    </w:p>
    <w:p w14:paraId="75E66597" w14:textId="77777777" w:rsidR="003E36B0" w:rsidRPr="00B26F27" w:rsidRDefault="003E36B0" w:rsidP="003E36B0">
      <w:pPr>
        <w:pBdr>
          <w:top w:val="nil"/>
          <w:left w:val="nil"/>
          <w:bottom w:val="nil"/>
          <w:right w:val="nil"/>
          <w:between w:val="nil"/>
        </w:pBdr>
        <w:tabs>
          <w:tab w:val="left" w:pos="504"/>
        </w:tabs>
        <w:spacing w:after="240" w:line="480" w:lineRule="auto"/>
        <w:jc w:val="left"/>
        <w:rPr>
          <w:b/>
          <w:bCs/>
          <w:sz w:val="24"/>
        </w:rPr>
      </w:pPr>
    </w:p>
    <w:p w14:paraId="463B9F11" w14:textId="2CFCB632" w:rsidR="003E36B0" w:rsidRPr="00B26F27" w:rsidRDefault="003E36B0" w:rsidP="003E36B0">
      <w:pPr>
        <w:pBdr>
          <w:top w:val="nil"/>
          <w:left w:val="nil"/>
          <w:bottom w:val="nil"/>
          <w:right w:val="nil"/>
          <w:between w:val="nil"/>
        </w:pBdr>
        <w:tabs>
          <w:tab w:val="left" w:pos="504"/>
        </w:tabs>
        <w:spacing w:after="240" w:line="480" w:lineRule="auto"/>
        <w:jc w:val="left"/>
        <w:rPr>
          <w:b/>
          <w:bCs/>
          <w:sz w:val="24"/>
        </w:rPr>
      </w:pPr>
      <w:r w:rsidRPr="00B26F27">
        <w:rPr>
          <w:b/>
          <w:bCs/>
          <w:sz w:val="24"/>
        </w:rPr>
        <w:t>Theoretical sources of phytane and pristane</w:t>
      </w:r>
    </w:p>
    <w:p w14:paraId="7852281D" w14:textId="77777777" w:rsidR="003E36B0" w:rsidRPr="00B26F27" w:rsidRDefault="003E36B0" w:rsidP="003E36B0">
      <w:pPr>
        <w:pBdr>
          <w:top w:val="nil"/>
          <w:left w:val="nil"/>
          <w:bottom w:val="nil"/>
          <w:right w:val="nil"/>
          <w:between w:val="nil"/>
        </w:pBdr>
        <w:tabs>
          <w:tab w:val="left" w:pos="504"/>
        </w:tabs>
        <w:spacing w:after="240" w:line="480" w:lineRule="auto"/>
        <w:jc w:val="left"/>
        <w:rPr>
          <w:sz w:val="24"/>
        </w:rPr>
      </w:pPr>
      <w:r w:rsidRPr="00B26F27">
        <w:rPr>
          <w:sz w:val="24"/>
        </w:rPr>
        <w:tab/>
        <w:t xml:space="preserve">For pristane, most literature also supports the provenance from chlorophyll, where pristane is liberated under oxidising conditions via decarboxylation and reduction of phytol (Volkman and Maxwell, 1986; ten Haven et al., 1987; Didyk et al., 1978). Proposed sources of pristane include: (iv) catagenesis of the kerogen-bound/chlorophyll </w:t>
      </w:r>
      <w:proofErr w:type="spellStart"/>
      <w:r w:rsidRPr="00B26F27">
        <w:rPr>
          <w:sz w:val="24"/>
        </w:rPr>
        <w:t>phytyl</w:t>
      </w:r>
      <w:proofErr w:type="spellEnd"/>
      <w:r w:rsidRPr="00B26F27">
        <w:rPr>
          <w:sz w:val="24"/>
        </w:rPr>
        <w:t xml:space="preserve"> chain (</w:t>
      </w:r>
      <w:proofErr w:type="spellStart"/>
      <w:r w:rsidRPr="00B26F27">
        <w:rPr>
          <w:sz w:val="24"/>
        </w:rPr>
        <w:t>Ishiwatari</w:t>
      </w:r>
      <w:proofErr w:type="spellEnd"/>
      <w:r w:rsidRPr="00B26F27">
        <w:rPr>
          <w:sz w:val="24"/>
        </w:rPr>
        <w:t xml:space="preserve"> et al., 1991; </w:t>
      </w:r>
      <w:proofErr w:type="spellStart"/>
      <w:r w:rsidRPr="00B26F27">
        <w:rPr>
          <w:sz w:val="24"/>
        </w:rPr>
        <w:t>Rontani</w:t>
      </w:r>
      <w:proofErr w:type="spellEnd"/>
      <w:r w:rsidRPr="00B26F27">
        <w:rPr>
          <w:sz w:val="24"/>
        </w:rPr>
        <w:t xml:space="preserve"> and Volkman, 2003), </w:t>
      </w:r>
      <w:proofErr w:type="spellStart"/>
      <w:r w:rsidRPr="00B26F27">
        <w:rPr>
          <w:sz w:val="24"/>
        </w:rPr>
        <w:t>dihydrophytol</w:t>
      </w:r>
      <w:proofErr w:type="spellEnd"/>
      <w:r w:rsidRPr="00B26F27">
        <w:rPr>
          <w:sz w:val="24"/>
        </w:rPr>
        <w:t xml:space="preserve"> (</w:t>
      </w:r>
      <w:proofErr w:type="spellStart"/>
      <w:r w:rsidRPr="00B26F27">
        <w:rPr>
          <w:sz w:val="24"/>
        </w:rPr>
        <w:t>Ishiwatari</w:t>
      </w:r>
      <w:proofErr w:type="spellEnd"/>
      <w:r w:rsidRPr="00B26F27">
        <w:rPr>
          <w:sz w:val="24"/>
        </w:rPr>
        <w:t xml:space="preserve"> and </w:t>
      </w:r>
      <w:proofErr w:type="spellStart"/>
      <w:r w:rsidRPr="00B26F27">
        <w:rPr>
          <w:sz w:val="24"/>
        </w:rPr>
        <w:t>Ishiwatari</w:t>
      </w:r>
      <w:proofErr w:type="spellEnd"/>
      <w:r w:rsidRPr="00B26F27">
        <w:rPr>
          <w:sz w:val="24"/>
        </w:rPr>
        <w:t xml:space="preserve">, 2004),  tocopherols of land plants (Goossens et al., 1984; </w:t>
      </w:r>
      <w:proofErr w:type="spellStart"/>
      <w:r w:rsidRPr="00B26F27">
        <w:rPr>
          <w:sz w:val="24"/>
        </w:rPr>
        <w:t>Rontani</w:t>
      </w:r>
      <w:proofErr w:type="spellEnd"/>
      <w:r w:rsidRPr="00B26F27">
        <w:rPr>
          <w:sz w:val="24"/>
        </w:rPr>
        <w:t xml:space="preserve"> et al., 2010), tocopherol trimeric oxidation products (</w:t>
      </w:r>
      <w:proofErr w:type="spellStart"/>
      <w:r w:rsidRPr="00B26F27">
        <w:rPr>
          <w:sz w:val="24"/>
        </w:rPr>
        <w:t>Rontani</w:t>
      </w:r>
      <w:proofErr w:type="spellEnd"/>
      <w:r w:rsidRPr="00B26F27">
        <w:rPr>
          <w:sz w:val="24"/>
        </w:rPr>
        <w:t xml:space="preserve"> et al., 2010), </w:t>
      </w:r>
      <w:proofErr w:type="spellStart"/>
      <w:r w:rsidRPr="00B26F27">
        <w:rPr>
          <w:sz w:val="24"/>
        </w:rPr>
        <w:t>methyltrimethyltridecylchromans</w:t>
      </w:r>
      <w:proofErr w:type="spellEnd"/>
      <w:r w:rsidRPr="00B26F27">
        <w:rPr>
          <w:sz w:val="24"/>
        </w:rPr>
        <w:t xml:space="preserve"> (Li et al., 1995), or </w:t>
      </w:r>
      <w:proofErr w:type="spellStart"/>
      <w:r w:rsidRPr="00B26F27">
        <w:rPr>
          <w:sz w:val="24"/>
        </w:rPr>
        <w:t>diphytanylglycerol</w:t>
      </w:r>
      <w:proofErr w:type="spellEnd"/>
      <w:r w:rsidRPr="00B26F27">
        <w:rPr>
          <w:sz w:val="24"/>
        </w:rPr>
        <w:t xml:space="preserve"> diethers (Chappe et al., 1982); (i) calanoid copepods (zooplankton), that produce pristane and use it to achieve buoyancy (Blumer et al., 1963; Blumer &amp; Snyder, 1965; Avigan &amp; Blumer, 1968); (ii) anaerobic bacterial degradation of trimers (</w:t>
      </w:r>
      <w:proofErr w:type="spellStart"/>
      <w:r w:rsidRPr="00B26F27">
        <w:rPr>
          <w:sz w:val="24"/>
        </w:rPr>
        <w:t>Rontani</w:t>
      </w:r>
      <w:proofErr w:type="spellEnd"/>
      <w:r w:rsidRPr="00B26F27">
        <w:rPr>
          <w:sz w:val="24"/>
        </w:rPr>
        <w:t xml:space="preserve"> et al., 2010; </w:t>
      </w:r>
      <w:proofErr w:type="spellStart"/>
      <w:r w:rsidRPr="00B26F27">
        <w:rPr>
          <w:sz w:val="24"/>
        </w:rPr>
        <w:t>Rontani</w:t>
      </w:r>
      <w:proofErr w:type="spellEnd"/>
      <w:r w:rsidRPr="00B26F27">
        <w:rPr>
          <w:sz w:val="24"/>
        </w:rPr>
        <w:t xml:space="preserve"> and Bonin, 2011); (iii) anaerobic bacterial or clay-catalysed reduction of </w:t>
      </w:r>
      <w:proofErr w:type="spellStart"/>
      <w:r w:rsidRPr="00B26F27">
        <w:rPr>
          <w:sz w:val="24"/>
        </w:rPr>
        <w:t>pristene</w:t>
      </w:r>
      <w:proofErr w:type="spellEnd"/>
      <w:r w:rsidRPr="00B26F27">
        <w:rPr>
          <w:sz w:val="24"/>
        </w:rPr>
        <w:t xml:space="preserve"> isomers (De Leeuw, 1977; </w:t>
      </w:r>
      <w:proofErr w:type="spellStart"/>
      <w:r w:rsidRPr="00B26F27">
        <w:rPr>
          <w:sz w:val="24"/>
        </w:rPr>
        <w:t>Rontani</w:t>
      </w:r>
      <w:proofErr w:type="spellEnd"/>
      <w:r w:rsidRPr="00B26F27">
        <w:rPr>
          <w:sz w:val="24"/>
        </w:rPr>
        <w:t xml:space="preserve"> and Grossi, 1995); (v) the phytanyl core of archaeal ether lipids as precursors, derived from methanogens or </w:t>
      </w:r>
      <w:proofErr w:type="spellStart"/>
      <w:r w:rsidRPr="00B26F27">
        <w:rPr>
          <w:sz w:val="24"/>
        </w:rPr>
        <w:t>thermoacidiphilic</w:t>
      </w:r>
      <w:proofErr w:type="spellEnd"/>
      <w:r w:rsidRPr="00B26F27">
        <w:rPr>
          <w:sz w:val="24"/>
        </w:rPr>
        <w:t xml:space="preserve">/halophilic archaea (Rowland, 1990; Navale, 1994; Risatti et al., 1984); and (vi) biohydrogenation of </w:t>
      </w:r>
      <w:proofErr w:type="spellStart"/>
      <w:r w:rsidRPr="00B26F27">
        <w:rPr>
          <w:sz w:val="24"/>
        </w:rPr>
        <w:t>pristene</w:t>
      </w:r>
      <w:proofErr w:type="spellEnd"/>
      <w:r w:rsidRPr="00B26F27">
        <w:rPr>
          <w:sz w:val="24"/>
        </w:rPr>
        <w:t xml:space="preserve"> (</w:t>
      </w:r>
      <w:proofErr w:type="spellStart"/>
      <w:r w:rsidRPr="00B26F27">
        <w:rPr>
          <w:sz w:val="24"/>
        </w:rPr>
        <w:t>Rontani</w:t>
      </w:r>
      <w:proofErr w:type="spellEnd"/>
      <w:r w:rsidRPr="00B26F27">
        <w:rPr>
          <w:sz w:val="24"/>
        </w:rPr>
        <w:t xml:space="preserve"> et al., 2010). However, many of these theoretical sources are unlikely, especially the loss of a single carbon atom.</w:t>
      </w:r>
    </w:p>
    <w:p w14:paraId="02D9D1AE" w14:textId="77777777" w:rsidR="003E36B0" w:rsidRPr="00B26F27" w:rsidRDefault="003E36B0" w:rsidP="003E36B0">
      <w:pPr>
        <w:pBdr>
          <w:top w:val="nil"/>
          <w:left w:val="nil"/>
          <w:bottom w:val="nil"/>
          <w:right w:val="nil"/>
          <w:between w:val="nil"/>
        </w:pBdr>
        <w:tabs>
          <w:tab w:val="left" w:pos="504"/>
        </w:tabs>
        <w:spacing w:after="240" w:line="480" w:lineRule="auto"/>
        <w:jc w:val="left"/>
        <w:rPr>
          <w:sz w:val="24"/>
        </w:rPr>
      </w:pPr>
      <w:r w:rsidRPr="00B26F27">
        <w:rPr>
          <w:sz w:val="24"/>
        </w:rPr>
        <w:tab/>
        <w:t xml:space="preserve">For phytane, most literature supports the provenance from chlorophyll, where phytane is liberated under anoxic conditions via dehydration and reduction of phytol (Ten Haven et al., 1987; Didyk et al., 1978). Proposed sources for phytane include: (i) anaerobic degradation of phytol (Grossi et al., 1998); (ii) archaeal ether lipids derived from methanogens or </w:t>
      </w:r>
      <w:proofErr w:type="spellStart"/>
      <w:r w:rsidRPr="00B26F27">
        <w:rPr>
          <w:sz w:val="24"/>
        </w:rPr>
        <w:lastRenderedPageBreak/>
        <w:t>thermoacidiphilic</w:t>
      </w:r>
      <w:proofErr w:type="spellEnd"/>
      <w:r w:rsidRPr="00B26F27">
        <w:rPr>
          <w:sz w:val="24"/>
        </w:rPr>
        <w:t xml:space="preserve">/halophilic archaea (Risatti et al., 1984; Rowland, 1990; Tornabene et al., 1979; Allen et al., 2010; Jahnke et al., 2008; Fox et al., 2020); (iii) bacterial reduction of isomeric </w:t>
      </w:r>
      <w:proofErr w:type="spellStart"/>
      <w:r w:rsidRPr="00B26F27">
        <w:rPr>
          <w:sz w:val="24"/>
        </w:rPr>
        <w:t>phytenes</w:t>
      </w:r>
      <w:proofErr w:type="spellEnd"/>
      <w:r w:rsidRPr="00B26F27">
        <w:rPr>
          <w:sz w:val="24"/>
        </w:rPr>
        <w:t>/</w:t>
      </w:r>
      <w:proofErr w:type="spellStart"/>
      <w:r w:rsidRPr="00B26F27">
        <w:rPr>
          <w:sz w:val="24"/>
        </w:rPr>
        <w:t>phytadienes</w:t>
      </w:r>
      <w:proofErr w:type="spellEnd"/>
      <w:r w:rsidRPr="00B26F27">
        <w:rPr>
          <w:sz w:val="24"/>
        </w:rPr>
        <w:t xml:space="preserve"> (De Leeuw, 1977); (iv) biohydrogenation of </w:t>
      </w:r>
      <w:proofErr w:type="spellStart"/>
      <w:r w:rsidRPr="00B26F27">
        <w:rPr>
          <w:sz w:val="24"/>
        </w:rPr>
        <w:t>phytene</w:t>
      </w:r>
      <w:proofErr w:type="spellEnd"/>
      <w:r w:rsidRPr="00B26F27">
        <w:rPr>
          <w:sz w:val="24"/>
        </w:rPr>
        <w:t xml:space="preserve"> (</w:t>
      </w:r>
      <w:proofErr w:type="spellStart"/>
      <w:r w:rsidRPr="00B26F27">
        <w:rPr>
          <w:sz w:val="24"/>
        </w:rPr>
        <w:t>Rontani</w:t>
      </w:r>
      <w:proofErr w:type="spellEnd"/>
      <w:r w:rsidRPr="00B26F27">
        <w:rPr>
          <w:sz w:val="24"/>
        </w:rPr>
        <w:t xml:space="preserve"> et al., 2010); (v) reductive desulphurisation of phyt-2-en-1-thiol (</w:t>
      </w:r>
      <w:proofErr w:type="spellStart"/>
      <w:r w:rsidRPr="00B26F27">
        <w:rPr>
          <w:sz w:val="24"/>
        </w:rPr>
        <w:t>Hebting</w:t>
      </w:r>
      <w:proofErr w:type="spellEnd"/>
      <w:r w:rsidRPr="00B26F27">
        <w:rPr>
          <w:sz w:val="24"/>
        </w:rPr>
        <w:t xml:space="preserve"> et al., 2006); and (vi) clay-catalysed hydrogenation of isoprenoid alkenes produced during catagenesis of the kerogen-bound </w:t>
      </w:r>
      <w:proofErr w:type="spellStart"/>
      <w:r w:rsidRPr="00B26F27">
        <w:rPr>
          <w:sz w:val="24"/>
        </w:rPr>
        <w:t>phytyl</w:t>
      </w:r>
      <w:proofErr w:type="spellEnd"/>
      <w:r w:rsidRPr="00B26F27">
        <w:rPr>
          <w:sz w:val="24"/>
        </w:rPr>
        <w:t xml:space="preserve"> chain (Gelin et al., 1995), </w:t>
      </w:r>
      <w:proofErr w:type="spellStart"/>
      <w:r w:rsidRPr="00B26F27">
        <w:rPr>
          <w:sz w:val="24"/>
        </w:rPr>
        <w:t>dihydrophytol</w:t>
      </w:r>
      <w:proofErr w:type="spellEnd"/>
      <w:r w:rsidRPr="00B26F27">
        <w:rPr>
          <w:sz w:val="24"/>
        </w:rPr>
        <w:t xml:space="preserve"> (</w:t>
      </w:r>
      <w:proofErr w:type="spellStart"/>
      <w:r w:rsidRPr="00B26F27">
        <w:rPr>
          <w:sz w:val="24"/>
        </w:rPr>
        <w:t>Ishiwatari</w:t>
      </w:r>
      <w:proofErr w:type="spellEnd"/>
      <w:r w:rsidRPr="00B26F27">
        <w:rPr>
          <w:sz w:val="24"/>
        </w:rPr>
        <w:t xml:space="preserve"> and </w:t>
      </w:r>
      <w:proofErr w:type="spellStart"/>
      <w:r w:rsidRPr="00B26F27">
        <w:rPr>
          <w:sz w:val="24"/>
        </w:rPr>
        <w:t>Ishiwatari</w:t>
      </w:r>
      <w:proofErr w:type="spellEnd"/>
      <w:r w:rsidRPr="00B26F27">
        <w:rPr>
          <w:sz w:val="24"/>
        </w:rPr>
        <w:t xml:space="preserve">, 2004), and </w:t>
      </w:r>
      <w:proofErr w:type="spellStart"/>
      <w:r w:rsidRPr="00B26F27">
        <w:rPr>
          <w:sz w:val="24"/>
        </w:rPr>
        <w:t>diphytanylglycerol</w:t>
      </w:r>
      <w:proofErr w:type="spellEnd"/>
      <w:r w:rsidRPr="00B26F27">
        <w:rPr>
          <w:sz w:val="24"/>
        </w:rPr>
        <w:t xml:space="preserve"> diethers (Pease et al., 1998). However, many of the theoretical sources of phytane (iii)-(vi) are highly unlikely in thermally immature sediments, given that C-C bonds are not readily broken. </w:t>
      </w:r>
    </w:p>
    <w:p w14:paraId="794DBE79" w14:textId="77777777" w:rsidR="003E36B0" w:rsidRPr="00B26F27" w:rsidRDefault="003E36B0" w:rsidP="003E36B0">
      <w:pPr>
        <w:pBdr>
          <w:top w:val="nil"/>
          <w:left w:val="nil"/>
          <w:bottom w:val="nil"/>
          <w:right w:val="nil"/>
          <w:between w:val="nil"/>
        </w:pBdr>
        <w:tabs>
          <w:tab w:val="left" w:pos="504"/>
        </w:tabs>
        <w:spacing w:after="240" w:line="480" w:lineRule="auto"/>
        <w:jc w:val="left"/>
        <w:rPr>
          <w:b/>
          <w:bCs/>
          <w:sz w:val="24"/>
        </w:rPr>
      </w:pPr>
    </w:p>
    <w:p w14:paraId="369125FD" w14:textId="77777777" w:rsidR="003E36B0" w:rsidRPr="00B26F27" w:rsidRDefault="003E36B0" w:rsidP="003E36B0">
      <w:pPr>
        <w:pBdr>
          <w:top w:val="nil"/>
          <w:left w:val="nil"/>
          <w:bottom w:val="nil"/>
          <w:right w:val="nil"/>
          <w:between w:val="nil"/>
        </w:pBdr>
        <w:tabs>
          <w:tab w:val="left" w:pos="504"/>
        </w:tabs>
        <w:spacing w:after="240" w:line="480" w:lineRule="auto"/>
        <w:jc w:val="left"/>
        <w:rPr>
          <w:b/>
          <w:bCs/>
          <w:sz w:val="24"/>
        </w:rPr>
      </w:pPr>
      <w:r w:rsidRPr="00B26F27">
        <w:rPr>
          <w:b/>
          <w:bCs/>
          <w:sz w:val="24"/>
        </w:rPr>
        <w:t>δ</w:t>
      </w:r>
      <w:r w:rsidRPr="00B26F27">
        <w:rPr>
          <w:b/>
          <w:bCs/>
          <w:sz w:val="24"/>
          <w:vertAlign w:val="superscript"/>
        </w:rPr>
        <w:t>13</w:t>
      </w:r>
      <w:r w:rsidRPr="00B26F27">
        <w:rPr>
          <w:b/>
          <w:bCs/>
          <w:sz w:val="24"/>
        </w:rPr>
        <w:t>C compilation of pristane and phytane</w:t>
      </w:r>
    </w:p>
    <w:p w14:paraId="796B3964" w14:textId="61B90AE8" w:rsidR="003E36B0" w:rsidRPr="00B26F27" w:rsidRDefault="003E36B0" w:rsidP="003E36B0">
      <w:pPr>
        <w:pBdr>
          <w:top w:val="nil"/>
          <w:left w:val="nil"/>
          <w:bottom w:val="nil"/>
          <w:right w:val="nil"/>
          <w:between w:val="nil"/>
        </w:pBdr>
        <w:tabs>
          <w:tab w:val="left" w:pos="504"/>
        </w:tabs>
        <w:spacing w:after="240" w:line="480" w:lineRule="auto"/>
        <w:jc w:val="left"/>
        <w:rPr>
          <w:sz w:val="24"/>
        </w:rPr>
      </w:pPr>
      <w:r w:rsidRPr="00B26F27">
        <w:rPr>
          <w:sz w:val="24"/>
        </w:rPr>
        <w:tab/>
        <w:t>There is no difference between sediment versus oil samples (Fig. S2); both were included in this study. There is also no difference between sulphur-bound versus free pristane and phytane (Fig. S3); both were included in this study. Sulphur reacts rapidly with functionalised lipids such as phytol during very early diagenesis (Sinninghe Damsté et al., 1989), forming C</w:t>
      </w:r>
      <w:r w:rsidRPr="006C26B6">
        <w:rPr>
          <w:sz w:val="24"/>
          <w:vertAlign w:val="subscript"/>
        </w:rPr>
        <w:t>19</w:t>
      </w:r>
      <w:r w:rsidRPr="00B26F27">
        <w:rPr>
          <w:sz w:val="24"/>
        </w:rPr>
        <w:t xml:space="preserve"> isoprenoid thiophenes as a result of reaction with H2S-saturated seawater via a </w:t>
      </w:r>
      <w:proofErr w:type="spellStart"/>
      <w:r w:rsidRPr="00B26F27">
        <w:rPr>
          <w:sz w:val="24"/>
        </w:rPr>
        <w:t>pristene</w:t>
      </w:r>
      <w:proofErr w:type="spellEnd"/>
      <w:r w:rsidRPr="00B26F27">
        <w:rPr>
          <w:sz w:val="24"/>
        </w:rPr>
        <w:t>/</w:t>
      </w:r>
      <w:proofErr w:type="spellStart"/>
      <w:r w:rsidRPr="00B26F27">
        <w:rPr>
          <w:sz w:val="24"/>
        </w:rPr>
        <w:t>pristadiene</w:t>
      </w:r>
      <w:proofErr w:type="spellEnd"/>
      <w:r w:rsidRPr="00B26F27">
        <w:rPr>
          <w:sz w:val="24"/>
        </w:rPr>
        <w:t>/</w:t>
      </w:r>
      <w:proofErr w:type="spellStart"/>
      <w:r w:rsidRPr="00B26F27">
        <w:rPr>
          <w:sz w:val="24"/>
        </w:rPr>
        <w:t>pristatriene</w:t>
      </w:r>
      <w:proofErr w:type="spellEnd"/>
      <w:r w:rsidRPr="00B26F27">
        <w:rPr>
          <w:sz w:val="24"/>
        </w:rPr>
        <w:t xml:space="preserve"> intermediate (Fukushima et al., 1992; De Graaf et al., 1992; Rowland et al., 1993; Koopmans et al., 1999). Sulphurisation increases the preservation of organic compounds (Rosenberg et al., 2018), and its rapid reaction with phytol means that sulphur-bound samples likely formed </w:t>
      </w:r>
      <w:r w:rsidRPr="00B26F27">
        <w:rPr>
          <w:i/>
          <w:iCs/>
          <w:sz w:val="24"/>
        </w:rPr>
        <w:t>in situ</w:t>
      </w:r>
      <w:r w:rsidRPr="00B26F27">
        <w:rPr>
          <w:sz w:val="24"/>
        </w:rPr>
        <w:t>, thus more accurately reflecting the δ</w:t>
      </w:r>
      <w:r w:rsidRPr="00B26F27">
        <w:rPr>
          <w:sz w:val="24"/>
          <w:vertAlign w:val="superscript"/>
        </w:rPr>
        <w:t>13</w:t>
      </w:r>
      <w:r w:rsidRPr="00B26F27">
        <w:rPr>
          <w:sz w:val="24"/>
        </w:rPr>
        <w:t xml:space="preserve">C of the original phytol with which sulphur-bound species may selectively react (van </w:t>
      </w:r>
      <w:proofErr w:type="spellStart"/>
      <w:r w:rsidRPr="00B26F27">
        <w:rPr>
          <w:sz w:val="24"/>
        </w:rPr>
        <w:t>Bentum</w:t>
      </w:r>
      <w:proofErr w:type="spellEnd"/>
      <w:r w:rsidRPr="00B26F27">
        <w:rPr>
          <w:sz w:val="24"/>
        </w:rPr>
        <w:t xml:space="preserve"> et al., 2012; Koopmans et al., 1999; De Graaf et al., 1992). Free and sulphur-bound phytane have been suggested to have a small offset of ca. 2 per mil but a more comprehensive study over the Phanerozoic has shown that there is little difference between the two and thus both can be used for analyses (Witkowski et al., 2018), which is further support by our work here (Fig. S2).</w:t>
      </w:r>
    </w:p>
    <w:p w14:paraId="2185B368" w14:textId="68045F7D" w:rsidR="003E36B0" w:rsidRPr="00B26F27" w:rsidRDefault="003E36B0" w:rsidP="003E36B0">
      <w:pPr>
        <w:pBdr>
          <w:top w:val="nil"/>
          <w:left w:val="nil"/>
          <w:bottom w:val="nil"/>
          <w:right w:val="nil"/>
          <w:between w:val="nil"/>
        </w:pBdr>
        <w:tabs>
          <w:tab w:val="left" w:pos="504"/>
        </w:tabs>
        <w:spacing w:after="240" w:line="480" w:lineRule="auto"/>
        <w:jc w:val="left"/>
        <w:rPr>
          <w:sz w:val="24"/>
        </w:rPr>
      </w:pPr>
      <w:r w:rsidRPr="00B26F27">
        <w:rPr>
          <w:sz w:val="24"/>
        </w:rPr>
        <w:lastRenderedPageBreak/>
        <w:tab/>
        <w:t xml:space="preserve">To ensure high fidelity of marine-derived organic material, we removed studies that reported significant, e.g. from runoff into coastal marine settings, identified via: i) </w:t>
      </w:r>
      <w:r w:rsidRPr="00B26F27">
        <w:rPr>
          <w:i/>
          <w:iCs/>
          <w:sz w:val="24"/>
        </w:rPr>
        <w:t>n</w:t>
      </w:r>
      <w:r w:rsidRPr="00B26F27">
        <w:rPr>
          <w:sz w:val="24"/>
        </w:rPr>
        <w:t xml:space="preserve">-alkane distributions typical of land plants (high molecular weight and strong odd-over-even preference); ii) terrestrial biomarkers such as terpenoids; and iii) supporting evidence for the reconstructed depositional environment (e.g., sedimentology, fossils), shown in Fig. S1 and Fig. S4. </w:t>
      </w:r>
    </w:p>
    <w:p w14:paraId="3D36AFEC" w14:textId="77777777" w:rsidR="003E36B0" w:rsidRPr="00B26F27" w:rsidRDefault="003E36B0" w:rsidP="003E36B0">
      <w:pPr>
        <w:pBdr>
          <w:top w:val="nil"/>
          <w:left w:val="nil"/>
          <w:bottom w:val="nil"/>
          <w:right w:val="nil"/>
          <w:between w:val="nil"/>
        </w:pBdr>
        <w:tabs>
          <w:tab w:val="left" w:pos="504"/>
        </w:tabs>
        <w:spacing w:after="240" w:line="480" w:lineRule="auto"/>
        <w:jc w:val="left"/>
        <w:rPr>
          <w:sz w:val="24"/>
        </w:rPr>
      </w:pPr>
    </w:p>
    <w:p w14:paraId="7607C853" w14:textId="77777777" w:rsidR="003E36B0" w:rsidRPr="00B26F27" w:rsidRDefault="003E36B0" w:rsidP="003E36B0">
      <w:pPr>
        <w:pBdr>
          <w:top w:val="nil"/>
          <w:left w:val="nil"/>
          <w:bottom w:val="nil"/>
          <w:right w:val="nil"/>
          <w:between w:val="nil"/>
        </w:pBdr>
        <w:tabs>
          <w:tab w:val="left" w:pos="504"/>
        </w:tabs>
        <w:spacing w:after="240" w:line="480" w:lineRule="auto"/>
        <w:jc w:val="left"/>
        <w:rPr>
          <w:b/>
          <w:bCs/>
          <w:sz w:val="24"/>
        </w:rPr>
      </w:pPr>
      <w:r w:rsidRPr="00B26F27">
        <w:rPr>
          <w:sz w:val="24"/>
        </w:rPr>
        <w:t xml:space="preserve"> </w:t>
      </w:r>
      <w:r w:rsidRPr="00B26F27">
        <w:rPr>
          <w:b/>
          <w:bCs/>
          <w:sz w:val="24"/>
        </w:rPr>
        <w:t>Calculating ε</w:t>
      </w:r>
      <w:r w:rsidRPr="00B26F27">
        <w:rPr>
          <w:b/>
          <w:bCs/>
          <w:sz w:val="24"/>
          <w:vertAlign w:val="subscript"/>
        </w:rPr>
        <w:t>p</w:t>
      </w:r>
      <w:r w:rsidRPr="00B26F27">
        <w:rPr>
          <w:b/>
          <w:bCs/>
          <w:sz w:val="24"/>
        </w:rPr>
        <w:t xml:space="preserve"> and </w:t>
      </w:r>
      <w:r w:rsidRPr="00B26F27">
        <w:rPr>
          <w:b/>
          <w:bCs/>
          <w:i/>
          <w:iCs/>
          <w:sz w:val="24"/>
        </w:rPr>
        <w:t>p</w:t>
      </w:r>
      <w:r w:rsidRPr="00B26F27">
        <w:rPr>
          <w:b/>
          <w:bCs/>
          <w:sz w:val="24"/>
        </w:rPr>
        <w:t>CO</w:t>
      </w:r>
      <w:r w:rsidRPr="00B26F27">
        <w:rPr>
          <w:b/>
          <w:bCs/>
          <w:sz w:val="24"/>
          <w:vertAlign w:val="subscript"/>
        </w:rPr>
        <w:t>2</w:t>
      </w:r>
    </w:p>
    <w:p w14:paraId="239CFEF5" w14:textId="77777777" w:rsidR="003E36B0" w:rsidRPr="00B26F27" w:rsidRDefault="003E36B0" w:rsidP="003E36B0">
      <w:pPr>
        <w:pBdr>
          <w:top w:val="nil"/>
          <w:left w:val="nil"/>
          <w:bottom w:val="nil"/>
          <w:right w:val="nil"/>
          <w:between w:val="nil"/>
        </w:pBdr>
        <w:tabs>
          <w:tab w:val="left" w:pos="504"/>
        </w:tabs>
        <w:spacing w:after="240" w:line="480" w:lineRule="auto"/>
        <w:jc w:val="left"/>
        <w:rPr>
          <w:sz w:val="24"/>
        </w:rPr>
      </w:pPr>
      <w:r w:rsidRPr="00B26F27">
        <w:rPr>
          <w:sz w:val="24"/>
        </w:rPr>
        <w:t>We calculate the stable carbon isotopic fractionation associated with photosynthesis (ε</w:t>
      </w:r>
      <w:r w:rsidRPr="00B26F27">
        <w:rPr>
          <w:sz w:val="24"/>
          <w:vertAlign w:val="subscript"/>
        </w:rPr>
        <w:t>p</w:t>
      </w:r>
      <w:r w:rsidRPr="00B26F27">
        <w:rPr>
          <w:sz w:val="24"/>
        </w:rPr>
        <w:t>), which measures the offset between the inorganic carbon source in the water (δ</w:t>
      </w:r>
      <w:r w:rsidRPr="00B26F27">
        <w:rPr>
          <w:sz w:val="24"/>
          <w:vertAlign w:val="superscript"/>
        </w:rPr>
        <w:t>13</w:t>
      </w:r>
      <w:r w:rsidRPr="00B26F27">
        <w:rPr>
          <w:sz w:val="24"/>
        </w:rPr>
        <w:t>C of dissolved CO</w:t>
      </w:r>
      <w:r w:rsidRPr="00B26F27">
        <w:rPr>
          <w:sz w:val="24"/>
          <w:vertAlign w:val="subscript"/>
        </w:rPr>
        <w:t>2</w:t>
      </w:r>
      <w:r w:rsidRPr="00B26F27">
        <w:rPr>
          <w:sz w:val="24"/>
        </w:rPr>
        <w:t>, derived from biogenic carbonate) and the organic carbon of the once-living organism (δ</w:t>
      </w:r>
      <w:r w:rsidRPr="00B26F27">
        <w:rPr>
          <w:sz w:val="24"/>
          <w:vertAlign w:val="superscript"/>
        </w:rPr>
        <w:t>13</w:t>
      </w:r>
      <w:r w:rsidRPr="00B26F27">
        <w:rPr>
          <w:sz w:val="24"/>
        </w:rPr>
        <w:t>C of photosynthetic biomass, in this case, pristane and phytane) and is calculated using Eq. 1 (Popp et al., 1989; Freeman and Hayes, 1992):</w:t>
      </w:r>
    </w:p>
    <w:p w14:paraId="58EDB892" w14:textId="77777777" w:rsidR="003E36B0" w:rsidRPr="00B26F27" w:rsidRDefault="003E36B0" w:rsidP="003E36B0">
      <w:pPr>
        <w:pBdr>
          <w:top w:val="nil"/>
          <w:left w:val="nil"/>
          <w:bottom w:val="nil"/>
          <w:right w:val="nil"/>
          <w:between w:val="nil"/>
        </w:pBdr>
        <w:tabs>
          <w:tab w:val="left" w:pos="504"/>
        </w:tabs>
        <w:spacing w:after="240" w:line="480" w:lineRule="auto"/>
        <w:jc w:val="left"/>
        <w:rPr>
          <w:sz w:val="24"/>
        </w:rPr>
      </w:pPr>
      <w:r w:rsidRPr="00B26F27">
        <w:rPr>
          <w:sz w:val="24"/>
        </w:rPr>
        <w:t>ε</w:t>
      </w:r>
      <w:r w:rsidRPr="00B26F27">
        <w:rPr>
          <w:sz w:val="24"/>
          <w:vertAlign w:val="subscript"/>
        </w:rPr>
        <w:t>p</w:t>
      </w:r>
      <w:r w:rsidRPr="00B26F27">
        <w:rPr>
          <w:sz w:val="24"/>
        </w:rPr>
        <w:t xml:space="preserve"> = 1000 x [(</w:t>
      </w:r>
      <w:proofErr w:type="spellStart"/>
      <w:r w:rsidRPr="00B26F27">
        <w:rPr>
          <w:sz w:val="24"/>
        </w:rPr>
        <w:t>δ</w:t>
      </w:r>
      <w:r w:rsidRPr="00B26F27">
        <w:rPr>
          <w:sz w:val="24"/>
          <w:vertAlign w:val="subscript"/>
        </w:rPr>
        <w:t>d</w:t>
      </w:r>
      <w:proofErr w:type="spellEnd"/>
      <w:r w:rsidRPr="00B26F27">
        <w:rPr>
          <w:sz w:val="24"/>
        </w:rPr>
        <w:t xml:space="preserve"> + 1000) / (</w:t>
      </w:r>
      <w:proofErr w:type="spellStart"/>
      <w:r w:rsidRPr="00B26F27">
        <w:rPr>
          <w:sz w:val="24"/>
        </w:rPr>
        <w:t>δ</w:t>
      </w:r>
      <w:r w:rsidRPr="00B26F27">
        <w:rPr>
          <w:sz w:val="24"/>
          <w:vertAlign w:val="subscript"/>
        </w:rPr>
        <w:t>p</w:t>
      </w:r>
      <w:proofErr w:type="spellEnd"/>
      <w:r w:rsidRPr="00B26F27">
        <w:rPr>
          <w:sz w:val="24"/>
        </w:rPr>
        <w:t xml:space="preserve"> + 1000) – 1]</w:t>
      </w:r>
      <w:r w:rsidRPr="00B26F27">
        <w:rPr>
          <w:sz w:val="24"/>
        </w:rPr>
        <w:tab/>
      </w:r>
      <w:r w:rsidRPr="00B26F27">
        <w:rPr>
          <w:sz w:val="24"/>
        </w:rPr>
        <w:tab/>
      </w:r>
      <w:r w:rsidRPr="00B26F27">
        <w:rPr>
          <w:sz w:val="24"/>
        </w:rPr>
        <w:tab/>
      </w:r>
      <w:r w:rsidRPr="00B26F27">
        <w:rPr>
          <w:sz w:val="24"/>
        </w:rPr>
        <w:tab/>
      </w:r>
      <w:r w:rsidRPr="00B26F27">
        <w:rPr>
          <w:sz w:val="24"/>
        </w:rPr>
        <w:tab/>
      </w:r>
      <w:r w:rsidRPr="00B26F27">
        <w:rPr>
          <w:sz w:val="24"/>
        </w:rPr>
        <w:tab/>
        <w:t>(1)</w:t>
      </w:r>
    </w:p>
    <w:p w14:paraId="1B154517" w14:textId="4F4CD1C5" w:rsidR="003E36B0" w:rsidRPr="00B26F27" w:rsidRDefault="003E36B0" w:rsidP="00D44E23">
      <w:pPr>
        <w:pBdr>
          <w:top w:val="nil"/>
          <w:left w:val="nil"/>
          <w:bottom w:val="nil"/>
          <w:right w:val="nil"/>
          <w:between w:val="nil"/>
        </w:pBdr>
        <w:tabs>
          <w:tab w:val="left" w:pos="504"/>
        </w:tabs>
        <w:spacing w:after="240" w:line="480" w:lineRule="auto"/>
        <w:jc w:val="left"/>
        <w:rPr>
          <w:sz w:val="24"/>
        </w:rPr>
      </w:pPr>
      <w:r w:rsidRPr="00B26F27">
        <w:rPr>
          <w:sz w:val="24"/>
        </w:rPr>
        <w:t xml:space="preserve">where </w:t>
      </w:r>
      <w:proofErr w:type="spellStart"/>
      <w:r w:rsidRPr="00B26F27">
        <w:rPr>
          <w:sz w:val="24"/>
        </w:rPr>
        <w:t>δ</w:t>
      </w:r>
      <w:r w:rsidRPr="00B26F27">
        <w:rPr>
          <w:sz w:val="24"/>
          <w:vertAlign w:val="subscript"/>
        </w:rPr>
        <w:t>p</w:t>
      </w:r>
      <w:proofErr w:type="spellEnd"/>
      <w:r w:rsidRPr="00B26F27">
        <w:rPr>
          <w:sz w:val="24"/>
        </w:rPr>
        <w:t xml:space="preserve"> is derived from the δ</w:t>
      </w:r>
      <w:r w:rsidRPr="00B26F27">
        <w:rPr>
          <w:sz w:val="24"/>
          <w:vertAlign w:val="superscript"/>
        </w:rPr>
        <w:t>13</w:t>
      </w:r>
      <w:r w:rsidRPr="00B26F27">
        <w:rPr>
          <w:sz w:val="24"/>
        </w:rPr>
        <w:t xml:space="preserve">C of pristane and phytane, corrected for its isotopic offset from biomass (3.5 ‰, Witkowski et al., 2018). </w:t>
      </w:r>
      <w:proofErr w:type="spellStart"/>
      <w:r w:rsidRPr="00B26F27">
        <w:rPr>
          <w:sz w:val="24"/>
        </w:rPr>
        <w:t>δ</w:t>
      </w:r>
      <w:r w:rsidRPr="00B26F27">
        <w:rPr>
          <w:sz w:val="24"/>
          <w:vertAlign w:val="subscript"/>
        </w:rPr>
        <w:t>d</w:t>
      </w:r>
      <w:proofErr w:type="spellEnd"/>
      <w:r w:rsidRPr="00B26F27">
        <w:rPr>
          <w:sz w:val="24"/>
        </w:rPr>
        <w:t xml:space="preserve"> is constrained using the δ</w:t>
      </w:r>
      <w:r w:rsidRPr="00B26F27">
        <w:rPr>
          <w:sz w:val="24"/>
          <w:vertAlign w:val="superscript"/>
        </w:rPr>
        <w:t>13</w:t>
      </w:r>
      <w:r w:rsidRPr="00B26F27">
        <w:rPr>
          <w:sz w:val="24"/>
        </w:rPr>
        <w:t xml:space="preserve">C of biogenic carbonate, preferably from planktonic foraminifera or bulk carbonate from the same site as pristane and phytane; where unavailable, the </w:t>
      </w:r>
      <w:proofErr w:type="spellStart"/>
      <w:r w:rsidRPr="00B26F27">
        <w:rPr>
          <w:sz w:val="24"/>
        </w:rPr>
        <w:t>δ</w:t>
      </w:r>
      <w:r w:rsidRPr="00B26F27">
        <w:rPr>
          <w:sz w:val="24"/>
          <w:vertAlign w:val="subscript"/>
        </w:rPr>
        <w:t>d</w:t>
      </w:r>
      <w:proofErr w:type="spellEnd"/>
      <w:r w:rsidRPr="00B26F27">
        <w:rPr>
          <w:sz w:val="24"/>
        </w:rPr>
        <w:t xml:space="preserve"> is obtained using the global compiled average of δ</w:t>
      </w:r>
      <w:r w:rsidRPr="00B26F27">
        <w:rPr>
          <w:sz w:val="24"/>
          <w:vertAlign w:val="superscript"/>
        </w:rPr>
        <w:t>13</w:t>
      </w:r>
      <w:r w:rsidRPr="00B26F27">
        <w:rPr>
          <w:sz w:val="24"/>
        </w:rPr>
        <w:t>C of carbonate at the time of deposition (Hayes et al., 1999). δ</w:t>
      </w:r>
      <w:r w:rsidRPr="00B26F27">
        <w:rPr>
          <w:sz w:val="24"/>
          <w:vertAlign w:val="superscript"/>
        </w:rPr>
        <w:t>13</w:t>
      </w:r>
      <w:r w:rsidRPr="00B26F27">
        <w:rPr>
          <w:sz w:val="24"/>
        </w:rPr>
        <w:t>C of carbonate is corrected for temperature-dependent carbon isotopic fractionation between dissolved CO</w:t>
      </w:r>
      <w:r w:rsidRPr="00B26F27">
        <w:rPr>
          <w:sz w:val="24"/>
          <w:vertAlign w:val="subscript"/>
        </w:rPr>
        <w:t>2</w:t>
      </w:r>
      <w:r w:rsidRPr="00B26F27">
        <w:rPr>
          <w:sz w:val="24"/>
        </w:rPr>
        <w:t xml:space="preserve"> with respect to HCO</w:t>
      </w:r>
      <w:r w:rsidRPr="00B26F27">
        <w:rPr>
          <w:sz w:val="24"/>
          <w:vertAlign w:val="subscript"/>
        </w:rPr>
        <w:t>3</w:t>
      </w:r>
      <w:r w:rsidRPr="00B26F27">
        <w:rPr>
          <w:sz w:val="24"/>
          <w:vertAlign w:val="superscript"/>
        </w:rPr>
        <w:t>-</w:t>
      </w:r>
      <w:r w:rsidRPr="00B26F27">
        <w:rPr>
          <w:sz w:val="24"/>
        </w:rPr>
        <w:t xml:space="preserve"> (Mook et al., 1974), using the sea surface temperature (SST) from the same or a nearby site. Where accurate SST values were lacking, SST was estimated from a model-based approach using the palaeolatitude and age of the site (using </w:t>
      </w:r>
      <w:hyperlink r:id="rId4" w:history="1">
        <w:r w:rsidRPr="00B26F27">
          <w:rPr>
            <w:rStyle w:val="Hyperlink"/>
            <w:rFonts w:eastAsiaTheme="majorEastAsia"/>
            <w:sz w:val="24"/>
          </w:rPr>
          <w:t>findsst.org</w:t>
        </w:r>
      </w:hyperlink>
      <w:r w:rsidRPr="00B26F27">
        <w:rPr>
          <w:sz w:val="24"/>
        </w:rPr>
        <w:t xml:space="preserve">). </w:t>
      </w:r>
      <w:r w:rsidRPr="00B26F27">
        <w:rPr>
          <w:sz w:val="24"/>
        </w:rPr>
        <w:br w:type="page"/>
      </w:r>
    </w:p>
    <w:p w14:paraId="1A085002" w14:textId="49862AB3" w:rsidR="003E36B0" w:rsidRPr="00B26F27" w:rsidRDefault="007741B3" w:rsidP="003E36B0">
      <w:pPr>
        <w:pBdr>
          <w:top w:val="nil"/>
          <w:left w:val="nil"/>
          <w:bottom w:val="nil"/>
          <w:right w:val="nil"/>
          <w:between w:val="nil"/>
        </w:pBdr>
        <w:tabs>
          <w:tab w:val="left" w:pos="504"/>
        </w:tabs>
        <w:spacing w:after="240" w:line="480" w:lineRule="auto"/>
        <w:jc w:val="left"/>
        <w:rPr>
          <w:sz w:val="24"/>
        </w:rPr>
      </w:pPr>
      <w:r>
        <w:rPr>
          <w:noProof/>
          <w:sz w:val="24"/>
        </w:rPr>
        <w:lastRenderedPageBreak/>
        <w:drawing>
          <wp:inline distT="0" distB="0" distL="0" distR="0" wp14:anchorId="712729B5" wp14:editId="30BB876E">
            <wp:extent cx="6062345" cy="2967144"/>
            <wp:effectExtent l="0" t="0" r="0" b="5080"/>
            <wp:docPr id="11643363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580"/>
                    <a:stretch>
                      <a:fillRect/>
                    </a:stretch>
                  </pic:blipFill>
                  <pic:spPr bwMode="auto">
                    <a:xfrm>
                      <a:off x="0" y="0"/>
                      <a:ext cx="6087058" cy="2979239"/>
                    </a:xfrm>
                    <a:prstGeom prst="rect">
                      <a:avLst/>
                    </a:prstGeom>
                    <a:noFill/>
                    <a:ln>
                      <a:noFill/>
                    </a:ln>
                    <a:extLst>
                      <a:ext uri="{53640926-AAD7-44D8-BBD7-CCE9431645EC}">
                        <a14:shadowObscured xmlns:a14="http://schemas.microsoft.com/office/drawing/2010/main"/>
                      </a:ext>
                    </a:extLst>
                  </pic:spPr>
                </pic:pic>
              </a:graphicData>
            </a:graphic>
          </wp:inline>
        </w:drawing>
      </w:r>
    </w:p>
    <w:p w14:paraId="3395FC1A" w14:textId="70BA8B33" w:rsidR="0045329E" w:rsidRPr="00D31A0C" w:rsidRDefault="003E36B0" w:rsidP="003E36B0">
      <w:pPr>
        <w:pBdr>
          <w:top w:val="nil"/>
          <w:left w:val="nil"/>
          <w:bottom w:val="nil"/>
          <w:right w:val="nil"/>
          <w:between w:val="nil"/>
        </w:pBdr>
        <w:tabs>
          <w:tab w:val="left" w:pos="504"/>
        </w:tabs>
        <w:spacing w:after="240" w:line="480" w:lineRule="auto"/>
        <w:jc w:val="left"/>
        <w:rPr>
          <w:sz w:val="24"/>
        </w:rPr>
      </w:pPr>
      <w:r w:rsidRPr="00B26F27">
        <w:rPr>
          <w:b/>
          <w:bCs/>
          <w:color w:val="808080" w:themeColor="background1" w:themeShade="80"/>
          <w:sz w:val="24"/>
        </w:rPr>
        <w:t>Fig. S1. δ</w:t>
      </w:r>
      <w:r w:rsidRPr="00B26F27">
        <w:rPr>
          <w:b/>
          <w:bCs/>
          <w:color w:val="808080" w:themeColor="background1" w:themeShade="80"/>
          <w:sz w:val="24"/>
          <w:vertAlign w:val="superscript"/>
        </w:rPr>
        <w:t>13</w:t>
      </w:r>
      <w:r w:rsidRPr="00B26F27">
        <w:rPr>
          <w:b/>
          <w:bCs/>
          <w:color w:val="808080" w:themeColor="background1" w:themeShade="80"/>
          <w:sz w:val="24"/>
        </w:rPr>
        <w:t>C values of pristane versus phytane across the last 500 million years.</w:t>
      </w:r>
      <w:r w:rsidRPr="00B26F27">
        <w:rPr>
          <w:color w:val="808080" w:themeColor="background1" w:themeShade="80"/>
          <w:sz w:val="24"/>
        </w:rPr>
        <w:t xml:space="preserve"> δ</w:t>
      </w:r>
      <w:r w:rsidRPr="00B26F27">
        <w:rPr>
          <w:color w:val="808080" w:themeColor="background1" w:themeShade="80"/>
          <w:sz w:val="24"/>
          <w:vertAlign w:val="superscript"/>
        </w:rPr>
        <w:t>13</w:t>
      </w:r>
      <w:r w:rsidRPr="00B26F27">
        <w:rPr>
          <w:color w:val="808080" w:themeColor="background1" w:themeShade="80"/>
          <w:sz w:val="24"/>
        </w:rPr>
        <w:t xml:space="preserve">C values of pristane and phytane from the same archives, </w:t>
      </w:r>
      <w:r w:rsidRPr="00B26F27">
        <w:rPr>
          <w:b/>
          <w:bCs/>
          <w:color w:val="808080" w:themeColor="background1" w:themeShade="80"/>
          <w:sz w:val="24"/>
        </w:rPr>
        <w:t>A)</w:t>
      </w:r>
      <w:r w:rsidRPr="00B26F27">
        <w:rPr>
          <w:color w:val="808080" w:themeColor="background1" w:themeShade="80"/>
          <w:sz w:val="24"/>
        </w:rPr>
        <w:t xml:space="preserve"> All </w:t>
      </w:r>
      <w:r w:rsidR="00170561">
        <w:rPr>
          <w:color w:val="808080" w:themeColor="background1" w:themeShade="80"/>
          <w:sz w:val="24"/>
        </w:rPr>
        <w:t xml:space="preserve">literature </w:t>
      </w:r>
      <w:r w:rsidRPr="00B26F27">
        <w:rPr>
          <w:color w:val="808080" w:themeColor="background1" w:themeShade="80"/>
          <w:sz w:val="24"/>
        </w:rPr>
        <w:t xml:space="preserve">data and </w:t>
      </w:r>
      <w:r w:rsidRPr="00B26F27">
        <w:rPr>
          <w:b/>
          <w:bCs/>
          <w:color w:val="808080" w:themeColor="background1" w:themeShade="80"/>
          <w:sz w:val="24"/>
        </w:rPr>
        <w:t>B)</w:t>
      </w:r>
      <w:r w:rsidRPr="00B26F27">
        <w:rPr>
          <w:color w:val="808080" w:themeColor="background1" w:themeShade="80"/>
          <w:sz w:val="24"/>
        </w:rPr>
        <w:t xml:space="preserve"> Marine-only data</w:t>
      </w:r>
      <w:r w:rsidR="00170561">
        <w:rPr>
          <w:color w:val="808080" w:themeColor="background1" w:themeShade="80"/>
          <w:sz w:val="24"/>
        </w:rPr>
        <w:t xml:space="preserve"> that has been screened for terrestrial input</w:t>
      </w:r>
      <w:r w:rsidRPr="00B26F27">
        <w:rPr>
          <w:color w:val="808080" w:themeColor="background1" w:themeShade="80"/>
          <w:sz w:val="24"/>
        </w:rPr>
        <w:t xml:space="preserve">. The grey dash line represents the 1:1 line, dark blue line represents linear fit to the data, orange box represents expected range for marine photoautotrophs, and colour bar represents age of each marine archive in millions of years. </w:t>
      </w:r>
    </w:p>
    <w:sectPr w:rsidR="0045329E" w:rsidRPr="00D31A0C" w:rsidSect="003E36B0">
      <w:pgSz w:w="11906" w:h="16838"/>
      <w:pgMar w:top="1134" w:right="1134" w:bottom="1134" w:left="1134" w:header="709" w:footer="709" w:gutter="0"/>
      <w:lnNumType w:countBy="1" w:restart="continuou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B0"/>
    <w:rsid w:val="00027AE5"/>
    <w:rsid w:val="00031998"/>
    <w:rsid w:val="00053B37"/>
    <w:rsid w:val="000B02FB"/>
    <w:rsid w:val="000B0DAA"/>
    <w:rsid w:val="000F3A96"/>
    <w:rsid w:val="00170561"/>
    <w:rsid w:val="00183441"/>
    <w:rsid w:val="0025120F"/>
    <w:rsid w:val="002B5027"/>
    <w:rsid w:val="002C7760"/>
    <w:rsid w:val="003C5DCC"/>
    <w:rsid w:val="003E36B0"/>
    <w:rsid w:val="003F6AEC"/>
    <w:rsid w:val="0045329E"/>
    <w:rsid w:val="00607400"/>
    <w:rsid w:val="006C26B6"/>
    <w:rsid w:val="006D1BE3"/>
    <w:rsid w:val="00744FB7"/>
    <w:rsid w:val="007741B3"/>
    <w:rsid w:val="008417D4"/>
    <w:rsid w:val="008D5848"/>
    <w:rsid w:val="008D6EF4"/>
    <w:rsid w:val="009366F6"/>
    <w:rsid w:val="009B4D11"/>
    <w:rsid w:val="00B244DD"/>
    <w:rsid w:val="00B26F27"/>
    <w:rsid w:val="00B46491"/>
    <w:rsid w:val="00B966FB"/>
    <w:rsid w:val="00C95166"/>
    <w:rsid w:val="00D31A0C"/>
    <w:rsid w:val="00D371C8"/>
    <w:rsid w:val="00D44E23"/>
    <w:rsid w:val="00DC26CF"/>
    <w:rsid w:val="00DE1027"/>
    <w:rsid w:val="00E25DC2"/>
    <w:rsid w:val="00E9164A"/>
    <w:rsid w:val="00EB0368"/>
    <w:rsid w:val="00F57588"/>
    <w:rsid w:val="00F84193"/>
    <w:rsid w:val="00FA3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0340"/>
  <w15:chartTrackingRefBased/>
  <w15:docId w15:val="{C01601C9-B589-4101-8E43-C3E97C4C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6B0"/>
    <w:pPr>
      <w:spacing w:after="0" w:line="360" w:lineRule="auto"/>
      <w:jc w:val="both"/>
    </w:pPr>
    <w:rPr>
      <w:rFonts w:ascii="Times New Roman" w:eastAsia="Times New Roman" w:hAnsi="Times New Roman" w:cs="Times New Roman"/>
      <w:kern w:val="0"/>
      <w:sz w:val="20"/>
      <w:szCs w:val="24"/>
      <w:lang w:eastAsia="de-DE"/>
      <w14:ligatures w14:val="none"/>
    </w:rPr>
  </w:style>
  <w:style w:type="paragraph" w:styleId="Heading1">
    <w:name w:val="heading 1"/>
    <w:basedOn w:val="Normal"/>
    <w:next w:val="Normal"/>
    <w:link w:val="Heading1Char"/>
    <w:uiPriority w:val="9"/>
    <w:qFormat/>
    <w:rsid w:val="003E36B0"/>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E36B0"/>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E36B0"/>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E36B0"/>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3E36B0"/>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3E36B0"/>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3E36B0"/>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3E36B0"/>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3E36B0"/>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6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6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6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6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6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6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6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6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6B0"/>
    <w:rPr>
      <w:rFonts w:eastAsiaTheme="majorEastAsia" w:cstheme="majorBidi"/>
      <w:color w:val="272727" w:themeColor="text1" w:themeTint="D8"/>
    </w:rPr>
  </w:style>
  <w:style w:type="paragraph" w:styleId="Title">
    <w:name w:val="Title"/>
    <w:basedOn w:val="Normal"/>
    <w:next w:val="Normal"/>
    <w:link w:val="TitleChar"/>
    <w:uiPriority w:val="10"/>
    <w:qFormat/>
    <w:rsid w:val="003E36B0"/>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E36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6B0"/>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E36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6B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3E36B0"/>
    <w:rPr>
      <w:i/>
      <w:iCs/>
      <w:color w:val="404040" w:themeColor="text1" w:themeTint="BF"/>
    </w:rPr>
  </w:style>
  <w:style w:type="paragraph" w:styleId="ListParagraph">
    <w:name w:val="List Paragraph"/>
    <w:basedOn w:val="Normal"/>
    <w:uiPriority w:val="34"/>
    <w:qFormat/>
    <w:rsid w:val="003E36B0"/>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3E36B0"/>
    <w:rPr>
      <w:i/>
      <w:iCs/>
      <w:color w:val="0F4761" w:themeColor="accent1" w:themeShade="BF"/>
    </w:rPr>
  </w:style>
  <w:style w:type="paragraph" w:styleId="IntenseQuote">
    <w:name w:val="Intense Quote"/>
    <w:basedOn w:val="Normal"/>
    <w:next w:val="Normal"/>
    <w:link w:val="IntenseQuoteChar"/>
    <w:uiPriority w:val="30"/>
    <w:qFormat/>
    <w:rsid w:val="003E36B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3E36B0"/>
    <w:rPr>
      <w:i/>
      <w:iCs/>
      <w:color w:val="0F4761" w:themeColor="accent1" w:themeShade="BF"/>
    </w:rPr>
  </w:style>
  <w:style w:type="character" w:styleId="IntenseReference">
    <w:name w:val="Intense Reference"/>
    <w:basedOn w:val="DefaultParagraphFont"/>
    <w:uiPriority w:val="32"/>
    <w:qFormat/>
    <w:rsid w:val="003E36B0"/>
    <w:rPr>
      <w:b/>
      <w:bCs/>
      <w:smallCaps/>
      <w:color w:val="0F4761" w:themeColor="accent1" w:themeShade="BF"/>
      <w:spacing w:val="5"/>
    </w:rPr>
  </w:style>
  <w:style w:type="character" w:styleId="Hyperlink">
    <w:name w:val="Hyperlink"/>
    <w:rsid w:val="003E36B0"/>
    <w:rPr>
      <w:color w:val="0000FF"/>
      <w:u w:val="single"/>
    </w:rPr>
  </w:style>
  <w:style w:type="character" w:styleId="LineNumber">
    <w:name w:val="line number"/>
    <w:basedOn w:val="DefaultParagraphFont"/>
    <w:uiPriority w:val="99"/>
    <w:semiHidden/>
    <w:unhideWhenUsed/>
    <w:rsid w:val="003E36B0"/>
  </w:style>
  <w:style w:type="paragraph" w:customStyle="1" w:styleId="MStitle">
    <w:name w:val="MS title"/>
    <w:basedOn w:val="Normal"/>
    <w:link w:val="MStitleChar"/>
    <w:qFormat/>
    <w:rsid w:val="003E36B0"/>
    <w:pPr>
      <w:spacing w:before="360" w:line="440" w:lineRule="exact"/>
      <w:contextualSpacing/>
    </w:pPr>
    <w:rPr>
      <w:b/>
      <w:sz w:val="34"/>
    </w:rPr>
  </w:style>
  <w:style w:type="character" w:customStyle="1" w:styleId="MStitleChar">
    <w:name w:val="MS title Char"/>
    <w:basedOn w:val="DefaultParagraphFont"/>
    <w:link w:val="MStitle"/>
    <w:rsid w:val="003E36B0"/>
    <w:rPr>
      <w:rFonts w:ascii="Times New Roman" w:eastAsia="Times New Roman" w:hAnsi="Times New Roman" w:cs="Times New Roman"/>
      <w:b/>
      <w:kern w:val="0"/>
      <w:sz w:val="34"/>
      <w:szCs w:val="24"/>
      <w:lang w:eastAsia="de-DE"/>
      <w14:ligatures w14:val="none"/>
    </w:rPr>
  </w:style>
  <w:style w:type="paragraph" w:customStyle="1" w:styleId="Authors">
    <w:name w:val="Authors"/>
    <w:basedOn w:val="Normal"/>
    <w:link w:val="AuthorsChar"/>
    <w:qFormat/>
    <w:rsid w:val="003E36B0"/>
    <w:pPr>
      <w:spacing w:before="180" w:line="240" w:lineRule="auto"/>
      <w:contextualSpacing/>
    </w:pPr>
    <w:rPr>
      <w:sz w:val="24"/>
    </w:rPr>
  </w:style>
  <w:style w:type="character" w:customStyle="1" w:styleId="AuthorsChar">
    <w:name w:val="Authors Char"/>
    <w:basedOn w:val="DefaultParagraphFont"/>
    <w:link w:val="Authors"/>
    <w:rsid w:val="003E36B0"/>
    <w:rPr>
      <w:rFonts w:ascii="Times New Roman" w:eastAsia="Times New Roman" w:hAnsi="Times New Roman" w:cs="Times New Roman"/>
      <w:kern w:val="0"/>
      <w:sz w:val="24"/>
      <w:szCs w:val="24"/>
      <w:lang w:eastAsia="de-DE"/>
      <w14:ligatures w14:val="none"/>
    </w:rPr>
  </w:style>
  <w:style w:type="character" w:styleId="CommentReference">
    <w:name w:val="annotation reference"/>
    <w:basedOn w:val="DefaultParagraphFont"/>
    <w:uiPriority w:val="99"/>
    <w:semiHidden/>
    <w:unhideWhenUsed/>
    <w:rsid w:val="002B5027"/>
    <w:rPr>
      <w:sz w:val="16"/>
      <w:szCs w:val="16"/>
    </w:rPr>
  </w:style>
  <w:style w:type="paragraph" w:styleId="CommentText">
    <w:name w:val="annotation text"/>
    <w:basedOn w:val="Normal"/>
    <w:link w:val="CommentTextChar"/>
    <w:uiPriority w:val="99"/>
    <w:unhideWhenUsed/>
    <w:rsid w:val="002B5027"/>
    <w:pPr>
      <w:spacing w:line="240" w:lineRule="auto"/>
    </w:pPr>
    <w:rPr>
      <w:szCs w:val="20"/>
    </w:rPr>
  </w:style>
  <w:style w:type="character" w:customStyle="1" w:styleId="CommentTextChar">
    <w:name w:val="Comment Text Char"/>
    <w:basedOn w:val="DefaultParagraphFont"/>
    <w:link w:val="CommentText"/>
    <w:uiPriority w:val="99"/>
    <w:rsid w:val="002B5027"/>
    <w:rPr>
      <w:rFonts w:ascii="Times New Roman" w:eastAsia="Times New Roman" w:hAnsi="Times New Roman" w:cs="Times New Roman"/>
      <w:kern w:val="0"/>
      <w:sz w:val="20"/>
      <w:szCs w:val="20"/>
      <w:lang w:eastAsia="de-DE"/>
      <w14:ligatures w14:val="none"/>
    </w:rPr>
  </w:style>
  <w:style w:type="paragraph" w:styleId="CommentSubject">
    <w:name w:val="annotation subject"/>
    <w:basedOn w:val="CommentText"/>
    <w:next w:val="CommentText"/>
    <w:link w:val="CommentSubjectChar"/>
    <w:uiPriority w:val="99"/>
    <w:semiHidden/>
    <w:unhideWhenUsed/>
    <w:rsid w:val="002B5027"/>
    <w:rPr>
      <w:b/>
      <w:bCs/>
    </w:rPr>
  </w:style>
  <w:style w:type="character" w:customStyle="1" w:styleId="CommentSubjectChar">
    <w:name w:val="Comment Subject Char"/>
    <w:basedOn w:val="CommentTextChar"/>
    <w:link w:val="CommentSubject"/>
    <w:uiPriority w:val="99"/>
    <w:semiHidden/>
    <w:rsid w:val="002B5027"/>
    <w:rPr>
      <w:rFonts w:ascii="Times New Roman" w:eastAsia="Times New Roman" w:hAnsi="Times New Roman" w:cs="Times New Roman"/>
      <w:b/>
      <w:bCs/>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paleo.bristol.ac.uk/FindS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958</Words>
  <Characters>5463</Characters>
  <Application>Microsoft Office Word</Application>
  <DocSecurity>0</DocSecurity>
  <Lines>45</Lines>
  <Paragraphs>12</Paragraphs>
  <ScaleCrop>false</ScaleCrop>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Caitlyn Witkowski</dc:creator>
  <cp:keywords/>
  <dc:description/>
  <cp:lastModifiedBy>Caitlyn Witkowski</cp:lastModifiedBy>
  <cp:revision>25</cp:revision>
  <dcterms:created xsi:type="dcterms:W3CDTF">2026-05-06T12:47:00Z</dcterms:created>
  <dcterms:modified xsi:type="dcterms:W3CDTF">2026-06-05T12:30:00Z</dcterms:modified>
</cp:coreProperties>
</file>