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65459" w14:textId="77777777" w:rsidR="009E6000" w:rsidRPr="00AE6597" w:rsidRDefault="00000000" w:rsidP="00AE6597">
      <w:pPr>
        <w:spacing w:line="360" w:lineRule="auto"/>
        <w:rPr>
          <w:rFonts w:ascii="Times New Roman" w:hAnsi="Times New Roman" w:cs="Times New Roman"/>
          <w:b/>
          <w:bCs/>
          <w:sz w:val="24"/>
        </w:rPr>
      </w:pPr>
      <w:bookmarkStart w:id="0" w:name="OLE_LINK4"/>
      <w:r w:rsidRPr="00AE6597">
        <w:rPr>
          <w:rFonts w:ascii="Times New Roman" w:hAnsi="Times New Roman" w:cs="Times New Roman"/>
          <w:b/>
          <w:bCs/>
          <w:sz w:val="24"/>
        </w:rPr>
        <w:t>Supplemental Materials</w:t>
      </w:r>
    </w:p>
    <w:p w14:paraId="523EB704" w14:textId="72B3DAB4" w:rsidR="009E6000" w:rsidRPr="00AE6597" w:rsidRDefault="00000000" w:rsidP="00AE6597">
      <w:pPr>
        <w:spacing w:line="360" w:lineRule="auto"/>
        <w:rPr>
          <w:rFonts w:ascii="Times New Roman" w:hAnsi="Times New Roman" w:cs="Times New Roman"/>
          <w:b/>
          <w:bCs/>
          <w:sz w:val="24"/>
        </w:rPr>
      </w:pPr>
      <w:r w:rsidRPr="00AE6597">
        <w:rPr>
          <w:rFonts w:ascii="Times New Roman" w:hAnsi="Times New Roman" w:cs="Times New Roman"/>
          <w:b/>
          <w:bCs/>
          <w:sz w:val="24"/>
        </w:rPr>
        <w:t xml:space="preserve">Transcriptional Landscape of Arabidopsis </w:t>
      </w:r>
      <w:r w:rsidR="00AE6597">
        <w:rPr>
          <w:rFonts w:ascii="Times New Roman" w:hAnsi="Times New Roman" w:cs="Times New Roman"/>
          <w:b/>
          <w:bCs/>
          <w:sz w:val="24"/>
        </w:rPr>
        <w:t>Seedling</w:t>
      </w:r>
      <w:r w:rsidR="00AE6597">
        <w:rPr>
          <w:rFonts w:ascii="Times New Roman" w:hAnsi="Times New Roman" w:cs="Times New Roman" w:hint="eastAsia"/>
          <w:b/>
          <w:bCs/>
          <w:sz w:val="24"/>
        </w:rPr>
        <w:t xml:space="preserve"> </w:t>
      </w:r>
      <w:r w:rsidRPr="00AE6597">
        <w:rPr>
          <w:rFonts w:ascii="Times New Roman" w:hAnsi="Times New Roman" w:cs="Times New Roman"/>
          <w:b/>
          <w:bCs/>
          <w:sz w:val="24"/>
        </w:rPr>
        <w:t xml:space="preserve">Roots in Response to Simulated Microgravity at Single-Cell Resolution </w:t>
      </w:r>
    </w:p>
    <w:p w14:paraId="4B0008BE" w14:textId="5F57D1E3" w:rsidR="009E6000" w:rsidRPr="00AE6597" w:rsidRDefault="00000000" w:rsidP="00AE6597">
      <w:pPr>
        <w:autoSpaceDE w:val="0"/>
        <w:spacing w:line="360" w:lineRule="auto"/>
        <w:rPr>
          <w:rFonts w:ascii="Times New Roman" w:hAnsi="Times New Roman" w:cs="Times New Roman"/>
          <w:color w:val="000000" w:themeColor="text1"/>
          <w:sz w:val="24"/>
          <w14:ligatures w14:val="standardContextual"/>
        </w:rPr>
      </w:pPr>
      <w:bookmarkStart w:id="1" w:name="OLE_LINK1"/>
      <w:bookmarkEnd w:id="0"/>
      <w:r w:rsidRPr="00AE6597">
        <w:rPr>
          <w:rFonts w:ascii="Times New Roman" w:hAnsi="Times New Roman" w:cs="Times New Roman"/>
          <w:color w:val="000000" w:themeColor="text1"/>
          <w:sz w:val="24"/>
          <w14:ligatures w14:val="standardContextual"/>
        </w:rPr>
        <w:t>Lishuang Zhang</w:t>
      </w:r>
      <w:r w:rsidRPr="00AE6597">
        <w:rPr>
          <w:rFonts w:ascii="Times New Roman" w:hAnsi="Times New Roman" w:cs="Times New Roman"/>
          <w:color w:val="000000" w:themeColor="text1"/>
          <w:sz w:val="24"/>
          <w:vertAlign w:val="superscript"/>
          <w14:ligatures w14:val="standardContextual"/>
        </w:rPr>
        <w:t>1*</w:t>
      </w:r>
      <w:r w:rsidRPr="00AE6597">
        <w:rPr>
          <w:rFonts w:ascii="Times New Roman" w:hAnsi="Times New Roman" w:cs="Times New Roman"/>
          <w:color w:val="000000" w:themeColor="text1"/>
          <w:sz w:val="24"/>
          <w14:ligatures w14:val="standardContextual"/>
        </w:rPr>
        <w:t>, Ting Zhang</w:t>
      </w:r>
      <w:r w:rsidRPr="00AE6597">
        <w:rPr>
          <w:rFonts w:ascii="Times New Roman" w:hAnsi="Times New Roman" w:cs="Times New Roman"/>
          <w:color w:val="000000" w:themeColor="text1"/>
          <w:sz w:val="24"/>
          <w:vertAlign w:val="superscript"/>
          <w14:ligatures w14:val="standardContextual"/>
        </w:rPr>
        <w:t>1*</w:t>
      </w:r>
      <w:bookmarkEnd w:id="1"/>
      <w:r w:rsidRPr="00AE6597">
        <w:rPr>
          <w:rFonts w:ascii="Times New Roman" w:hAnsi="Times New Roman" w:cs="Times New Roman"/>
          <w:color w:val="000000" w:themeColor="text1"/>
          <w:sz w:val="24"/>
          <w14:ligatures w14:val="standardContextual"/>
        </w:rPr>
        <w:t xml:space="preserve">, </w:t>
      </w:r>
      <w:r w:rsidR="00920CBF" w:rsidRPr="00AE6597">
        <w:rPr>
          <w:rFonts w:ascii="Times New Roman" w:hAnsi="Times New Roman" w:cs="Times New Roman"/>
          <w:color w:val="000000" w:themeColor="text1"/>
          <w:sz w:val="24"/>
          <w14:ligatures w14:val="standardContextual"/>
        </w:rPr>
        <w:t>Wei Ma</w:t>
      </w:r>
      <w:r w:rsidRPr="00AE6597">
        <w:rPr>
          <w:rFonts w:ascii="Times New Roman" w:hAnsi="Times New Roman" w:cs="Times New Roman"/>
          <w:color w:val="000000" w:themeColor="text1"/>
          <w:sz w:val="24"/>
          <w:vertAlign w:val="superscript"/>
          <w14:ligatures w14:val="standardContextual"/>
        </w:rPr>
        <w:t>1</w:t>
      </w:r>
      <w:r w:rsidRPr="00AE6597">
        <w:rPr>
          <w:rFonts w:ascii="Times New Roman" w:hAnsi="Times New Roman" w:cs="Times New Roman"/>
          <w:color w:val="000000" w:themeColor="text1"/>
          <w:sz w:val="24"/>
          <w14:ligatures w14:val="standardContextual"/>
        </w:rPr>
        <w:t>, Jinbo Hu</w:t>
      </w:r>
      <w:r w:rsidRPr="00AE6597">
        <w:rPr>
          <w:rFonts w:ascii="Times New Roman" w:hAnsi="Times New Roman" w:cs="Times New Roman"/>
          <w:color w:val="000000" w:themeColor="text1"/>
          <w:sz w:val="24"/>
          <w:vertAlign w:val="superscript"/>
          <w14:ligatures w14:val="standardContextual"/>
        </w:rPr>
        <w:t>2</w:t>
      </w:r>
      <w:r w:rsidRPr="00AE6597">
        <w:rPr>
          <w:rFonts w:ascii="Times New Roman" w:hAnsi="Times New Roman" w:cs="Times New Roman"/>
          <w:color w:val="000000" w:themeColor="text1"/>
          <w:sz w:val="24"/>
          <w14:ligatures w14:val="standardContextual"/>
        </w:rPr>
        <w:t>, Weiming Cai</w:t>
      </w:r>
      <w:r w:rsidRPr="00AE6597">
        <w:rPr>
          <w:rFonts w:ascii="Times New Roman" w:hAnsi="Times New Roman" w:cs="Times New Roman"/>
          <w:color w:val="000000" w:themeColor="text1"/>
          <w:sz w:val="24"/>
          <w:vertAlign w:val="superscript"/>
          <w14:ligatures w14:val="standardContextual"/>
        </w:rPr>
        <w:t>2#</w:t>
      </w:r>
      <w:r w:rsidRPr="00AE6597">
        <w:rPr>
          <w:rFonts w:ascii="Times New Roman" w:hAnsi="Times New Roman" w:cs="Times New Roman"/>
          <w:color w:val="000000" w:themeColor="text1"/>
          <w:sz w:val="24"/>
          <w14:ligatures w14:val="standardContextual"/>
        </w:rPr>
        <w:t>, Peipei Xu</w:t>
      </w:r>
      <w:r w:rsidRPr="00AE6597">
        <w:rPr>
          <w:rFonts w:ascii="Times New Roman" w:hAnsi="Times New Roman" w:cs="Times New Roman"/>
          <w:color w:val="000000" w:themeColor="text1"/>
          <w:sz w:val="24"/>
          <w:vertAlign w:val="superscript"/>
          <w14:ligatures w14:val="standardContextual"/>
        </w:rPr>
        <w:t xml:space="preserve">1# </w:t>
      </w:r>
    </w:p>
    <w:p w14:paraId="5B5C3744" w14:textId="77777777" w:rsidR="009E6000" w:rsidRPr="00AE6597" w:rsidRDefault="00000000" w:rsidP="00AE6597">
      <w:pPr>
        <w:autoSpaceDE w:val="0"/>
        <w:spacing w:line="360" w:lineRule="auto"/>
        <w:rPr>
          <w:rFonts w:ascii="Times New Roman" w:hAnsi="Times New Roman" w:cs="Times New Roman"/>
          <w:iCs/>
          <w:color w:val="000000" w:themeColor="text1"/>
          <w:sz w:val="24"/>
          <w14:ligatures w14:val="standardContextual"/>
        </w:rPr>
      </w:pPr>
      <w:r w:rsidRPr="00AE6597">
        <w:rPr>
          <w:rFonts w:ascii="Times New Roman" w:hAnsi="Times New Roman" w:cs="Times New Roman"/>
          <w:iCs/>
          <w:color w:val="000000" w:themeColor="text1"/>
          <w:sz w:val="24"/>
          <w:vertAlign w:val="superscript"/>
          <w14:ligatures w14:val="standardContextual"/>
        </w:rPr>
        <w:t>1</w:t>
      </w:r>
      <w:r w:rsidRPr="00AE6597">
        <w:rPr>
          <w:rFonts w:ascii="Times New Roman" w:hAnsi="Times New Roman" w:cs="Times New Roman"/>
          <w:iCs/>
          <w:color w:val="000000" w:themeColor="text1"/>
          <w:sz w:val="24"/>
          <w14:ligatures w14:val="standardContextual"/>
        </w:rPr>
        <w:t xml:space="preserve">School of Agriculture and Biotechnology, Sun Yat-sen University, Shenzhen 518107, </w:t>
      </w:r>
      <w:bookmarkStart w:id="2" w:name="OLE_LINK2"/>
      <w:r w:rsidRPr="00AE6597">
        <w:rPr>
          <w:rFonts w:ascii="Times New Roman" w:hAnsi="Times New Roman" w:cs="Times New Roman"/>
          <w:iCs/>
          <w:color w:val="000000" w:themeColor="text1"/>
          <w:sz w:val="24"/>
          <w14:ligatures w14:val="standardContextual"/>
        </w:rPr>
        <w:t>PR</w:t>
      </w:r>
      <w:bookmarkEnd w:id="2"/>
      <w:r w:rsidRPr="00AE6597">
        <w:rPr>
          <w:rFonts w:ascii="Times New Roman" w:hAnsi="Times New Roman" w:cs="Times New Roman"/>
          <w:iCs/>
          <w:color w:val="000000" w:themeColor="text1"/>
          <w:sz w:val="24"/>
          <w14:ligatures w14:val="standardContextual"/>
        </w:rPr>
        <w:t xml:space="preserve"> China </w:t>
      </w:r>
    </w:p>
    <w:p w14:paraId="7BC10829" w14:textId="77777777" w:rsidR="009E6000" w:rsidRPr="00AE6597" w:rsidRDefault="00000000" w:rsidP="00AE6597">
      <w:pPr>
        <w:autoSpaceDE w:val="0"/>
        <w:spacing w:line="360" w:lineRule="auto"/>
        <w:rPr>
          <w:rFonts w:ascii="Times New Roman" w:hAnsi="Times New Roman" w:cs="Times New Roman"/>
          <w:iCs/>
          <w:color w:val="000000" w:themeColor="text1"/>
          <w:sz w:val="24"/>
          <w14:ligatures w14:val="standardContextual"/>
        </w:rPr>
      </w:pPr>
      <w:r w:rsidRPr="00AE6597">
        <w:rPr>
          <w:rFonts w:ascii="Times New Roman" w:hAnsi="Times New Roman" w:cs="Times New Roman"/>
          <w:iCs/>
          <w:color w:val="000000" w:themeColor="text1"/>
          <w:sz w:val="24"/>
          <w:vertAlign w:val="superscript"/>
          <w14:ligatures w14:val="standardContextual"/>
        </w:rPr>
        <w:t>2</w:t>
      </w:r>
      <w:r w:rsidRPr="00AE6597">
        <w:rPr>
          <w:rFonts w:ascii="Times New Roman" w:hAnsi="Times New Roman" w:cs="Times New Roman"/>
          <w:iCs/>
          <w:color w:val="000000" w:themeColor="text1"/>
          <w:sz w:val="24"/>
          <w14:ligatures w14:val="standardContextual"/>
        </w:rPr>
        <w:t xml:space="preserve">Laboratory of Photosynthesis and Environment, CAS Center for Excellence in Molecular Plant Sciences, Shanghai Institute of Plant Physiology and Ecology, Chinese Academy of Sciences, No. 300 Fenglin Road, Shanghai 200032, PR China </w:t>
      </w:r>
    </w:p>
    <w:p w14:paraId="376312A4" w14:textId="77777777" w:rsidR="009E6000" w:rsidRPr="00AE6597" w:rsidRDefault="00000000" w:rsidP="00AE6597">
      <w:pPr>
        <w:autoSpaceDE w:val="0"/>
        <w:spacing w:line="360" w:lineRule="auto"/>
        <w:rPr>
          <w:rFonts w:ascii="Times New Roman" w:hAnsi="Times New Roman" w:cs="Times New Roman"/>
          <w:color w:val="000000" w:themeColor="text1"/>
          <w:sz w:val="24"/>
          <w14:ligatures w14:val="standardContextual"/>
        </w:rPr>
      </w:pPr>
      <w:r w:rsidRPr="00AE6597">
        <w:rPr>
          <w:rFonts w:ascii="Times New Roman" w:hAnsi="Times New Roman" w:cs="Times New Roman"/>
          <w:color w:val="000000" w:themeColor="text1"/>
          <w:sz w:val="24"/>
          <w:vertAlign w:val="superscript"/>
          <w14:ligatures w14:val="standardContextual"/>
        </w:rPr>
        <w:t>*</w:t>
      </w:r>
      <w:r w:rsidRPr="00AE6597">
        <w:rPr>
          <w:rFonts w:ascii="Times New Roman" w:hAnsi="Times New Roman" w:cs="Times New Roman"/>
          <w:color w:val="000000" w:themeColor="text1"/>
          <w:kern w:val="0"/>
          <w:sz w:val="24"/>
          <w14:ligatures w14:val="standardContextual"/>
        </w:rPr>
        <w:t xml:space="preserve">Contributed equally to this work </w:t>
      </w:r>
    </w:p>
    <w:p w14:paraId="1649C649" w14:textId="3DABF60A" w:rsidR="009E6000" w:rsidRPr="00AE6597" w:rsidRDefault="00000000" w:rsidP="00AE6597">
      <w:pPr>
        <w:autoSpaceDE w:val="0"/>
        <w:spacing w:line="360" w:lineRule="auto"/>
        <w:rPr>
          <w:rFonts w:ascii="Times New Roman" w:hAnsi="Times New Roman" w:cs="Times New Roman"/>
          <w:color w:val="000000" w:themeColor="text1"/>
          <w:kern w:val="0"/>
          <w:sz w:val="24"/>
          <w14:ligatures w14:val="standardContextual"/>
        </w:rPr>
      </w:pPr>
      <w:r w:rsidRPr="00AE6597">
        <w:rPr>
          <w:rFonts w:ascii="Times New Roman" w:hAnsi="Times New Roman" w:cs="Times New Roman"/>
          <w:color w:val="000000" w:themeColor="text1"/>
          <w:sz w:val="24"/>
          <w:vertAlign w:val="superscript"/>
          <w14:ligatures w14:val="standardContextual"/>
        </w:rPr>
        <w:t>#</w:t>
      </w:r>
      <w:r w:rsidRPr="00AE6597">
        <w:rPr>
          <w:rFonts w:ascii="Times New Roman" w:hAnsi="Times New Roman" w:cs="Times New Roman"/>
          <w:color w:val="000000" w:themeColor="text1"/>
          <w:kern w:val="0"/>
          <w:sz w:val="24"/>
          <w14:ligatures w14:val="standardContextual"/>
        </w:rPr>
        <w:t xml:space="preserve">Corresponding authors </w:t>
      </w:r>
      <w:r w:rsidRPr="00AE6597">
        <w:rPr>
          <w:rFonts w:ascii="Times New Roman" w:hAnsi="Times New Roman" w:cs="Times New Roman"/>
          <w:color w:val="000000" w:themeColor="text1"/>
          <w:kern w:val="0"/>
          <w:sz w:val="24"/>
          <w14:ligatures w14:val="standardContextual"/>
        </w:rPr>
        <w:br w:type="page"/>
      </w:r>
    </w:p>
    <w:p w14:paraId="27489DFC" w14:textId="77777777"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noProof/>
          <w:sz w:val="24"/>
        </w:rPr>
        <w:lastRenderedPageBreak/>
        <w:drawing>
          <wp:inline distT="0" distB="0" distL="114300" distR="114300" wp14:anchorId="213F4C1C" wp14:editId="1457A205">
            <wp:extent cx="5271770" cy="6200140"/>
            <wp:effectExtent l="0" t="0" r="5080" b="635"/>
            <wp:docPr id="9" name="图片 9"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1"/>
                    <pic:cNvPicPr>
                      <a:picLocks noChangeAspect="1"/>
                    </pic:cNvPicPr>
                  </pic:nvPicPr>
                  <pic:blipFill>
                    <a:blip r:embed="rId6"/>
                    <a:stretch>
                      <a:fillRect/>
                    </a:stretch>
                  </pic:blipFill>
                  <pic:spPr>
                    <a:xfrm>
                      <a:off x="0" y="0"/>
                      <a:ext cx="5271770" cy="6200140"/>
                    </a:xfrm>
                    <a:prstGeom prst="rect">
                      <a:avLst/>
                    </a:prstGeom>
                  </pic:spPr>
                </pic:pic>
              </a:graphicData>
            </a:graphic>
          </wp:inline>
        </w:drawing>
      </w:r>
    </w:p>
    <w:p w14:paraId="27E1A09E" w14:textId="1101084E"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
          <w:bCs/>
          <w:sz w:val="24"/>
        </w:rPr>
        <w:t xml:space="preserve">Fig S1. </w:t>
      </w:r>
      <w:r w:rsidRPr="00AE6597">
        <w:rPr>
          <w:rFonts w:ascii="Times New Roman" w:hAnsi="Times New Roman" w:cs="Times New Roman"/>
          <w:sz w:val="24"/>
        </w:rPr>
        <w:t>The primary QC (quality control) on the sequenced data by Cell Ranger</w:t>
      </w:r>
    </w:p>
    <w:p w14:paraId="15DB9F99" w14:textId="77777777" w:rsidR="009E6000" w:rsidRPr="00AE6597" w:rsidRDefault="00000000" w:rsidP="00AE6597">
      <w:pPr>
        <w:widowControl/>
        <w:spacing w:line="360" w:lineRule="auto"/>
        <w:rPr>
          <w:rFonts w:ascii="Times New Roman" w:hAnsi="Times New Roman" w:cs="Times New Roman"/>
          <w:bCs/>
          <w:sz w:val="24"/>
        </w:rPr>
      </w:pPr>
      <w:r w:rsidRPr="00AE6597">
        <w:rPr>
          <w:rFonts w:ascii="Times New Roman" w:hAnsi="Times New Roman" w:cs="Times New Roman"/>
          <w:bCs/>
          <w:sz w:val="24"/>
        </w:rPr>
        <w:t xml:space="preserve">Cell Quality Assessment Violin Plot. </w:t>
      </w:r>
      <w:proofErr w:type="spellStart"/>
      <w:r w:rsidRPr="00AE6597">
        <w:rPr>
          <w:rFonts w:ascii="Times New Roman" w:hAnsi="Times New Roman" w:cs="Times New Roman"/>
          <w:bCs/>
          <w:sz w:val="24"/>
        </w:rPr>
        <w:t>nFeature</w:t>
      </w:r>
      <w:proofErr w:type="spellEnd"/>
      <w:r w:rsidRPr="00AE6597">
        <w:rPr>
          <w:rFonts w:ascii="Times New Roman" w:hAnsi="Times New Roman" w:cs="Times New Roman"/>
          <w:bCs/>
          <w:sz w:val="24"/>
        </w:rPr>
        <w:t xml:space="preserve"> RNA: Upper and lower thresholds for the number of genes detected per cell in filtered samples. </w:t>
      </w:r>
      <w:proofErr w:type="spellStart"/>
      <w:r w:rsidRPr="00AE6597">
        <w:rPr>
          <w:rFonts w:ascii="Times New Roman" w:hAnsi="Times New Roman" w:cs="Times New Roman"/>
          <w:bCs/>
          <w:sz w:val="24"/>
        </w:rPr>
        <w:t>nCount</w:t>
      </w:r>
      <w:proofErr w:type="spellEnd"/>
      <w:r w:rsidRPr="00AE6597">
        <w:rPr>
          <w:rFonts w:ascii="Times New Roman" w:hAnsi="Times New Roman" w:cs="Times New Roman"/>
          <w:bCs/>
          <w:sz w:val="24"/>
        </w:rPr>
        <w:t xml:space="preserve"> RNA: Maximum number of UMI sequences per cell in filtered samples. </w:t>
      </w:r>
      <w:proofErr w:type="spellStart"/>
      <w:r w:rsidRPr="00AE6597">
        <w:rPr>
          <w:rFonts w:ascii="Times New Roman" w:hAnsi="Times New Roman" w:cs="Times New Roman"/>
          <w:bCs/>
          <w:sz w:val="24"/>
        </w:rPr>
        <w:t>Percent.mito</w:t>
      </w:r>
      <w:proofErr w:type="spellEnd"/>
      <w:r w:rsidRPr="00AE6597">
        <w:rPr>
          <w:rFonts w:ascii="Times New Roman" w:hAnsi="Times New Roman" w:cs="Times New Roman"/>
          <w:bCs/>
          <w:sz w:val="24"/>
        </w:rPr>
        <w:t xml:space="preserve">: Maximum percentage of mitochondrial gene expression in filtered samples. </w:t>
      </w:r>
      <w:proofErr w:type="spellStart"/>
      <w:r w:rsidRPr="00AE6597">
        <w:rPr>
          <w:rFonts w:ascii="Times New Roman" w:hAnsi="Times New Roman" w:cs="Times New Roman"/>
          <w:bCs/>
          <w:sz w:val="24"/>
        </w:rPr>
        <w:t>Percent.rb</w:t>
      </w:r>
      <w:proofErr w:type="spellEnd"/>
      <w:r w:rsidRPr="00AE6597">
        <w:rPr>
          <w:rFonts w:ascii="Times New Roman" w:hAnsi="Times New Roman" w:cs="Times New Roman"/>
          <w:bCs/>
          <w:sz w:val="24"/>
        </w:rPr>
        <w:t xml:space="preserve">: Maximum percentage of ribosomal gene expression in filtered samples. Cell Quality Assessment Scatter Plot. The x-axis represents the count in each cell, while the y-axis shows the </w:t>
      </w:r>
      <w:r w:rsidRPr="00AE6597">
        <w:rPr>
          <w:rFonts w:ascii="Times New Roman" w:hAnsi="Times New Roman" w:cs="Times New Roman"/>
          <w:bCs/>
          <w:sz w:val="24"/>
        </w:rPr>
        <w:lastRenderedPageBreak/>
        <w:t>number of genes, the number of UMI sequences, and the proportion of UMI sequences from mitochondrial/ribosomal genes in that cell.</w:t>
      </w:r>
    </w:p>
    <w:p w14:paraId="05F64AAF" w14:textId="79C7675B" w:rsidR="00AE6597" w:rsidRPr="00AE6597" w:rsidRDefault="00AE6597" w:rsidP="00AE6597">
      <w:pPr>
        <w:rPr>
          <w:rFonts w:ascii="Times New Roman" w:hAnsi="Times New Roman" w:cs="Times New Roman"/>
          <w:b/>
          <w:bCs/>
          <w:sz w:val="24"/>
        </w:rPr>
      </w:pPr>
    </w:p>
    <w:p w14:paraId="13A84813" w14:textId="77777777" w:rsidR="00AE6597" w:rsidRPr="00AE6597" w:rsidRDefault="00AE6597" w:rsidP="00AE6597">
      <w:pPr>
        <w:rPr>
          <w:rFonts w:ascii="Times New Roman" w:hAnsi="Times New Roman" w:cs="Times New Roman"/>
          <w:b/>
          <w:bCs/>
          <w:sz w:val="24"/>
        </w:rPr>
      </w:pPr>
    </w:p>
    <w:p w14:paraId="254FE234" w14:textId="77777777" w:rsidR="00AE6597" w:rsidRPr="00AE6597" w:rsidRDefault="00AE6597" w:rsidP="00AE6597">
      <w:pPr>
        <w:rPr>
          <w:rFonts w:ascii="Times New Roman" w:hAnsi="Times New Roman" w:cs="Times New Roman"/>
          <w:b/>
          <w:bCs/>
          <w:sz w:val="24"/>
        </w:rPr>
      </w:pPr>
    </w:p>
    <w:p w14:paraId="3137B3EC" w14:textId="77777777"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noProof/>
          <w:sz w:val="24"/>
        </w:rPr>
        <w:drawing>
          <wp:inline distT="0" distB="0" distL="114300" distR="114300" wp14:anchorId="00EF571D" wp14:editId="78ED96F9">
            <wp:extent cx="5264785" cy="3364230"/>
            <wp:effectExtent l="0" t="0" r="2540" b="7620"/>
            <wp:docPr id="10" name="图片 10"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2"/>
                    <pic:cNvPicPr>
                      <a:picLocks noChangeAspect="1"/>
                    </pic:cNvPicPr>
                  </pic:nvPicPr>
                  <pic:blipFill>
                    <a:blip r:embed="rId7"/>
                    <a:stretch>
                      <a:fillRect/>
                    </a:stretch>
                  </pic:blipFill>
                  <pic:spPr>
                    <a:xfrm>
                      <a:off x="0" y="0"/>
                      <a:ext cx="5264785" cy="3364230"/>
                    </a:xfrm>
                    <a:prstGeom prst="rect">
                      <a:avLst/>
                    </a:prstGeom>
                  </pic:spPr>
                </pic:pic>
              </a:graphicData>
            </a:graphic>
          </wp:inline>
        </w:drawing>
      </w:r>
    </w:p>
    <w:p w14:paraId="40FE331C" w14:textId="45465CCE" w:rsidR="009E6000" w:rsidRPr="00AE6597" w:rsidRDefault="00000000" w:rsidP="00AE6597">
      <w:pPr>
        <w:widowControl/>
        <w:rPr>
          <w:rFonts w:ascii="Times New Roman" w:eastAsia="宋体" w:hAnsi="Times New Roman" w:cs="Times New Roman"/>
          <w:b/>
          <w:bCs/>
          <w:color w:val="000000"/>
          <w:kern w:val="0"/>
          <w:sz w:val="22"/>
          <w:szCs w:val="22"/>
          <w:lang w:bidi="ar"/>
        </w:rPr>
      </w:pPr>
      <w:r w:rsidRPr="00AE6597">
        <w:rPr>
          <w:rFonts w:ascii="Times New Roman" w:hAnsi="Times New Roman" w:cs="Times New Roman"/>
          <w:b/>
          <w:bCs/>
          <w:sz w:val="24"/>
        </w:rPr>
        <w:t xml:space="preserve">Fig S2. </w:t>
      </w:r>
      <w:r w:rsidRPr="00AE6597">
        <w:rPr>
          <w:rFonts w:ascii="Times New Roman" w:eastAsia="宋体" w:hAnsi="Times New Roman" w:cs="Times New Roman"/>
          <w:color w:val="000000"/>
          <w:kern w:val="0"/>
          <w:sz w:val="22"/>
          <w:szCs w:val="22"/>
          <w:lang w:bidi="ar"/>
        </w:rPr>
        <w:t>PCA analysis of cell-type clusters.</w:t>
      </w:r>
    </w:p>
    <w:p w14:paraId="383DEC05" w14:textId="21E7E36A"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Cs/>
          <w:sz w:val="24"/>
        </w:rPr>
        <w:t>Variable gene feature plot. The x-axis represents the geometric mean of gene expression levels, and the y-axis represents residual variance. Each point in the plot represents a specific gene, with red dots by default indicating the top 3000 highly variable genes in the sample, and black dots representing non-highly variable genes. Cluster correlation heatmap. The right and bottom panels display cluster names for this project. Different colored squares indicate the correlation strength between clusters. Higher values signify stronger correlation and closer proximity, reflecting greater similarity between clusters.</w:t>
      </w:r>
      <w:r w:rsidR="00AE6597">
        <w:rPr>
          <w:rFonts w:ascii="Times New Roman" w:hAnsi="Times New Roman" w:cs="Times New Roman" w:hint="eastAsia"/>
          <w:bCs/>
          <w:sz w:val="24"/>
        </w:rPr>
        <w:t xml:space="preserve"> </w:t>
      </w:r>
      <w:r w:rsidRPr="00AE6597">
        <w:rPr>
          <w:rFonts w:ascii="Times New Roman" w:hAnsi="Times New Roman" w:cs="Times New Roman"/>
          <w:b/>
          <w:bCs/>
          <w:sz w:val="24"/>
        </w:rPr>
        <w:br w:type="page"/>
      </w:r>
    </w:p>
    <w:p w14:paraId="3A945D73" w14:textId="77777777"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noProof/>
          <w:sz w:val="24"/>
        </w:rPr>
        <w:lastRenderedPageBreak/>
        <w:drawing>
          <wp:inline distT="0" distB="0" distL="114300" distR="114300" wp14:anchorId="4DC5CB70" wp14:editId="381A6C2B">
            <wp:extent cx="5265420" cy="5046345"/>
            <wp:effectExtent l="0" t="0" r="1905" b="1905"/>
            <wp:docPr id="1" name="图片 1"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3"/>
                    <pic:cNvPicPr>
                      <a:picLocks noChangeAspect="1"/>
                    </pic:cNvPicPr>
                  </pic:nvPicPr>
                  <pic:blipFill>
                    <a:blip r:embed="rId8"/>
                    <a:stretch>
                      <a:fillRect/>
                    </a:stretch>
                  </pic:blipFill>
                  <pic:spPr>
                    <a:xfrm>
                      <a:off x="0" y="0"/>
                      <a:ext cx="5265420" cy="5046345"/>
                    </a:xfrm>
                    <a:prstGeom prst="rect">
                      <a:avLst/>
                    </a:prstGeom>
                  </pic:spPr>
                </pic:pic>
              </a:graphicData>
            </a:graphic>
          </wp:inline>
        </w:drawing>
      </w:r>
    </w:p>
    <w:p w14:paraId="547BDA68" w14:textId="24A2FD40"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b/>
          <w:bCs/>
          <w:sz w:val="24"/>
        </w:rPr>
        <w:t>Fig</w:t>
      </w:r>
      <w:r w:rsidR="00AE6597" w:rsidRPr="00AE6597">
        <w:rPr>
          <w:rFonts w:ascii="Times New Roman" w:hAnsi="Times New Roman" w:cs="Times New Roman"/>
          <w:b/>
          <w:bCs/>
          <w:sz w:val="24"/>
        </w:rPr>
        <w:t xml:space="preserve"> </w:t>
      </w:r>
      <w:r w:rsidRPr="00AE6597">
        <w:rPr>
          <w:rFonts w:ascii="Times New Roman" w:hAnsi="Times New Roman" w:cs="Times New Roman"/>
          <w:b/>
          <w:bCs/>
          <w:sz w:val="24"/>
        </w:rPr>
        <w:t xml:space="preserve">S3. </w:t>
      </w:r>
      <w:r w:rsidRPr="00AE6597">
        <w:rPr>
          <w:rFonts w:ascii="Times New Roman" w:hAnsi="Times New Roman" w:cs="Times New Roman"/>
          <w:sz w:val="24"/>
        </w:rPr>
        <w:t xml:space="preserve">Go and KEGG </w:t>
      </w:r>
      <w:r w:rsidR="00AE6597" w:rsidRPr="00AE6597">
        <w:rPr>
          <w:rFonts w:ascii="Times New Roman" w:hAnsi="Times New Roman" w:cs="Times New Roman"/>
          <w:sz w:val="24"/>
        </w:rPr>
        <w:t>analyses</w:t>
      </w:r>
      <w:r w:rsidRPr="00AE6597">
        <w:rPr>
          <w:rFonts w:ascii="Times New Roman" w:hAnsi="Times New Roman" w:cs="Times New Roman"/>
          <w:sz w:val="24"/>
        </w:rPr>
        <w:t xml:space="preserve"> of differentially expressed genes in various cell types.</w:t>
      </w:r>
    </w:p>
    <w:p w14:paraId="1C3C533B" w14:textId="229997B6"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sz w:val="24"/>
        </w:rPr>
        <w:t xml:space="preserve">GO enrichment of differentially expressed genes in various cell types under natural and simulated microgravity growth conditions. KEGG pathway analyses of differentially expressed genes in various cell types under natural and simulated microgravity growth conditions. </w:t>
      </w:r>
      <w:r w:rsidR="00AE6597">
        <w:rPr>
          <w:rFonts w:ascii="Times New Roman" w:hAnsi="Times New Roman" w:cs="Times New Roman" w:hint="eastAsia"/>
          <w:sz w:val="24"/>
        </w:rPr>
        <w:t xml:space="preserve"> </w:t>
      </w:r>
      <w:r w:rsidRPr="00AE6597">
        <w:rPr>
          <w:rFonts w:ascii="Times New Roman" w:hAnsi="Times New Roman" w:cs="Times New Roman"/>
          <w:b/>
          <w:bCs/>
          <w:sz w:val="24"/>
        </w:rPr>
        <w:br w:type="page"/>
      </w:r>
    </w:p>
    <w:p w14:paraId="5151CFCE" w14:textId="77777777" w:rsidR="009E6000" w:rsidRPr="00AE6597" w:rsidRDefault="009E6000" w:rsidP="00AE6597">
      <w:pPr>
        <w:widowControl/>
        <w:spacing w:line="360" w:lineRule="auto"/>
        <w:rPr>
          <w:rFonts w:ascii="Times New Roman" w:hAnsi="Times New Roman" w:cs="Times New Roman"/>
          <w:b/>
          <w:bCs/>
          <w:sz w:val="24"/>
        </w:rPr>
      </w:pPr>
    </w:p>
    <w:p w14:paraId="4A9DF5B7" w14:textId="77777777"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
          <w:bCs/>
          <w:noProof/>
          <w:sz w:val="24"/>
        </w:rPr>
        <w:drawing>
          <wp:inline distT="0" distB="0" distL="114300" distR="114300" wp14:anchorId="68B47759" wp14:editId="6E538757">
            <wp:extent cx="5268595" cy="4906645"/>
            <wp:effectExtent l="0" t="0" r="8255" b="8255"/>
            <wp:docPr id="2" name="图片 2"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4"/>
                    <pic:cNvPicPr>
                      <a:picLocks noChangeAspect="1"/>
                    </pic:cNvPicPr>
                  </pic:nvPicPr>
                  <pic:blipFill>
                    <a:blip r:embed="rId9"/>
                    <a:stretch>
                      <a:fillRect/>
                    </a:stretch>
                  </pic:blipFill>
                  <pic:spPr>
                    <a:xfrm>
                      <a:off x="0" y="0"/>
                      <a:ext cx="5268595" cy="4906645"/>
                    </a:xfrm>
                    <a:prstGeom prst="rect">
                      <a:avLst/>
                    </a:prstGeom>
                  </pic:spPr>
                </pic:pic>
              </a:graphicData>
            </a:graphic>
          </wp:inline>
        </w:drawing>
      </w:r>
    </w:p>
    <w:p w14:paraId="28E84C31" w14:textId="31B2BA93"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b/>
          <w:bCs/>
          <w:sz w:val="24"/>
        </w:rPr>
        <w:t xml:space="preserve">Fig S4. </w:t>
      </w:r>
      <w:r w:rsidRPr="00AE6597">
        <w:rPr>
          <w:rFonts w:ascii="Times New Roman" w:hAnsi="Times New Roman" w:cs="Times New Roman"/>
          <w:sz w:val="24"/>
        </w:rPr>
        <w:t>GO enrichment analysis of LRC cells.</w:t>
      </w:r>
    </w:p>
    <w:p w14:paraId="11650D89" w14:textId="37482343"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sz w:val="24"/>
        </w:rPr>
        <w:t xml:space="preserve">The vertical axis represents GO terms, while the horizontal axis indicates the Rich factor (the ratio of the number of enriched genes (Sample number) to the number of annotated genes (Background number) within a GO term. A higher Rich factor signifies greater enrichment). The size of the dot represents the number of genes in the GO term, and the color corresponds to different </w:t>
      </w:r>
      <w:proofErr w:type="spellStart"/>
      <w:r w:rsidRPr="00AE6597">
        <w:rPr>
          <w:rFonts w:ascii="Times New Roman" w:hAnsi="Times New Roman" w:cs="Times New Roman"/>
          <w:sz w:val="24"/>
        </w:rPr>
        <w:t>Padjust</w:t>
      </w:r>
      <w:proofErr w:type="spellEnd"/>
      <w:r w:rsidRPr="00AE6597">
        <w:rPr>
          <w:rFonts w:ascii="Times New Roman" w:hAnsi="Times New Roman" w:cs="Times New Roman"/>
          <w:sz w:val="24"/>
        </w:rPr>
        <w:t xml:space="preserve"> ranges.</w:t>
      </w:r>
      <w:r w:rsidR="00AE6597">
        <w:rPr>
          <w:rFonts w:ascii="Times New Roman" w:hAnsi="Times New Roman" w:cs="Times New Roman" w:hint="eastAsia"/>
          <w:sz w:val="24"/>
        </w:rPr>
        <w:t xml:space="preserve"> </w:t>
      </w:r>
      <w:r w:rsidRPr="00AE6597">
        <w:rPr>
          <w:rFonts w:ascii="Times New Roman" w:hAnsi="Times New Roman" w:cs="Times New Roman"/>
          <w:sz w:val="24"/>
        </w:rPr>
        <w:br w:type="page"/>
      </w:r>
    </w:p>
    <w:p w14:paraId="6CC4F55E" w14:textId="77777777"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
          <w:bCs/>
          <w:noProof/>
          <w:sz w:val="24"/>
        </w:rPr>
        <w:lastRenderedPageBreak/>
        <w:drawing>
          <wp:inline distT="0" distB="0" distL="114300" distR="114300" wp14:anchorId="157C1808" wp14:editId="54B2B575">
            <wp:extent cx="5267325" cy="4862195"/>
            <wp:effectExtent l="0" t="0" r="0" b="5080"/>
            <wp:docPr id="3" name="图片 3"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5"/>
                    <pic:cNvPicPr>
                      <a:picLocks noChangeAspect="1"/>
                    </pic:cNvPicPr>
                  </pic:nvPicPr>
                  <pic:blipFill>
                    <a:blip r:embed="rId10"/>
                    <a:stretch>
                      <a:fillRect/>
                    </a:stretch>
                  </pic:blipFill>
                  <pic:spPr>
                    <a:xfrm>
                      <a:off x="0" y="0"/>
                      <a:ext cx="5267325" cy="4862195"/>
                    </a:xfrm>
                    <a:prstGeom prst="rect">
                      <a:avLst/>
                    </a:prstGeom>
                  </pic:spPr>
                </pic:pic>
              </a:graphicData>
            </a:graphic>
          </wp:inline>
        </w:drawing>
      </w:r>
    </w:p>
    <w:p w14:paraId="5B06049E" w14:textId="36FD2D0A" w:rsidR="009E6000" w:rsidRPr="00AE6597" w:rsidRDefault="00000000" w:rsidP="00AE6597">
      <w:pPr>
        <w:spacing w:line="360" w:lineRule="auto"/>
        <w:rPr>
          <w:rFonts w:ascii="Times New Roman" w:hAnsi="Times New Roman" w:cs="Times New Roman"/>
          <w:sz w:val="24"/>
        </w:rPr>
      </w:pPr>
      <w:r w:rsidRPr="00AE6597">
        <w:rPr>
          <w:rFonts w:ascii="Times New Roman" w:hAnsi="Times New Roman" w:cs="Times New Roman"/>
          <w:b/>
          <w:bCs/>
          <w:sz w:val="24"/>
        </w:rPr>
        <w:t xml:space="preserve">Fig S5. </w:t>
      </w:r>
      <w:r w:rsidRPr="00AE6597">
        <w:rPr>
          <w:rFonts w:ascii="Times New Roman" w:hAnsi="Times New Roman" w:cs="Times New Roman"/>
          <w:sz w:val="24"/>
        </w:rPr>
        <w:t xml:space="preserve">GO enrichment analysis of </w:t>
      </w:r>
      <w:r w:rsidR="00AE6597" w:rsidRPr="00AE6597">
        <w:rPr>
          <w:rFonts w:ascii="Times New Roman" w:hAnsi="Times New Roman" w:cs="Times New Roman"/>
          <w:sz w:val="24"/>
        </w:rPr>
        <w:t>non-hair</w:t>
      </w:r>
      <w:r w:rsidRPr="00AE6597">
        <w:rPr>
          <w:rFonts w:ascii="Times New Roman" w:hAnsi="Times New Roman" w:cs="Times New Roman"/>
          <w:sz w:val="24"/>
        </w:rPr>
        <w:t xml:space="preserve"> cells.</w:t>
      </w:r>
    </w:p>
    <w:p w14:paraId="10EC09C7" w14:textId="77777777"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sz w:val="24"/>
        </w:rPr>
        <w:t xml:space="preserve">The vertical axis represents GO terms, while the horizontal axis indicates the Rich factor (the ratio of the number of enriched genes (Sample number) to the number of annotated genes (Background number) within a GO term. A higher Rich factor signifies greater enrichment). The size of the dot represents the number of genes in the GO term, and the color corresponds to different </w:t>
      </w:r>
      <w:proofErr w:type="spellStart"/>
      <w:r w:rsidRPr="00AE6597">
        <w:rPr>
          <w:rFonts w:ascii="Times New Roman" w:hAnsi="Times New Roman" w:cs="Times New Roman"/>
          <w:sz w:val="24"/>
        </w:rPr>
        <w:t>Padjust</w:t>
      </w:r>
      <w:proofErr w:type="spellEnd"/>
      <w:r w:rsidRPr="00AE6597">
        <w:rPr>
          <w:rFonts w:ascii="Times New Roman" w:hAnsi="Times New Roman" w:cs="Times New Roman"/>
          <w:sz w:val="24"/>
        </w:rPr>
        <w:t xml:space="preserve"> ranges.</w:t>
      </w:r>
    </w:p>
    <w:p w14:paraId="4A3FCBBE" w14:textId="77777777" w:rsidR="009E6000" w:rsidRPr="00AE6597" w:rsidRDefault="00000000" w:rsidP="00AE6597">
      <w:pPr>
        <w:rPr>
          <w:rFonts w:ascii="Times New Roman" w:hAnsi="Times New Roman" w:cs="Times New Roman"/>
          <w:sz w:val="24"/>
        </w:rPr>
      </w:pPr>
      <w:r w:rsidRPr="00AE6597">
        <w:rPr>
          <w:rFonts w:ascii="Times New Roman" w:hAnsi="Times New Roman" w:cs="Times New Roman"/>
          <w:sz w:val="24"/>
        </w:rPr>
        <w:br w:type="page"/>
      </w:r>
    </w:p>
    <w:p w14:paraId="0C78178F" w14:textId="77777777"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noProof/>
          <w:sz w:val="24"/>
        </w:rPr>
        <w:lastRenderedPageBreak/>
        <w:drawing>
          <wp:inline distT="0" distB="0" distL="114300" distR="114300" wp14:anchorId="66E83F70" wp14:editId="76D6A824">
            <wp:extent cx="4412615" cy="8780145"/>
            <wp:effectExtent l="0" t="0" r="6985" b="1905"/>
            <wp:docPr id="4" name="图片 4"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6"/>
                    <pic:cNvPicPr>
                      <a:picLocks noChangeAspect="1"/>
                    </pic:cNvPicPr>
                  </pic:nvPicPr>
                  <pic:blipFill>
                    <a:blip r:embed="rId11"/>
                    <a:stretch>
                      <a:fillRect/>
                    </a:stretch>
                  </pic:blipFill>
                  <pic:spPr>
                    <a:xfrm>
                      <a:off x="0" y="0"/>
                      <a:ext cx="4412615" cy="8780145"/>
                    </a:xfrm>
                    <a:prstGeom prst="rect">
                      <a:avLst/>
                    </a:prstGeom>
                  </pic:spPr>
                </pic:pic>
              </a:graphicData>
            </a:graphic>
          </wp:inline>
        </w:drawing>
      </w:r>
    </w:p>
    <w:p w14:paraId="762C9320" w14:textId="553B4509" w:rsidR="009E6000" w:rsidRPr="00AE6597" w:rsidRDefault="00000000" w:rsidP="00AE6597">
      <w:pPr>
        <w:widowControl/>
        <w:spacing w:line="360" w:lineRule="auto"/>
        <w:rPr>
          <w:rFonts w:ascii="Times New Roman" w:hAnsi="Times New Roman" w:cs="Times New Roman" w:hint="eastAsia"/>
          <w:sz w:val="24"/>
        </w:rPr>
      </w:pPr>
      <w:r w:rsidRPr="00AE6597">
        <w:rPr>
          <w:rFonts w:ascii="Times New Roman" w:hAnsi="Times New Roman" w:cs="Times New Roman"/>
          <w:b/>
          <w:bCs/>
          <w:sz w:val="24"/>
        </w:rPr>
        <w:lastRenderedPageBreak/>
        <w:t xml:space="preserve">Fig S6. </w:t>
      </w:r>
      <w:r w:rsidRPr="00AE6597">
        <w:rPr>
          <w:rFonts w:ascii="Times New Roman" w:hAnsi="Times New Roman" w:cs="Times New Roman"/>
          <w:sz w:val="24"/>
        </w:rPr>
        <w:t>GO enrichment analysis of the cell-type genes of LRC, epidermis, root cap, cortex, xylem, and endodermis cells in response to Simulated microgravity.</w:t>
      </w:r>
      <w:r w:rsidR="00AE6597">
        <w:rPr>
          <w:rFonts w:ascii="Times New Roman" w:hAnsi="Times New Roman" w:cs="Times New Roman" w:hint="eastAsia"/>
          <w:sz w:val="24"/>
        </w:rPr>
        <w:t xml:space="preserve"> </w:t>
      </w:r>
    </w:p>
    <w:p w14:paraId="72490C66" w14:textId="4294DDBE"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sz w:val="24"/>
        </w:rPr>
        <w:t xml:space="preserve">Select the top 20 significantly enriched GO terms based on </w:t>
      </w:r>
      <w:proofErr w:type="spellStart"/>
      <w:r w:rsidRPr="00AE6597">
        <w:rPr>
          <w:rFonts w:ascii="Times New Roman" w:hAnsi="Times New Roman" w:cs="Times New Roman"/>
          <w:sz w:val="24"/>
        </w:rPr>
        <w:t>Padjust</w:t>
      </w:r>
      <w:proofErr w:type="spellEnd"/>
      <w:r w:rsidRPr="00AE6597">
        <w:rPr>
          <w:rFonts w:ascii="Times New Roman" w:hAnsi="Times New Roman" w:cs="Times New Roman"/>
          <w:sz w:val="24"/>
        </w:rPr>
        <w:t xml:space="preserve"> or P-value, and plot multidimensional enrichment circle diagrams according to differences and enrichment results. The diagram consists of four concentric circles from outer to inner: First circle: Enriched categories, with the outer circle showing the scale of GO ID counts. Different colors represent different categories, and the bars display GO ID numbers (e.g., GO: 0048018). Second circle: The number of genes in the background gene set for each category and the pathway P-value. The longer the bar, the higher the gene count, and the lower the enrichment P-value (indicating red color). Third circle: The proportion of annotated genes in the selected gene set for each GO term. For differential gene sets, red indicates up-regulated genes and green indicates down-regulated genes. For non-differential gene sets, red represents the total gene set count, with specific values displayed below. Fourth circle: The enrichment factor (Rich factor) for pathways under each GO term category. Pathways of the same category are grouped together, and the values are sorted from left to right by enrichment value. The central legend shows up-regulated and down-regulated genes.</w:t>
      </w:r>
      <w:r w:rsidR="00AE6597" w:rsidRPr="00AE6597">
        <w:rPr>
          <w:rFonts w:ascii="Times New Roman" w:hAnsi="Times New Roman" w:cs="Times New Roman"/>
          <w:sz w:val="24"/>
        </w:rPr>
        <w:t xml:space="preserve"> </w:t>
      </w:r>
      <w:r w:rsidRPr="00AE6597">
        <w:rPr>
          <w:rFonts w:ascii="Times New Roman" w:hAnsi="Times New Roman" w:cs="Times New Roman"/>
          <w:sz w:val="24"/>
        </w:rPr>
        <w:br w:type="page"/>
      </w:r>
    </w:p>
    <w:p w14:paraId="776D9F09" w14:textId="77777777"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
          <w:bCs/>
          <w:noProof/>
          <w:sz w:val="24"/>
        </w:rPr>
        <w:lastRenderedPageBreak/>
        <w:drawing>
          <wp:inline distT="0" distB="0" distL="114300" distR="114300" wp14:anchorId="23FD61F8" wp14:editId="4AA4285B">
            <wp:extent cx="5270500" cy="8199120"/>
            <wp:effectExtent l="0" t="0" r="6350" b="1905"/>
            <wp:docPr id="7" name="图片 7"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7"/>
                    <pic:cNvPicPr>
                      <a:picLocks noChangeAspect="1"/>
                    </pic:cNvPicPr>
                  </pic:nvPicPr>
                  <pic:blipFill>
                    <a:blip r:embed="rId12"/>
                    <a:stretch>
                      <a:fillRect/>
                    </a:stretch>
                  </pic:blipFill>
                  <pic:spPr>
                    <a:xfrm>
                      <a:off x="0" y="0"/>
                      <a:ext cx="5270500" cy="8199120"/>
                    </a:xfrm>
                    <a:prstGeom prst="rect">
                      <a:avLst/>
                    </a:prstGeom>
                  </pic:spPr>
                </pic:pic>
              </a:graphicData>
            </a:graphic>
          </wp:inline>
        </w:drawing>
      </w:r>
    </w:p>
    <w:p w14:paraId="437B1162" w14:textId="7041B24D" w:rsidR="009E6000" w:rsidRPr="00AE6597" w:rsidRDefault="00000000" w:rsidP="00AE6597">
      <w:pPr>
        <w:widowControl/>
        <w:rPr>
          <w:rFonts w:ascii="Times New Roman" w:hAnsi="Times New Roman" w:cs="Times New Roman"/>
          <w:sz w:val="24"/>
        </w:rPr>
      </w:pPr>
      <w:r w:rsidRPr="00AE6597">
        <w:rPr>
          <w:rFonts w:ascii="Times New Roman" w:hAnsi="Times New Roman" w:cs="Times New Roman"/>
          <w:b/>
          <w:bCs/>
          <w:sz w:val="24"/>
        </w:rPr>
        <w:t xml:space="preserve">Fig S7. </w:t>
      </w:r>
      <w:r w:rsidRPr="00AE6597">
        <w:rPr>
          <w:rFonts w:ascii="Times New Roman" w:hAnsi="Times New Roman" w:cs="Times New Roman"/>
          <w:sz w:val="24"/>
        </w:rPr>
        <w:t>KEGG pathways of the cell-type genes of LRC, epidermis, root cap, cortex, xylem, and endodermis cells in response to Simulated microgravity.</w:t>
      </w:r>
    </w:p>
    <w:p w14:paraId="1017E4EF" w14:textId="7D5CA36B"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sz w:val="24"/>
        </w:rPr>
        <w:lastRenderedPageBreak/>
        <w:t xml:space="preserve">Select the top 20 significantly enriched pathways based on </w:t>
      </w:r>
      <w:proofErr w:type="spellStart"/>
      <w:r w:rsidRPr="00AE6597">
        <w:rPr>
          <w:rFonts w:ascii="Times New Roman" w:hAnsi="Times New Roman" w:cs="Times New Roman"/>
          <w:sz w:val="24"/>
        </w:rPr>
        <w:t>Padjust</w:t>
      </w:r>
      <w:proofErr w:type="spellEnd"/>
      <w:r w:rsidRPr="00AE6597">
        <w:rPr>
          <w:rFonts w:ascii="Times New Roman" w:hAnsi="Times New Roman" w:cs="Times New Roman"/>
          <w:sz w:val="24"/>
        </w:rPr>
        <w:t xml:space="preserve"> values or P-values, and plot multidimensional enrichment circle diagrams according to differences and enrichment results. The diagram consists of four concentric circles from outer to inner: First circle: Enriched categories, with the outer circle showing the scale of pathway ID numbers. Different colors represent different categories, and the bars display pathway IDs (e.g., map00780). Second circle: The number of genes in the background gene set for each category and the pathway's P-value. The longer the bar, the higher the gene count, and the lower the pathway enrichment P-value, the redder the color. Third circle: A bar chart showing the proportion of annotated genes in the selected gene set within the pathway. For differential gene sets, red indicates up-regulated genes and green indicates down-regulated genes. For non-differential gene sets, red represents the total gene set count, with specific values displayed below. Fourth circle: The enrichment factor (Rich factor) for each pathway category, with pathways of the same category grouped together and sorted from left to right by enrichment value. The central legend shows up-regulated and down-regulated pathways.</w:t>
      </w:r>
      <w:r w:rsidR="00AE6597" w:rsidRPr="00AE6597">
        <w:rPr>
          <w:rFonts w:ascii="Times New Roman" w:hAnsi="Times New Roman" w:cs="Times New Roman"/>
          <w:sz w:val="24"/>
        </w:rPr>
        <w:t xml:space="preserve"> </w:t>
      </w:r>
      <w:r w:rsidRPr="00AE6597">
        <w:rPr>
          <w:rFonts w:ascii="Times New Roman" w:hAnsi="Times New Roman" w:cs="Times New Roman"/>
          <w:sz w:val="24"/>
        </w:rPr>
        <w:br w:type="page"/>
      </w:r>
    </w:p>
    <w:p w14:paraId="7FB65DD7" w14:textId="77777777"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
          <w:bCs/>
          <w:noProof/>
          <w:sz w:val="24"/>
        </w:rPr>
        <w:lastRenderedPageBreak/>
        <w:drawing>
          <wp:inline distT="0" distB="0" distL="114300" distR="114300" wp14:anchorId="16AD0CEB" wp14:editId="07D54F64">
            <wp:extent cx="5267325" cy="7659370"/>
            <wp:effectExtent l="0" t="0" r="0" b="8255"/>
            <wp:docPr id="8" name="图片 8" descr="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8"/>
                    <pic:cNvPicPr>
                      <a:picLocks noChangeAspect="1"/>
                    </pic:cNvPicPr>
                  </pic:nvPicPr>
                  <pic:blipFill>
                    <a:blip r:embed="rId13"/>
                    <a:stretch>
                      <a:fillRect/>
                    </a:stretch>
                  </pic:blipFill>
                  <pic:spPr>
                    <a:xfrm>
                      <a:off x="0" y="0"/>
                      <a:ext cx="5267325" cy="7659370"/>
                    </a:xfrm>
                    <a:prstGeom prst="rect">
                      <a:avLst/>
                    </a:prstGeom>
                  </pic:spPr>
                </pic:pic>
              </a:graphicData>
            </a:graphic>
          </wp:inline>
        </w:drawing>
      </w:r>
    </w:p>
    <w:p w14:paraId="123B0A14" w14:textId="3EDE8A73" w:rsidR="009E6000" w:rsidRPr="00AE6597" w:rsidRDefault="00000000" w:rsidP="00AE6597">
      <w:pPr>
        <w:widowControl/>
        <w:spacing w:line="360" w:lineRule="auto"/>
        <w:rPr>
          <w:rFonts w:ascii="Times New Roman" w:hAnsi="Times New Roman" w:cs="Times New Roman"/>
          <w:b/>
          <w:bCs/>
          <w:sz w:val="24"/>
        </w:rPr>
      </w:pPr>
      <w:r w:rsidRPr="00AE6597">
        <w:rPr>
          <w:rFonts w:ascii="Times New Roman" w:hAnsi="Times New Roman" w:cs="Times New Roman"/>
          <w:b/>
          <w:bCs/>
          <w:sz w:val="24"/>
        </w:rPr>
        <w:t xml:space="preserve">Fig S8. </w:t>
      </w:r>
      <w:r w:rsidRPr="00AE6597">
        <w:rPr>
          <w:rFonts w:ascii="Times New Roman" w:hAnsi="Times New Roman" w:cs="Times New Roman"/>
          <w:sz w:val="24"/>
        </w:rPr>
        <w:t>UMAP visualization of expression patterns of plant hormones in response to simulated microgravity.</w:t>
      </w:r>
    </w:p>
    <w:p w14:paraId="7DFE563D" w14:textId="77777777" w:rsidR="009E6000" w:rsidRPr="00AE6597" w:rsidRDefault="00000000" w:rsidP="00AE6597">
      <w:pPr>
        <w:widowControl/>
        <w:spacing w:line="360" w:lineRule="auto"/>
        <w:rPr>
          <w:rFonts w:ascii="Times New Roman" w:hAnsi="Times New Roman" w:cs="Times New Roman"/>
          <w:sz w:val="24"/>
        </w:rPr>
      </w:pPr>
      <w:r w:rsidRPr="00AE6597">
        <w:rPr>
          <w:rFonts w:ascii="Times New Roman" w:hAnsi="Times New Roman" w:cs="Times New Roman"/>
          <w:sz w:val="24"/>
        </w:rPr>
        <w:t>Gene set scoring results Score visualization. Each dot in the image represents a cell. The darker the color, the higher the score value.</w:t>
      </w:r>
    </w:p>
    <w:sectPr w:rsidR="009E6000" w:rsidRPr="00AE65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9D04" w14:textId="77777777" w:rsidR="007F7EBB" w:rsidRDefault="007F7EBB" w:rsidP="00920CBF">
      <w:pPr>
        <w:rPr>
          <w:rFonts w:hint="eastAsia"/>
        </w:rPr>
      </w:pPr>
      <w:r>
        <w:separator/>
      </w:r>
    </w:p>
  </w:endnote>
  <w:endnote w:type="continuationSeparator" w:id="0">
    <w:p w14:paraId="5E5A33BF" w14:textId="77777777" w:rsidR="007F7EBB" w:rsidRDefault="007F7EBB" w:rsidP="00920CB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A0F94" w14:textId="77777777" w:rsidR="007F7EBB" w:rsidRDefault="007F7EBB" w:rsidP="00920CBF">
      <w:pPr>
        <w:rPr>
          <w:rFonts w:hint="eastAsia"/>
        </w:rPr>
      </w:pPr>
      <w:r>
        <w:separator/>
      </w:r>
    </w:p>
  </w:footnote>
  <w:footnote w:type="continuationSeparator" w:id="0">
    <w:p w14:paraId="45734401" w14:textId="77777777" w:rsidR="007F7EBB" w:rsidRDefault="007F7EBB" w:rsidP="00920CB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94E"/>
    <w:rsid w:val="000A7184"/>
    <w:rsid w:val="0026184C"/>
    <w:rsid w:val="006E51D0"/>
    <w:rsid w:val="007F7EBB"/>
    <w:rsid w:val="00821475"/>
    <w:rsid w:val="00920CBF"/>
    <w:rsid w:val="009E6000"/>
    <w:rsid w:val="00AE6597"/>
    <w:rsid w:val="00CA36CF"/>
    <w:rsid w:val="00DB5126"/>
    <w:rsid w:val="00DE77BE"/>
    <w:rsid w:val="00EA6538"/>
    <w:rsid w:val="00EB094E"/>
    <w:rsid w:val="00ED4A90"/>
    <w:rsid w:val="00F401DB"/>
    <w:rsid w:val="131E2317"/>
    <w:rsid w:val="304D1C24"/>
    <w:rsid w:val="334975F8"/>
    <w:rsid w:val="34C74165"/>
    <w:rsid w:val="432D381E"/>
    <w:rsid w:val="4F5D5052"/>
    <w:rsid w:val="535F3C1E"/>
    <w:rsid w:val="6CD142A5"/>
    <w:rsid w:val="7B4C3555"/>
    <w:rsid w:val="7C123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B3DA9"/>
  <w15:docId w15:val="{C09DCEA1-6569-43EB-863C-E9028C04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szCs w:val="22"/>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rPr>
      <w:szCs w:val="22"/>
    </w:r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styleId="ac">
    <w:name w:val="header"/>
    <w:basedOn w:val="a"/>
    <w:link w:val="ad"/>
    <w:uiPriority w:val="99"/>
    <w:unhideWhenUsed/>
    <w:rsid w:val="00920CBF"/>
    <w:pPr>
      <w:tabs>
        <w:tab w:val="center" w:pos="4153"/>
        <w:tab w:val="right" w:pos="8306"/>
      </w:tabs>
      <w:snapToGrid w:val="0"/>
      <w:jc w:val="center"/>
    </w:pPr>
    <w:rPr>
      <w:sz w:val="18"/>
      <w:szCs w:val="18"/>
    </w:rPr>
  </w:style>
  <w:style w:type="character" w:customStyle="1" w:styleId="ad">
    <w:name w:val="页眉 字符"/>
    <w:basedOn w:val="a0"/>
    <w:link w:val="ac"/>
    <w:uiPriority w:val="99"/>
    <w:rsid w:val="00920CBF"/>
    <w:rPr>
      <w:rFonts w:asciiTheme="minorHAnsi" w:eastAsiaTheme="minorEastAsia" w:hAnsiTheme="minorHAnsi" w:cstheme="minorBidi"/>
      <w:kern w:val="2"/>
      <w:sz w:val="18"/>
      <w:szCs w:val="18"/>
    </w:rPr>
  </w:style>
  <w:style w:type="paragraph" w:styleId="ae">
    <w:name w:val="footer"/>
    <w:basedOn w:val="a"/>
    <w:link w:val="af"/>
    <w:uiPriority w:val="99"/>
    <w:unhideWhenUsed/>
    <w:rsid w:val="00920CBF"/>
    <w:pPr>
      <w:tabs>
        <w:tab w:val="center" w:pos="4153"/>
        <w:tab w:val="right" w:pos="8306"/>
      </w:tabs>
      <w:snapToGrid w:val="0"/>
      <w:jc w:val="left"/>
    </w:pPr>
    <w:rPr>
      <w:sz w:val="18"/>
      <w:szCs w:val="18"/>
    </w:rPr>
  </w:style>
  <w:style w:type="character" w:customStyle="1" w:styleId="af">
    <w:name w:val="页脚 字符"/>
    <w:basedOn w:val="a0"/>
    <w:link w:val="ae"/>
    <w:uiPriority w:val="99"/>
    <w:rsid w:val="00920CB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佩佩 徐</dc:creator>
  <cp:lastModifiedBy>佩佩 徐</cp:lastModifiedBy>
  <cp:revision>4</cp:revision>
  <dcterms:created xsi:type="dcterms:W3CDTF">2025-12-01T03:38:00Z</dcterms:created>
  <dcterms:modified xsi:type="dcterms:W3CDTF">2026-06-04T14:32:00Z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eyJoZGlkIjoiMWFmMDgxZGUxMWIyYWUwYThkZmMwZjIzYWViNjQwOTMiLCJ1c2VySWQiOiIyNDIyNTA4ODIifQ==</vt:lpwstr>
  </property>
  <property fmtid="{D5CDD505-2E9C-101B-9397-08002B2CF9AE}" pid="3" name="KSOProductBuildVer">
    <vt:lpwstr>2052-12.1.0.23542</vt:lpwstr>
  </property>
  <property fmtid="{D5CDD505-2E9C-101B-9397-08002B2CF9AE}" pid="4" name="ICV">
    <vt:lpwstr>4ADB64A78F4445688899069978598C96_12</vt:lpwstr>
  </property>
</Properties>
</file>