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042EC">
      <w:pPr>
        <w:jc w:val="center"/>
        <w:rPr>
          <w:rFonts w:ascii="Times New Roman Bold" w:hAnsi="Times New Roman Bold" w:cs="Times New Roman Bold"/>
          <w:b/>
          <w:bCs/>
          <w:sz w:val="28"/>
          <w:szCs w:val="28"/>
        </w:rPr>
      </w:pPr>
      <w:r>
        <w:rPr>
          <w:rFonts w:ascii="Times New Roman Bold" w:hAnsi="Times New Roman Bold" w:cs="Times New Roman Bold"/>
          <w:b/>
          <w:bCs/>
          <w:sz w:val="28"/>
          <w:szCs w:val="28"/>
        </w:rPr>
        <w:t>Multimedia Appendix</w:t>
      </w:r>
      <w:r>
        <w:rPr>
          <w:rFonts w:hint="eastAsia" w:ascii="Times New Roman Bold" w:hAnsi="Times New Roman Bold" w:cs="Times New Roman Bold"/>
          <w:b/>
          <w:bCs/>
          <w:sz w:val="28"/>
          <w:szCs w:val="28"/>
        </w:rPr>
        <w:t xml:space="preserve"> 1</w:t>
      </w:r>
    </w:p>
    <w:p w14:paraId="7D844A5F">
      <w:pPr>
        <w:rPr>
          <w:rFonts w:ascii="Times New Roman Bold" w:hAnsi="Times New Roman Bold" w:cs="Times New Roman Bold"/>
          <w:b/>
          <w:bCs/>
          <w:sz w:val="28"/>
          <w:szCs w:val="28"/>
        </w:rPr>
      </w:pPr>
    </w:p>
    <w:p w14:paraId="57261B44">
      <w:pPr>
        <w:jc w:val="center"/>
        <w:rPr>
          <w:rFonts w:ascii="Times New Roman Bold" w:hAnsi="Times New Roman Bold" w:cs="Times New Roman Bold"/>
          <w:b/>
          <w:bCs/>
          <w:sz w:val="28"/>
          <w:szCs w:val="28"/>
        </w:rPr>
      </w:pPr>
      <w:r>
        <w:rPr>
          <w:rFonts w:hint="eastAsia" w:ascii="Times New Roman Bold" w:hAnsi="Times New Roman Bold" w:cs="Times New Roman Bold"/>
          <w:b/>
          <w:bCs/>
          <w:sz w:val="28"/>
          <w:szCs w:val="28"/>
        </w:rPr>
        <w:t>Intervention Development and Materials</w:t>
      </w:r>
    </w:p>
    <w:p w14:paraId="6BF0EA2D">
      <w:pPr>
        <w:jc w:val="center"/>
        <w:rPr>
          <w:rFonts w:ascii="Times New Roman Regular" w:hAnsi="Times New Roman Regular" w:cs="Times New Roman Regular"/>
          <w:sz w:val="24"/>
        </w:rPr>
      </w:pPr>
    </w:p>
    <w:p w14:paraId="14549E76">
      <w:pPr>
        <w:rPr>
          <w:rFonts w:ascii="Times New Roman Regular" w:hAnsi="Times New Roman Regular" w:cs="Times New Roman Regular"/>
          <w:sz w:val="24"/>
        </w:rPr>
      </w:pPr>
    </w:p>
    <w:p w14:paraId="0D4FCDBE">
      <w:pPr>
        <w:rPr>
          <w:rFonts w:ascii="Times New Roman Regular" w:hAnsi="Times New Roman Regular" w:cs="Times New Roman Regular"/>
          <w:sz w:val="24"/>
        </w:rPr>
      </w:pPr>
    </w:p>
    <w:p w14:paraId="4994A054">
      <w:pPr>
        <w:numPr>
          <w:ilvl w:val="0"/>
          <w:numId w:val="1"/>
        </w:numPr>
        <w:spacing w:line="360" w:lineRule="auto"/>
        <w:rPr>
          <w:rFonts w:ascii="Times New Roman Regular" w:hAnsi="Times New Roman Regular" w:cs="Times New Roman Regular"/>
          <w:sz w:val="24"/>
        </w:rPr>
      </w:pPr>
      <w:r>
        <w:rPr>
          <w:rFonts w:ascii="Times New Roman Regular" w:hAnsi="Times New Roman Regular" w:cs="Times New Roman Regular"/>
          <w:sz w:val="24"/>
          <w:szCs w:val="24"/>
        </w:rPr>
        <w:t>Microinterventions development</w:t>
      </w:r>
    </w:p>
    <w:p w14:paraId="65D79A18">
      <w:pPr>
        <w:numPr>
          <w:ilvl w:val="0"/>
          <w:numId w:val="1"/>
        </w:numPr>
        <w:spacing w:line="360" w:lineRule="auto"/>
        <w:rPr>
          <w:rFonts w:ascii="Times New Roman Regular" w:hAnsi="Times New Roman Regular" w:cs="Times New Roman Regular"/>
          <w:sz w:val="24"/>
        </w:rPr>
      </w:pPr>
      <w:r>
        <w:rPr>
          <w:rFonts w:ascii="Times New Roman Regular" w:hAnsi="Times New Roman Regular" w:cs="Times New Roman Regular"/>
          <w:sz w:val="24"/>
          <w:szCs w:val="24"/>
        </w:rPr>
        <w:t>Intervention Modules and Categories of Digital Microinterventions</w:t>
      </w:r>
    </w:p>
    <w:p w14:paraId="1B3F73EC">
      <w:pPr>
        <w:numPr>
          <w:ilvl w:val="0"/>
          <w:numId w:val="1"/>
        </w:numPr>
        <w:spacing w:line="360" w:lineRule="auto"/>
        <w:rPr>
          <w:rFonts w:ascii="Times New Roman Regular" w:hAnsi="Times New Roman Regular" w:cs="Times New Roman Regular"/>
          <w:sz w:val="24"/>
        </w:rPr>
      </w:pPr>
      <w:r>
        <w:rPr>
          <w:rFonts w:hint="eastAsia" w:ascii="Times New Roman Regular" w:hAnsi="Times New Roman Regular" w:cs="Times New Roman Regular"/>
          <w:sz w:val="24"/>
          <w:szCs w:val="24"/>
        </w:rPr>
        <w:t>Intervention example materials and screenshots</w:t>
      </w:r>
    </w:p>
    <w:p w14:paraId="6C4ED91B">
      <w:pPr>
        <w:spacing w:line="360" w:lineRule="auto"/>
        <w:rPr>
          <w:rFonts w:ascii="Times New Roman Bold" w:hAnsi="Times New Roman Bold" w:cs="Times New Roman Bold"/>
          <w:b/>
          <w:bCs/>
          <w:sz w:val="24"/>
        </w:rPr>
        <w:sectPr>
          <w:pgSz w:w="11906" w:h="16838"/>
          <w:pgMar w:top="1440" w:right="1800" w:bottom="1440" w:left="1800" w:header="851" w:footer="992" w:gutter="0"/>
          <w:cols w:space="425" w:num="1"/>
          <w:docGrid w:type="lines" w:linePitch="312" w:charSpace="0"/>
        </w:sectPr>
      </w:pPr>
      <w:r>
        <w:rPr>
          <w:rFonts w:hint="eastAsia" w:ascii="Times New Roman Bold" w:hAnsi="Times New Roman Bold" w:cs="Times New Roman Bold"/>
          <w:b/>
          <w:bCs/>
          <w:sz w:val="24"/>
          <w:szCs w:val="24"/>
        </w:rPr>
        <w:t>e</w:t>
      </w:r>
      <w:r>
        <w:rPr>
          <w:rFonts w:ascii="Times New Roman Bold" w:hAnsi="Times New Roman Bold" w:cs="Times New Roman Bold"/>
          <w:b/>
          <w:bCs/>
          <w:sz w:val="24"/>
          <w:szCs w:val="24"/>
        </w:rPr>
        <w:t>Reference</w:t>
      </w:r>
    </w:p>
    <w:p w14:paraId="27EBDFBD">
      <w:pPr>
        <w:numPr>
          <w:ilvl w:val="0"/>
          <w:numId w:val="2"/>
        </w:numPr>
        <w:spacing w:line="360" w:lineRule="auto"/>
        <w:rPr>
          <w:rFonts w:ascii="Times New Roman Bold" w:hAnsi="Times New Roman Bold" w:cs="Times New Roman Bold"/>
          <w:b/>
          <w:bCs/>
          <w:sz w:val="24"/>
        </w:rPr>
      </w:pPr>
      <w:r>
        <w:rPr>
          <w:rFonts w:ascii="Times New Roman Bold" w:hAnsi="Times New Roman Bold" w:cs="Times New Roman Bold"/>
          <w:b/>
          <w:bCs/>
          <w:sz w:val="24"/>
        </w:rPr>
        <w:t>Microinterventions development</w:t>
      </w:r>
    </w:p>
    <w:p w14:paraId="1EF323F6">
      <w:pPr>
        <w:spacing w:before="120" w:after="120"/>
        <w:rPr>
          <w:rFonts w:ascii="Times New Roman Bold" w:hAnsi="Times New Roman Bold" w:cs="Times New Roman Bold"/>
          <w:b/>
          <w:bCs/>
          <w:sz w:val="24"/>
        </w:rPr>
      </w:pPr>
      <w:r>
        <w:rPr>
          <w:rFonts w:ascii="Times New Roman Bold" w:hAnsi="Times New Roman Bold" w:cs="Times New Roman Bold"/>
          <w:b/>
          <w:bCs/>
          <w:sz w:val="24"/>
        </w:rPr>
        <w:t>Theoretical Framework</w:t>
      </w:r>
    </w:p>
    <w:p w14:paraId="1C1E22B7">
      <w:pPr>
        <w:widowControl/>
        <w:rPr>
          <w:rFonts w:ascii="Times New Roman Regular" w:hAnsi="Times New Roman Regular" w:cs="Times New Roman Regular"/>
          <w:color w:val="000000"/>
          <w:sz w:val="24"/>
          <w:lang w:bidi="ar"/>
        </w:rPr>
      </w:pPr>
      <w:r>
        <w:rPr>
          <w:rFonts w:ascii="Times New Roman Regular" w:hAnsi="Times New Roman Regular" w:cs="Times New Roman Regular"/>
          <w:sz w:val="24"/>
        </w:rPr>
        <w:t xml:space="preserve">The </w:t>
      </w:r>
      <w:r>
        <w:rPr>
          <w:rFonts w:hint="eastAsia" w:ascii="Times New Roman Regular" w:hAnsi="Times New Roman Regular" w:cs="Times New Roman Regular"/>
          <w:sz w:val="24"/>
        </w:rPr>
        <w:t>4-week microintervention</w:t>
      </w:r>
      <w:r>
        <w:rPr>
          <w:rFonts w:ascii="Times New Roman Regular" w:hAnsi="Times New Roman Regular" w:cs="Times New Roman Regular"/>
          <w:sz w:val="24"/>
        </w:rPr>
        <w:t>s</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program</w:t>
      </w:r>
      <w:r>
        <w:rPr>
          <w:rFonts w:hint="eastAsia" w:ascii="Times New Roman Regular" w:hAnsi="Times New Roman Regular" w:cs="Times New Roman Regular"/>
          <w:sz w:val="24"/>
        </w:rPr>
        <w:t xml:space="preserve"> develop</w:t>
      </w:r>
      <w:r>
        <w:rPr>
          <w:rFonts w:ascii="Times New Roman Regular" w:hAnsi="Times New Roman Regular" w:cs="Times New Roman Regular"/>
          <w:sz w:val="24"/>
        </w:rPr>
        <w:t>ment</w:t>
      </w:r>
      <w:r>
        <w:rPr>
          <w:rFonts w:hint="eastAsia" w:ascii="Times New Roman Regular" w:hAnsi="Times New Roman Regular" w:cs="Times New Roman Regular"/>
          <w:sz w:val="24"/>
        </w:rPr>
        <w:t xml:space="preserve"> was informed by the 3P </w:t>
      </w:r>
      <w:r>
        <w:rPr>
          <w:rFonts w:ascii="Times New Roman Regular" w:hAnsi="Times New Roman Regular" w:cs="Times New Roman Regular"/>
          <w:sz w:val="24"/>
        </w:rPr>
        <w:t xml:space="preserve">disease </w:t>
      </w:r>
      <w:r>
        <w:rPr>
          <w:rFonts w:hint="eastAsia" w:ascii="Times New Roman Regular" w:hAnsi="Times New Roman Regular" w:cs="Times New Roman Regular"/>
          <w:sz w:val="24"/>
        </w:rPr>
        <w:t>model</w:t>
      </w:r>
      <w:r>
        <w:rPr>
          <w:rFonts w:ascii="Times New Roman Regular" w:hAnsi="Times New Roman Regular" w:cs="Times New Roman Regular"/>
          <w:sz w:val="24"/>
        </w:rPr>
        <w:fldChar w:fldCharType="begin"/>
      </w:r>
      <w:r>
        <w:rPr>
          <w:rFonts w:ascii="Times New Roman Regular" w:hAnsi="Times New Roman Regular" w:cs="Times New Roman Regular"/>
          <w:sz w:val="24"/>
        </w:rPr>
        <w:instrText xml:space="preserve"> ADDIN EN.CITE &lt;EndNote&gt;&lt;Cite&gt;&lt;Author&gt;Wright&lt;/Author&gt;&lt;Year&gt;2019&lt;/Year&gt;&lt;RecNum&gt;14921&lt;/RecNum&gt;&lt;DisplayText&gt;&lt;style face="superscript"&gt;[1]&lt;/style&gt;&lt;/DisplayText&gt;&lt;record&gt;&lt;rec-number&gt;14921&lt;/rec-number&gt;&lt;foreign-keys&gt;&lt;key app="EN" db-id="ex2fef9w9satv5eatwt5axztfrr9vxf00art" timestamp="1774946878"&gt;14921&lt;/key&gt;&lt;/foreign-keys&gt;&lt;ref-type name="Journal Article"&gt;17&lt;/ref-type&gt;&lt;contributors&gt;&lt;authors&gt;&lt;author&gt;Wright, C. D.&lt;/author&gt;&lt;author&gt;Tiani, A. G.&lt;/author&gt;&lt;author&gt;Billingsley, A. L.&lt;/author&gt;&lt;author&gt;Steinman, S. A.&lt;/author&gt;&lt;author&gt;Larkin, K. T.&lt;/author&gt;&lt;author&gt;McNeil, D. W.&lt;/author&gt;&lt;/authors&gt;&lt;/contributors&gt;&lt;auth-address&gt;Department of Psychology, West Virginia University, Morgantown, WV, United States.&amp;#xD;Department of Dental Practice and Rural Health, School of Dentistry, West Virginia University, Morgantown, WV, United States.&lt;/auth-address&gt;&lt;titles&gt;&lt;title&gt;A Framework for Understanding the Role of Psychological Processes in Disease Development, Maintenance, and Treatment: The 3P-Disease Model&lt;/title&gt;&lt;secondary-title&gt;Frontiers in Psychology &lt;/secondary-title&gt;&lt;/titles&gt;&lt;pages&gt;2498&lt;/pages&gt;&lt;volume&gt;10&lt;/volume&gt;&lt;number&gt;0&lt;/number&gt;&lt;edition&gt;20191120&lt;/edition&gt;&lt;keywords&gt;&lt;keyword&gt;behavioral dentistry&lt;/keyword&gt;&lt;keyword&gt;behavioral medicine&lt;/keyword&gt;&lt;keyword&gt;biopsychosocial&lt;/keyword&gt;&lt;keyword&gt;disease etiology&lt;/keyword&gt;&lt;keyword&gt;health psychology&lt;/keyword&gt;&lt;keyword&gt;heart disease&lt;/keyword&gt;&lt;keyword&gt;pain&lt;/keyword&gt;&lt;keyword&gt;psychogastroenterology&lt;/keyword&gt;&lt;/keywords&gt;&lt;dates&gt;&lt;year&gt;2019&lt;/year&gt;&lt;/dates&gt;&lt;isbn&gt;1664-1078 (Print)&amp;#xD;1664-1078&lt;/isbn&gt;&lt;accession-num&gt;31824367&lt;/accession-num&gt;&lt;urls&gt;&lt;/urls&gt;&lt;custom2&gt;PMC6879427&lt;/custom2&gt;&lt;electronic-resource-num&gt;10.3389/fpsyg.2019.02498&lt;/electronic-resource-num&gt;&lt;remote-database-provider&gt;NLM&lt;/remote-database-provider&gt;&lt;language&gt;eng&lt;/language&gt;&lt;/record&gt;&lt;/Cite&gt;&lt;/EndNote&gt;</w:instrText>
      </w:r>
      <w:r>
        <w:rPr>
          <w:rFonts w:ascii="Times New Roman Regular" w:hAnsi="Times New Roman Regular" w:cs="Times New Roman Regular"/>
          <w:sz w:val="24"/>
        </w:rPr>
        <w:fldChar w:fldCharType="separate"/>
      </w:r>
      <w:r>
        <w:rPr>
          <w:rFonts w:ascii="Times New Roman Regular" w:hAnsi="Times New Roman Regular" w:cs="Times New Roman Regular"/>
          <w:sz w:val="24"/>
          <w:vertAlign w:val="superscript"/>
        </w:rPr>
        <w:t>[1]</w:t>
      </w:r>
      <w:r>
        <w:rPr>
          <w:rFonts w:ascii="Times New Roman Regular" w:hAnsi="Times New Roman Regular" w:cs="Times New Roman Regular"/>
          <w:sz w:val="24"/>
        </w:rPr>
        <w:fldChar w:fldCharType="end"/>
      </w:r>
      <w:r>
        <w:rPr>
          <w:rFonts w:ascii="Times New Roman Regular" w:hAnsi="Times New Roman Regular" w:cs="Times New Roman Regular"/>
          <w:color w:val="000000"/>
          <w:sz w:val="24"/>
          <w:lang w:bidi="ar"/>
        </w:rPr>
        <w:t xml:space="preserve">, the </w:t>
      </w:r>
      <w:r>
        <w:rPr>
          <w:rFonts w:hint="eastAsia" w:ascii="Times New Roman Regular" w:hAnsi="Times New Roman Regular" w:cs="Times New Roman Regular"/>
          <w:color w:val="000000"/>
          <w:sz w:val="24"/>
          <w:lang w:bidi="ar"/>
        </w:rPr>
        <w:t xml:space="preserve">digital </w:t>
      </w:r>
      <w:r>
        <w:rPr>
          <w:rFonts w:ascii="Times New Roman Regular" w:hAnsi="Times New Roman Regular" w:cs="Times New Roman Regular"/>
          <w:color w:val="000000"/>
          <w:sz w:val="24"/>
          <w:lang w:bidi="ar"/>
        </w:rPr>
        <w:t>micro-intervention framework</w:t>
      </w:r>
      <w:r>
        <w:rPr>
          <w:rFonts w:ascii="Times New Roman Regular" w:hAnsi="Times New Roman Regular" w:cs="Times New Roman Regular"/>
          <w:color w:val="000000"/>
          <w:sz w:val="24"/>
          <w:lang w:bidi="ar"/>
        </w:rPr>
        <w:fldChar w:fldCharType="begin">
          <w:fldData xml:space="preserve">PEVuZE5vdGU+PENpdGU+PEF1dGhvcj5CYXVtZWw8L0F1dGhvcj48WWVhcj4yMDIwPC9ZZWFyPjxS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</w:fldData>
        </w:fldChar>
      </w:r>
      <w:r>
        <w:rPr>
          <w:rFonts w:ascii="Times New Roman Regular" w:hAnsi="Times New Roman Regular" w:cs="Times New Roman Regular"/>
          <w:color w:val="000000"/>
          <w:sz w:val="24"/>
          <w:lang w:bidi="ar"/>
        </w:rPr>
        <w:instrText xml:space="preserve"> ADDIN EN.CITE </w:instrText>
      </w:r>
      <w:r>
        <w:rPr>
          <w:rFonts w:ascii="Times New Roman Regular" w:hAnsi="Times New Roman Regular" w:cs="Times New Roman Regular"/>
          <w:color w:val="000000"/>
          <w:sz w:val="24"/>
          <w:lang w:bidi="ar"/>
        </w:rPr>
        <w:fldChar w:fldCharType="begin">
          <w:fldData xml:space="preserve">PEVuZE5vdGU+PENpdGU+PEF1dGhvcj5CYXVtZWw8L0F1dGhvcj48WWVhcj4yMDIwPC9ZZWFyPjxS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</w:fldData>
        </w:fldChar>
      </w:r>
      <w:r>
        <w:rPr>
          <w:rFonts w:ascii="Times New Roman Regular" w:hAnsi="Times New Roman Regular" w:cs="Times New Roman Regular"/>
          <w:color w:val="000000"/>
          <w:sz w:val="24"/>
          <w:lang w:bidi="ar"/>
        </w:rPr>
        <w:instrText xml:space="preserve"> ADDIN EN.CITE.DATA </w:instrText>
      </w:r>
      <w:r>
        <w:rPr>
          <w:rFonts w:ascii="Times New Roman Regular" w:hAnsi="Times New Roman Regular" w:cs="Times New Roman Regular"/>
          <w:color w:val="000000"/>
          <w:sz w:val="24"/>
          <w:lang w:bidi="ar"/>
        </w:rPr>
        <w:fldChar w:fldCharType="end"/>
      </w:r>
      <w:r>
        <w:rPr>
          <w:rFonts w:ascii="Times New Roman Regular" w:hAnsi="Times New Roman Regular" w:cs="Times New Roman Regular"/>
          <w:color w:val="000000"/>
          <w:sz w:val="24"/>
          <w:lang w:bidi="ar"/>
        </w:rPr>
        <w:fldChar w:fldCharType="separate"/>
      </w:r>
      <w:r>
        <w:rPr>
          <w:rFonts w:ascii="Times New Roman Regular" w:hAnsi="Times New Roman Regular" w:cs="Times New Roman Regular"/>
          <w:color w:val="000000"/>
          <w:sz w:val="24"/>
          <w:vertAlign w:val="superscript"/>
          <w:lang w:bidi="ar"/>
        </w:rPr>
        <w:t>[2]</w:t>
      </w:r>
      <w:r>
        <w:rPr>
          <w:rFonts w:ascii="Times New Roman Regular" w:hAnsi="Times New Roman Regular" w:cs="Times New Roman Regular"/>
          <w:color w:val="000000"/>
          <w:sz w:val="24"/>
          <w:lang w:bidi="ar"/>
        </w:rPr>
        <w:fldChar w:fldCharType="end"/>
      </w:r>
      <w:r>
        <w:rPr>
          <w:rFonts w:ascii="Times New Roman Regular" w:hAnsi="Times New Roman Regular" w:cs="Times New Roman Regular"/>
          <w:color w:val="000000"/>
          <w:sz w:val="24"/>
          <w:lang w:bidi="ar"/>
        </w:rPr>
        <w:t xml:space="preserve"> and the problem-solving therapy framework</w:t>
      </w:r>
      <w:r>
        <w:rPr>
          <w:rFonts w:ascii="Times New Roman Regular" w:hAnsi="Times New Roman Regular" w:cs="Times New Roman Regular"/>
          <w:color w:val="000000"/>
          <w:sz w:val="24"/>
          <w:lang w:bidi="ar"/>
        </w:rPr>
        <w:fldChar w:fldCharType="begin"/>
      </w:r>
      <w:r>
        <w:rPr>
          <w:rFonts w:ascii="Times New Roman Regular" w:hAnsi="Times New Roman Regular" w:cs="Times New Roman Regular"/>
          <w:color w:val="000000"/>
          <w:sz w:val="24"/>
          <w:lang w:bidi="ar"/>
        </w:rPr>
        <w:instrText xml:space="preserve"> ADDIN EN.CITE &lt;EndNote&gt;&lt;Cite&gt;&lt;Author&gt;Pierce&lt;/Author&gt;&lt;Year&gt;2012&lt;/Year&gt;&lt;RecNum&gt;14969&lt;/RecNum&gt;&lt;DisplayText&gt;&lt;style face="superscript"&gt;[3]&lt;/style&gt;&lt;/DisplayText&gt;&lt;record&gt;&lt;rec-number&gt;14969&lt;/rec-number&gt;&lt;foreign-keys&gt;&lt;key app="EN" db-id="ex2fef9w9satv5eatwt5axztfrr9vxf00art" timestamp="1778204234"&gt;14969&lt;/key&gt;&lt;/foreign-keys&gt;&lt;ref-type name="Journal Article"&gt;17&lt;/ref-type&gt;&lt;contributors&gt;&lt;authors&gt;&lt;author&gt;Pierce, D.&lt;/author&gt;&lt;/authors&gt;&lt;/contributors&gt;&lt;auth-address&gt;Department of Rural Health, Rural Health Academic Centre, the University of Melbourne, Ballarat, Victoria, Australia. d.pierce@unimelb.edu.au&lt;/auth-address&gt;&lt;titles&gt;&lt;title&gt;Problem solving therapy - use and effectiveness in general practice&lt;/title&gt;&lt;secondary-title&gt;Aust Fam Physician&lt;/secondary-title&gt;&lt;/titles&gt;&lt;periodical&gt;&lt;full-title&gt;Aust Fam Physician&lt;/full-title&gt;&lt;/periodical&gt;&lt;pages&gt;676-9&lt;/pages&gt;&lt;volume&gt;41&lt;/volume&gt;&lt;number&gt;9&lt;/number&gt;&lt;keywords&gt;&lt;keyword&gt;Australia&lt;/keyword&gt;&lt;keyword&gt;General Practice/*methods&lt;/keyword&gt;&lt;keyword&gt;Humans&lt;/keyword&gt;&lt;keyword&gt;National Health Programs&lt;/keyword&gt;&lt;keyword&gt;*Problem Solving&lt;/keyword&gt;&lt;keyword&gt;Psychotherapy/*methods&lt;/keyword&gt;&lt;/keywords&gt;&lt;dates&gt;&lt;year&gt;2012&lt;/year&gt;&lt;pub-dates&gt;&lt;date&gt;Sep&lt;/date&gt;&lt;/pub-dates&gt;&lt;/dates&gt;&lt;isbn&gt;0300-8495 (Print)&amp;#xD;0300-8495&lt;/isbn&gt;&lt;accession-num&gt;22962642&lt;/accession-num&gt;&lt;urls&gt;&lt;/urls&gt;&lt;remote-database-provider&gt;NLM&lt;/remote-database-provider&gt;&lt;language&gt;eng&lt;/language&gt;&lt;/record&gt;&lt;/Cite&gt;&lt;/EndNote&gt;</w:instrText>
      </w:r>
      <w:r>
        <w:rPr>
          <w:rFonts w:ascii="Times New Roman Regular" w:hAnsi="Times New Roman Regular" w:cs="Times New Roman Regular"/>
          <w:color w:val="000000"/>
          <w:sz w:val="24"/>
          <w:lang w:bidi="ar"/>
        </w:rPr>
        <w:fldChar w:fldCharType="separate"/>
      </w:r>
      <w:r>
        <w:rPr>
          <w:rFonts w:ascii="Times New Roman Regular" w:hAnsi="Times New Roman Regular" w:cs="Times New Roman Regular"/>
          <w:color w:val="000000"/>
          <w:sz w:val="24"/>
          <w:vertAlign w:val="superscript"/>
          <w:lang w:bidi="ar"/>
        </w:rPr>
        <w:t>[3]</w:t>
      </w:r>
      <w:r>
        <w:rPr>
          <w:rFonts w:ascii="Times New Roman Regular" w:hAnsi="Times New Roman Regular" w:cs="Times New Roman Regular"/>
          <w:color w:val="000000"/>
          <w:sz w:val="24"/>
          <w:lang w:bidi="ar"/>
        </w:rPr>
        <w:fldChar w:fldCharType="end"/>
      </w:r>
      <w:r>
        <w:rPr>
          <w:rFonts w:ascii="Times New Roman Regular" w:hAnsi="Times New Roman Regular" w:cs="Times New Roman Regular"/>
          <w:color w:val="000000"/>
          <w:sz w:val="24"/>
          <w:lang w:bidi="ar"/>
        </w:rPr>
        <w:t xml:space="preserve">. </w:t>
      </w:r>
    </w:p>
    <w:p w14:paraId="70B76716">
      <w:pPr>
        <w:widowControl/>
        <w:ind w:firstLine="480" w:firstLineChars="200"/>
        <w:rPr>
          <w:rFonts w:ascii="Times New Roman Regular" w:hAnsi="Times New Roman Regular" w:cs="Times New Roman Regular"/>
          <w:sz w:val="24"/>
        </w:rPr>
      </w:pPr>
      <w:r>
        <w:rPr>
          <w:rFonts w:ascii="Times New Roman Regular" w:hAnsi="Times New Roman Regular" w:cs="Times New Roman Regular"/>
          <w:color w:val="000000"/>
          <w:sz w:val="24"/>
          <w:lang w:bidi="ar"/>
        </w:rPr>
        <w:t>T</w:t>
      </w:r>
      <w:r>
        <w:rPr>
          <w:rFonts w:ascii="Times New Roman Regular" w:hAnsi="Times New Roman Regular" w:cs="Times New Roman Regular"/>
          <w:sz w:val="24"/>
        </w:rPr>
        <w:t xml:space="preserve">he 3P disease model </w:t>
      </w:r>
      <w:r>
        <w:rPr>
          <w:rFonts w:hint="eastAsia" w:ascii="Times New Roman Regular" w:hAnsi="Times New Roman Regular" w:cs="Times New Roman Regular"/>
          <w:sz w:val="24"/>
        </w:rPr>
        <w:t>conceptualizes disease development through three interacting domains: predisposing, precipitating, and perpetuating factors. Predisposing factors include relatively stable physiological, psychological, and social characteristics (e.g., demographic background) that increase vulnerability to psychological distress and sleep problems. Precipitating factors refer to acute or chronic triggers, such as cancer treatment, physical symptoms, or emotional stress. Perpetuating factors involve maladaptive cognitive, behavioral, and emotional responses</w:t>
      </w:r>
      <w:r>
        <w:rPr>
          <w:rFonts w:ascii="Times New Roman Regular" w:hAnsi="Times New Roman Regular" w:cs="Times New Roman Regular"/>
          <w:sz w:val="24"/>
        </w:rPr>
        <w:t xml:space="preserve">, </w:t>
      </w:r>
      <w:r>
        <w:rPr>
          <w:rFonts w:hint="eastAsia" w:ascii="Times New Roman Regular" w:hAnsi="Times New Roman Regular" w:cs="Times New Roman Regular"/>
          <w:sz w:val="24"/>
        </w:rPr>
        <w:t>such as poor sleep habits or sustained negative emotions</w:t>
      </w:r>
      <w:r>
        <w:rPr>
          <w:rFonts w:ascii="Times New Roman Regular" w:hAnsi="Times New Roman Regular" w:cs="Times New Roman Regular"/>
          <w:sz w:val="24"/>
        </w:rPr>
        <w:t xml:space="preserve"> that </w:t>
      </w:r>
      <w:r>
        <w:rPr>
          <w:rFonts w:hint="eastAsia" w:ascii="Times New Roman Regular" w:hAnsi="Times New Roman Regular" w:cs="Times New Roman Regular"/>
          <w:sz w:val="24"/>
        </w:rPr>
        <w:t>maintain or worsen these difficulties.</w:t>
      </w:r>
    </w:p>
    <w:p w14:paraId="46FAA536">
      <w:pPr>
        <w:widowControl/>
        <w:ind w:firstLine="480" w:firstLineChars="200"/>
        <w:rPr>
          <w:rFonts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 xml:space="preserve">The digital micro-intervention model provides a theoretical framework for constructing a comprehensive digital intervention pathway and translating the comorbidity mechanisms between psychological distress and </w:t>
      </w:r>
      <w:r>
        <w:rPr>
          <w:rFonts w:ascii="Times New Roman Regular" w:hAnsi="Times New Roman Regular" w:cs="Times New Roman Regular"/>
          <w:color w:val="000000"/>
          <w:sz w:val="24"/>
          <w:lang w:val="en-US" w:bidi="ar"/>
        </w:rPr>
        <w:t>sleep disturbance</w:t>
      </w:r>
      <w:r>
        <w:rPr>
          <w:rFonts w:ascii="Times New Roman Regular" w:hAnsi="Times New Roman Regular" w:cs="Times New Roman Regular"/>
          <w:color w:val="000000"/>
          <w:sz w:val="24"/>
          <w:lang w:bidi="ar"/>
        </w:rPr>
        <w:t xml:space="preserve"> into concrete, actionable intervention protocols. Based on the fundamental logic of “intervention event</w:t>
      </w:r>
      <w:r>
        <w:rPr>
          <w:rFonts w:hint="default" w:ascii="Times New Roman Regular" w:hAnsi="Times New Roman Regular" w:cs="Times New Roman Regular"/>
          <w:color w:val="000000"/>
          <w:sz w:val="24"/>
          <w:lang w:val="en-US" w:bidi="ar"/>
        </w:rPr>
        <w:t>-</w:t>
      </w:r>
      <w:r>
        <w:rPr>
          <w:rFonts w:ascii="Times New Roman Regular" w:hAnsi="Times New Roman Regular" w:cs="Times New Roman Regular"/>
          <w:color w:val="000000"/>
          <w:sz w:val="24"/>
          <w:lang w:bidi="ar"/>
        </w:rPr>
        <w:t>decision rule</w:t>
      </w:r>
      <w:r>
        <w:rPr>
          <w:rFonts w:hint="default" w:ascii="Times New Roman Regular" w:hAnsi="Times New Roman Regular" w:cs="Times New Roman Regular"/>
          <w:color w:val="000000"/>
          <w:sz w:val="24"/>
          <w:lang w:val="en-US" w:bidi="ar"/>
        </w:rPr>
        <w:t>-</w:t>
      </w:r>
      <w:r>
        <w:rPr>
          <w:rFonts w:ascii="Times New Roman Regular" w:hAnsi="Times New Roman Regular" w:cs="Times New Roman Regular"/>
          <w:color w:val="000000"/>
          <w:sz w:val="24"/>
          <w:lang w:bidi="ar"/>
        </w:rPr>
        <w:t>identification timing</w:t>
      </w:r>
      <w:r>
        <w:rPr>
          <w:rFonts w:hint="default" w:ascii="Times New Roman Regular" w:hAnsi="Times New Roman Regular" w:cs="Times New Roman Regular"/>
          <w:color w:val="000000"/>
          <w:sz w:val="24"/>
          <w:lang w:val="en-US" w:bidi="ar"/>
        </w:rPr>
        <w:t>-</w:t>
      </w:r>
      <w:r>
        <w:rPr>
          <w:rFonts w:ascii="Times New Roman Regular" w:hAnsi="Times New Roman Regular" w:cs="Times New Roman Regular"/>
          <w:color w:val="000000"/>
          <w:sz w:val="24"/>
          <w:lang w:bidi="ar"/>
        </w:rPr>
        <w:t>evaluation and optimization,” the model pre-matches corresponding intervention content (i.e., intervention elements derived from evidence-based research and needs assessments) to the various factors within the 3P model. It then integrates these elements into personalized intervention combinations, using fixed trigger conditions as the identification mechanism. During implementation, the intervention employs continuous data logging and dynamic adjustment mechanisms to optimize content in a timely manner based on near-term assessment results (such as short-term participation and response to the intervention), allowing for flexible adjustments throughout the intervention process. Concurrently, the effectiveness of the intervention is comprehensively evaluated using long-term assessment indicators (such as long-term health outcomes and overall participation levels).</w:t>
      </w:r>
    </w:p>
    <w:p w14:paraId="257E53F0">
      <w:pPr>
        <w:widowControl/>
        <w:ind w:firstLine="480" w:firstLineChars="200"/>
        <w:rPr>
          <w:rFonts w:hint="eastAsia"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 xml:space="preserve">The problem-solving therapy framework provides a structured approach to helping individuals identify and manage distress-related problems. It was used as a content-development framework rather than as a therapist-delivered psychotherapy. Specifically, each domain-specific article was organized according to five problem-solving steps: problem identification, goal setting, brainstorming of possible options, decision-making, and action planning. This structure was intended to help patients clarify the specific source of distress, consider feasible coping strategies, evaluate available options, and develop a practical action plan. By embedding the PST framework into brief, accessible articles, the support package aimed to provide low-burden, self-guided problem-solving support for patients with diverse psychological distress and unmet needs. </w:t>
      </w:r>
    </w:p>
    <w:p w14:paraId="18A0E9F4">
      <w:pPr>
        <w:spacing w:before="120" w:after="120"/>
        <w:rPr>
          <w:rFonts w:ascii="Times New Roman Bold" w:hAnsi="Times New Roman Bold" w:cs="Times New Roman Bold"/>
          <w:b/>
          <w:bCs/>
          <w:sz w:val="24"/>
        </w:rPr>
      </w:pPr>
      <w:r>
        <w:rPr>
          <w:rFonts w:ascii="Times New Roman Bold" w:hAnsi="Times New Roman Bold" w:cs="Times New Roman Bold"/>
          <w:b/>
          <w:bCs/>
          <w:sz w:val="24"/>
        </w:rPr>
        <w:t>Needs Assessment</w:t>
      </w:r>
    </w:p>
    <w:p w14:paraId="703BE73E">
      <w:pPr>
        <w:widowControl/>
        <w:ind w:firstLine="480" w:firstLineChars="200"/>
        <w:rPr>
          <w:rFonts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A cross sectional study has been conducted to assess the needs and current comorbidity station of psychological distress and sleep disturbance among the adolescents and young adults with gynecologic cancer.</w:t>
      </w:r>
    </w:p>
    <w:p w14:paraId="503DF0EE">
      <w:pPr>
        <w:widowControl/>
        <w:ind w:firstLine="480" w:firstLineChars="200"/>
        <w:rPr>
          <w:rFonts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 xml:space="preserve">Based on the analysis of individual symptoms and </w:t>
      </w:r>
      <w:r>
        <w:rPr>
          <w:rFonts w:ascii="Times New Roman Regular" w:hAnsi="Times New Roman Regular" w:cs="Times New Roman Regular"/>
          <w:color w:val="000000"/>
          <w:sz w:val="24"/>
          <w:lang w:val="en-US" w:bidi="ar"/>
        </w:rPr>
        <w:t>comorbidity</w:t>
      </w:r>
      <w:r>
        <w:rPr>
          <w:rFonts w:hint="default" w:ascii="Times New Roman Regular" w:hAnsi="Times New Roman Regular" w:cs="Times New Roman Regular"/>
          <w:color w:val="000000"/>
          <w:sz w:val="24"/>
          <w:lang w:val="en-US" w:bidi="ar"/>
        </w:rPr>
        <w:t xml:space="preserve"> of </w:t>
      </w:r>
      <w:r>
        <w:rPr>
          <w:rFonts w:ascii="Times New Roman Regular" w:hAnsi="Times New Roman Regular" w:cs="Times New Roman Regular"/>
          <w:color w:val="000000"/>
          <w:sz w:val="24"/>
          <w:lang w:bidi="ar"/>
        </w:rPr>
        <w:t xml:space="preserve">psychological distress and </w:t>
      </w:r>
      <w:r>
        <w:rPr>
          <w:rFonts w:ascii="Times New Roman Regular" w:hAnsi="Times New Roman Regular" w:cs="Times New Roman Regular"/>
          <w:color w:val="000000"/>
          <w:sz w:val="24"/>
          <w:lang w:val="en-US" w:bidi="ar"/>
        </w:rPr>
        <w:t>sleep disturbance</w:t>
      </w:r>
      <w:r>
        <w:rPr>
          <w:rFonts w:ascii="Times New Roman Regular" w:hAnsi="Times New Roman Regular" w:cs="Times New Roman Regular"/>
          <w:color w:val="000000"/>
          <w:sz w:val="24"/>
          <w:lang w:bidi="ar"/>
        </w:rPr>
        <w:t xml:space="preserve"> among the adolescents and young adults with gynecologic cancer are primarily associated with health insurance coverage, financial burden, disease knowledge, treatment, physical symptoms, and negative emotions. Specifically, regarding individual symptoms, 76.7% of patients experienced varying degrees of psychological distress, primarily stemming from physical symptoms, negative emotions, and financial burden. Over 40% of patients experienced sleep disturbances to varying degrees, primarily manifesting as adverse sleep behaviors such as difficulty falling asleep, impaired sleep maintenance, and reduced daytime functioning, and were influenced by factors including health insurance coverage, treatment modalities, and disease knowledge. Overall comorbidity was primarily associated with health insurance status and disease knowledge. Additionally, a significant association was found between psychological distress and sleep disturbances, and sleep disturbances served as an independent predictor of psychological distress. The key influencing factors identified in this phase of the study provide guidance for selecting intervention targets in the design of the next phase.</w:t>
      </w:r>
    </w:p>
    <w:p w14:paraId="76DD52CE">
      <w:pPr>
        <w:spacing w:before="120" w:after="120"/>
        <w:rPr>
          <w:rFonts w:ascii="Times New Roman Bold" w:hAnsi="Times New Roman Bold" w:cs="Times New Roman Bold"/>
          <w:b/>
          <w:bCs/>
          <w:sz w:val="24"/>
        </w:rPr>
      </w:pPr>
      <w:r>
        <w:rPr>
          <w:rFonts w:ascii="Times New Roman Bold" w:hAnsi="Times New Roman Bold" w:cs="Times New Roman Bold"/>
          <w:b/>
          <w:bCs/>
          <w:sz w:val="24"/>
        </w:rPr>
        <w:t>Analysis of Digital Intervention Preferences</w:t>
      </w:r>
    </w:p>
    <w:p w14:paraId="52E3D4B7">
      <w:pPr>
        <w:widowControl/>
        <w:rPr>
          <w:rFonts w:hint="eastAsia"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 xml:space="preserve">Preliminary findings on facilitating and hindering factors of digital interventions among 158 </w:t>
      </w:r>
      <w:r>
        <w:rPr>
          <w:rFonts w:hint="eastAsia" w:ascii="Times New Roman Regular" w:hAnsi="Times New Roman Regular" w:cs="Times New Roman Regular"/>
          <w:color w:val="000000"/>
          <w:sz w:val="24"/>
          <w:lang w:bidi="ar"/>
        </w:rPr>
        <w:t>adolescents</w:t>
      </w:r>
      <w:r>
        <w:rPr>
          <w:rFonts w:ascii="Times New Roman Regular" w:hAnsi="Times New Roman Regular" w:cs="Times New Roman Regular"/>
          <w:color w:val="000000"/>
          <w:sz w:val="24"/>
          <w:lang w:bidi="ar"/>
        </w:rPr>
        <w:t xml:space="preserve"> and young adults with gynecologic cancer patients showed most (77.21%) recognized psychology’s impact on recovery, though over 70% were unfamiliar with online psychological services; 39.88% were willing to use such services and 37.97% neutral, with primary barriers including service credibility (39.87%), privacy concerns (32.38%) and cost (31.65%). Patients preferred APPs (37.97%) and online counseling (36.71%), with top content needs of emotion management (58.86%), family relationship improvement (52.53%) and social skill enhancement (51.27%) and favored video content (62.03%). Qualitative findings identified clear demand-driven motivation, friendly formats, solid digital capability, and social support as facilitating factors, while insufficient accessibility, trust/privacy concerns and psychological avoidance were hindering factors.</w:t>
      </w:r>
    </w:p>
    <w:p w14:paraId="608BC924">
      <w:pPr>
        <w:spacing w:before="120" w:after="120"/>
        <w:rPr>
          <w:rFonts w:ascii="Times New Roman Bold" w:hAnsi="Times New Roman Bold" w:cs="Times New Roman Bold"/>
          <w:b/>
          <w:bCs/>
          <w:sz w:val="24"/>
        </w:rPr>
      </w:pPr>
      <w:r>
        <w:rPr>
          <w:rFonts w:hint="eastAsia" w:ascii="Times New Roman Bold" w:hAnsi="Times New Roman Bold" w:cs="Times New Roman Bold"/>
          <w:b/>
          <w:bCs/>
          <w:sz w:val="24"/>
        </w:rPr>
        <w:t>Literature Review</w:t>
      </w:r>
    </w:p>
    <w:p w14:paraId="5FB6A0B1">
      <w:pPr>
        <w:widowControl/>
        <w:rPr>
          <w:rFonts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 xml:space="preserve">A review of the existing literature reveals that </w:t>
      </w:r>
      <w:r>
        <w:rPr>
          <w:rFonts w:ascii="Times New Roman Regular" w:hAnsi="Times New Roman Regular" w:cs="Times New Roman Regular"/>
          <w:color w:val="000000"/>
          <w:sz w:val="24"/>
          <w:lang w:val="en-US" w:bidi="ar"/>
        </w:rPr>
        <w:t>sleep disturbance</w:t>
      </w:r>
      <w:r>
        <w:rPr>
          <w:rFonts w:ascii="Times New Roman Regular" w:hAnsi="Times New Roman Regular" w:cs="Times New Roman Regular"/>
          <w:color w:val="000000"/>
          <w:sz w:val="24"/>
          <w:lang w:bidi="ar"/>
        </w:rPr>
        <w:t xml:space="preserve"> are closely associated with psychological well-being. Digital micro-interventions based on CBT, mindfulness, and informational support strategies have demonstrated some effectiveness in improving psychological outcomes and have also shown positive effects on sleep in some studies. However, current research still has the following limitations: study participants are primarily drawn from the general population, with a lack of intervention studies targeting specific clinical groups such as cancer patients; intervention content often focuses on single psychological techniques, resulting in insufficient integration of mind and body; the level of personalization is limited, with most interventions lacking dynamic adjustment mechanisms based on individual status; intervention effects are primarily short-term, with insufficient long-term maintenance; and methodological quality varies widely, with few high-quality randomized controlled trials. In summary, this section provides a reference for the selection of intervention events and intervention design in the development of future research protocols.</w:t>
      </w:r>
    </w:p>
    <w:p w14:paraId="1B85D5FA">
      <w:pPr>
        <w:numPr>
          <w:ilvl w:val="0"/>
          <w:numId w:val="3"/>
        </w:numPr>
        <w:tabs>
          <w:tab w:val="left" w:pos="397"/>
        </w:tabs>
        <w:spacing w:before="218" w:beforeLines="70" w:line="400" w:lineRule="exact"/>
        <w:jc w:val="center"/>
        <w:rPr>
          <w:rFonts w:ascii="Times New Roman" w:hAnsi="Times New Roman"/>
          <w:color w:val="000000"/>
          <w:sz w:val="24"/>
          <w:szCs w:val="24"/>
        </w:rPr>
      </w:pPr>
      <w:r>
        <w:rPr>
          <w:rFonts w:ascii="Times New Roman" w:hAnsi="Times New Roman" w:eastAsia="KaiTi"/>
          <w:color w:val="000000"/>
        </w:rPr>
        <w:t>Extracted intervention components, theoretical frameworks, and outcome indicators of the included studied（n=10）</w:t>
      </w:r>
    </w:p>
    <w:tbl>
      <w:tblPr>
        <w:tblStyle w:val="3"/>
        <w:tblW w:w="9520" w:type="dxa"/>
        <w:tblInd w:w="-601"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2095"/>
        <w:gridCol w:w="4001"/>
        <w:gridCol w:w="1484"/>
      </w:tblGrid>
      <w:tr w14:paraId="29614A7C">
        <w:trPr>
          <w:trHeight w:val="23" w:hRule="atLeast"/>
        </w:trPr>
        <w:tc>
          <w:tcPr>
            <w:tcW w:w="1940" w:type="dxa"/>
            <w:tcBorders>
              <w:top w:val="single" w:color="auto" w:sz="12" w:space="0"/>
              <w:left w:val="nil"/>
              <w:bottom w:val="single" w:color="auto" w:sz="6" w:space="0"/>
              <w:right w:val="nil"/>
            </w:tcBorders>
            <w:vAlign w:val="center"/>
          </w:tcPr>
          <w:p w14:paraId="786E8B71">
            <w:pPr>
              <w:spacing w:before="120"/>
              <w:ind w:right="57"/>
              <w:rPr>
                <w:rFonts w:ascii="Times New Roman" w:hAnsi="Times New Roman"/>
                <w:color w:val="000000"/>
              </w:rPr>
            </w:pPr>
            <w:r>
              <w:rPr>
                <w:rFonts w:ascii="Times New Roman" w:hAnsi="Times New Roman"/>
                <w:b/>
                <w:bCs/>
              </w:rPr>
              <w:t>Dimension</w:t>
            </w:r>
          </w:p>
        </w:tc>
        <w:tc>
          <w:tcPr>
            <w:tcW w:w="2095" w:type="dxa"/>
            <w:tcBorders>
              <w:top w:val="single" w:color="auto" w:sz="12" w:space="0"/>
              <w:left w:val="nil"/>
              <w:bottom w:val="single" w:color="auto" w:sz="6" w:space="0"/>
              <w:right w:val="nil"/>
            </w:tcBorders>
            <w:vAlign w:val="center"/>
          </w:tcPr>
          <w:p w14:paraId="43E87406">
            <w:pPr>
              <w:spacing w:before="120"/>
              <w:ind w:right="57"/>
              <w:rPr>
                <w:rFonts w:ascii="Times New Roman" w:hAnsi="Times New Roman"/>
                <w:color w:val="000000"/>
              </w:rPr>
            </w:pPr>
            <w:r>
              <w:rPr>
                <w:rFonts w:ascii="Times New Roman" w:hAnsi="Times New Roman"/>
                <w:b/>
                <w:bCs/>
              </w:rPr>
              <w:t>Category</w:t>
            </w:r>
          </w:p>
        </w:tc>
        <w:tc>
          <w:tcPr>
            <w:tcW w:w="4001" w:type="dxa"/>
            <w:tcBorders>
              <w:top w:val="single" w:color="auto" w:sz="12" w:space="0"/>
              <w:left w:val="nil"/>
              <w:bottom w:val="single" w:color="auto" w:sz="6" w:space="0"/>
              <w:right w:val="nil"/>
            </w:tcBorders>
            <w:vAlign w:val="center"/>
          </w:tcPr>
          <w:p w14:paraId="47B7DB54">
            <w:pPr>
              <w:spacing w:before="120"/>
              <w:ind w:right="57"/>
              <w:rPr>
                <w:rFonts w:ascii="Times New Roman" w:hAnsi="Times New Roman"/>
                <w:color w:val="000000"/>
              </w:rPr>
            </w:pPr>
            <w:r>
              <w:rPr>
                <w:rFonts w:ascii="Times New Roman" w:hAnsi="Times New Roman"/>
                <w:b/>
                <w:bCs/>
              </w:rPr>
              <w:t>Specific Content</w:t>
            </w:r>
          </w:p>
        </w:tc>
        <w:tc>
          <w:tcPr>
            <w:tcW w:w="1484" w:type="dxa"/>
            <w:tcBorders>
              <w:top w:val="single" w:color="auto" w:sz="12" w:space="0"/>
              <w:left w:val="nil"/>
              <w:bottom w:val="single" w:color="auto" w:sz="6" w:space="0"/>
              <w:right w:val="nil"/>
            </w:tcBorders>
            <w:vAlign w:val="center"/>
          </w:tcPr>
          <w:p w14:paraId="7365F47D">
            <w:pPr>
              <w:spacing w:before="120"/>
              <w:ind w:right="57"/>
              <w:rPr>
                <w:rFonts w:ascii="Times New Roman" w:hAnsi="Times New Roman"/>
                <w:color w:val="000000"/>
              </w:rPr>
            </w:pPr>
            <w:r>
              <w:rPr>
                <w:rFonts w:ascii="Times New Roman" w:hAnsi="Times New Roman"/>
                <w:b/>
                <w:bCs/>
              </w:rPr>
              <w:t>Studies (n/N)</w:t>
            </w:r>
          </w:p>
        </w:tc>
      </w:tr>
      <w:tr w14:paraId="4E69E91B">
        <w:trPr>
          <w:trHeight w:val="23" w:hRule="atLeast"/>
        </w:trPr>
        <w:tc>
          <w:tcPr>
            <w:tcW w:w="1940" w:type="dxa"/>
            <w:vMerge w:val="restart"/>
            <w:tcBorders>
              <w:top w:val="single" w:color="auto" w:sz="6" w:space="0"/>
              <w:left w:val="nil"/>
              <w:right w:val="nil"/>
            </w:tcBorders>
            <w:vAlign w:val="center"/>
          </w:tcPr>
          <w:p w14:paraId="14734041">
            <w:pPr>
              <w:spacing w:before="120"/>
              <w:ind w:right="57"/>
              <w:jc w:val="left"/>
              <w:rPr>
                <w:rFonts w:ascii="Times New Roman" w:hAnsi="Times New Roman"/>
                <w:color w:val="000000"/>
              </w:rPr>
            </w:pPr>
            <w:r>
              <w:rPr>
                <w:rFonts w:ascii="Times New Roman" w:hAnsi="Times New Roman"/>
              </w:rPr>
              <w:t>Intervention components</w:t>
            </w:r>
          </w:p>
        </w:tc>
        <w:tc>
          <w:tcPr>
            <w:tcW w:w="2095" w:type="dxa"/>
            <w:tcBorders>
              <w:top w:val="single" w:color="auto" w:sz="6" w:space="0"/>
              <w:left w:val="nil"/>
              <w:bottom w:val="nil"/>
              <w:right w:val="nil"/>
            </w:tcBorders>
            <w:vAlign w:val="center"/>
          </w:tcPr>
          <w:p w14:paraId="2474C2D9">
            <w:pPr>
              <w:widowControl/>
              <w:jc w:val="left"/>
              <w:textAlignment w:val="center"/>
              <w:rPr>
                <w:rFonts w:ascii="Times New Roman" w:hAnsi="Times New Roman"/>
                <w:color w:val="000000"/>
              </w:rPr>
            </w:pPr>
            <w:r>
              <w:rPr>
                <w:rFonts w:ascii="Times New Roman" w:hAnsi="Times New Roman"/>
              </w:rPr>
              <w:t>CBT-related techniques</w:t>
            </w:r>
          </w:p>
        </w:tc>
        <w:tc>
          <w:tcPr>
            <w:tcW w:w="4001" w:type="dxa"/>
            <w:tcBorders>
              <w:top w:val="single" w:color="auto" w:sz="6" w:space="0"/>
              <w:left w:val="nil"/>
              <w:bottom w:val="nil"/>
              <w:right w:val="nil"/>
            </w:tcBorders>
            <w:vAlign w:val="center"/>
          </w:tcPr>
          <w:p w14:paraId="2E63D261">
            <w:pPr>
              <w:widowControl/>
              <w:jc w:val="left"/>
              <w:textAlignment w:val="center"/>
              <w:rPr>
                <w:rFonts w:ascii="Times New Roman" w:hAnsi="Times New Roman"/>
                <w:color w:val="000000"/>
              </w:rPr>
            </w:pPr>
            <w:r>
              <w:rPr>
                <w:rFonts w:ascii="Times New Roman" w:hAnsi="Times New Roman"/>
              </w:rPr>
              <w:t>Thought records, behavioral activation, cognitive restructuring</w:t>
            </w:r>
          </w:p>
        </w:tc>
        <w:tc>
          <w:tcPr>
            <w:tcW w:w="1484" w:type="dxa"/>
            <w:tcBorders>
              <w:top w:val="single" w:color="auto" w:sz="6" w:space="0"/>
              <w:left w:val="nil"/>
              <w:bottom w:val="nil"/>
              <w:right w:val="nil"/>
            </w:tcBorders>
            <w:vAlign w:val="center"/>
          </w:tcPr>
          <w:p w14:paraId="468A9B05">
            <w:pPr>
              <w:spacing w:before="120"/>
              <w:ind w:right="57"/>
              <w:jc w:val="left"/>
              <w:rPr>
                <w:rFonts w:ascii="Times New Roman" w:hAnsi="Times New Roman"/>
                <w:color w:val="000000"/>
              </w:rPr>
            </w:pPr>
            <w:r>
              <w:rPr>
                <w:rFonts w:ascii="Times New Roman" w:hAnsi="Times New Roman"/>
              </w:rPr>
              <w:t>4/10</w:t>
            </w:r>
          </w:p>
        </w:tc>
      </w:tr>
      <w:tr w14:paraId="38D949FA">
        <w:trPr>
          <w:trHeight w:val="23" w:hRule="atLeast"/>
        </w:trPr>
        <w:tc>
          <w:tcPr>
            <w:tcW w:w="1940" w:type="dxa"/>
            <w:vMerge w:val="continue"/>
            <w:tcBorders>
              <w:left w:val="nil"/>
              <w:right w:val="nil"/>
            </w:tcBorders>
            <w:vAlign w:val="center"/>
          </w:tcPr>
          <w:p w14:paraId="502085ED">
            <w:pPr>
              <w:spacing w:before="120"/>
              <w:ind w:right="57"/>
              <w:jc w:val="left"/>
              <w:rPr>
                <w:rFonts w:ascii="Times New Roman" w:hAnsi="Times New Roman"/>
                <w:color w:val="000000"/>
              </w:rPr>
            </w:pPr>
          </w:p>
        </w:tc>
        <w:tc>
          <w:tcPr>
            <w:tcW w:w="2095" w:type="dxa"/>
            <w:tcBorders>
              <w:top w:val="nil"/>
              <w:left w:val="nil"/>
              <w:bottom w:val="nil"/>
              <w:right w:val="nil"/>
            </w:tcBorders>
            <w:vAlign w:val="center"/>
          </w:tcPr>
          <w:p w14:paraId="0ABEBC21">
            <w:pPr>
              <w:widowControl/>
              <w:jc w:val="left"/>
              <w:textAlignment w:val="center"/>
              <w:rPr>
                <w:rFonts w:ascii="Times New Roman" w:hAnsi="Times New Roman"/>
                <w:color w:val="000000"/>
              </w:rPr>
            </w:pPr>
            <w:r>
              <w:rPr>
                <w:rFonts w:ascii="Times New Roman" w:hAnsi="Times New Roman"/>
              </w:rPr>
              <w:t>Mindfulness-oriented techniques</w:t>
            </w:r>
          </w:p>
        </w:tc>
        <w:tc>
          <w:tcPr>
            <w:tcW w:w="4001" w:type="dxa"/>
            <w:tcBorders>
              <w:top w:val="nil"/>
              <w:left w:val="nil"/>
              <w:bottom w:val="nil"/>
              <w:right w:val="nil"/>
            </w:tcBorders>
            <w:vAlign w:val="center"/>
          </w:tcPr>
          <w:p w14:paraId="5243E819">
            <w:pPr>
              <w:widowControl/>
              <w:jc w:val="left"/>
              <w:textAlignment w:val="center"/>
              <w:rPr>
                <w:rFonts w:ascii="Times New Roman" w:hAnsi="Times New Roman"/>
                <w:color w:val="000000"/>
              </w:rPr>
            </w:pPr>
            <w:r>
              <w:rPr>
                <w:rFonts w:ascii="Times New Roman" w:hAnsi="Times New Roman"/>
              </w:rPr>
              <w:t>Mindfulness training, including breathing exercises and mindfulness meditation; breathing exercises</w:t>
            </w:r>
          </w:p>
        </w:tc>
        <w:tc>
          <w:tcPr>
            <w:tcW w:w="1484" w:type="dxa"/>
            <w:tcBorders>
              <w:top w:val="nil"/>
              <w:left w:val="nil"/>
              <w:bottom w:val="nil"/>
              <w:right w:val="nil"/>
            </w:tcBorders>
            <w:vAlign w:val="center"/>
          </w:tcPr>
          <w:p w14:paraId="122BE412">
            <w:pPr>
              <w:spacing w:before="120"/>
              <w:ind w:right="57"/>
              <w:jc w:val="left"/>
              <w:rPr>
                <w:rFonts w:ascii="Times New Roman" w:hAnsi="Times New Roman"/>
                <w:color w:val="000000"/>
              </w:rPr>
            </w:pPr>
            <w:r>
              <w:rPr>
                <w:rFonts w:ascii="Times New Roman" w:hAnsi="Times New Roman"/>
              </w:rPr>
              <w:t>4/10</w:t>
            </w:r>
          </w:p>
        </w:tc>
      </w:tr>
      <w:tr w14:paraId="3851BE14">
        <w:trPr>
          <w:trHeight w:val="23" w:hRule="atLeast"/>
        </w:trPr>
        <w:tc>
          <w:tcPr>
            <w:tcW w:w="1940" w:type="dxa"/>
            <w:vMerge w:val="continue"/>
            <w:tcBorders>
              <w:left w:val="nil"/>
              <w:right w:val="nil"/>
            </w:tcBorders>
            <w:vAlign w:val="center"/>
          </w:tcPr>
          <w:p w14:paraId="02F7C195">
            <w:pPr>
              <w:spacing w:before="120"/>
              <w:ind w:right="57"/>
              <w:jc w:val="left"/>
              <w:rPr>
                <w:rFonts w:ascii="Times New Roman" w:hAnsi="Times New Roman"/>
                <w:color w:val="000000"/>
              </w:rPr>
            </w:pPr>
          </w:p>
        </w:tc>
        <w:tc>
          <w:tcPr>
            <w:tcW w:w="2095" w:type="dxa"/>
            <w:tcBorders>
              <w:top w:val="nil"/>
              <w:left w:val="nil"/>
              <w:bottom w:val="nil"/>
              <w:right w:val="nil"/>
            </w:tcBorders>
            <w:vAlign w:val="center"/>
          </w:tcPr>
          <w:p w14:paraId="75CA28B9">
            <w:pPr>
              <w:widowControl/>
              <w:jc w:val="left"/>
              <w:textAlignment w:val="center"/>
              <w:rPr>
                <w:rFonts w:ascii="Times New Roman" w:hAnsi="Times New Roman"/>
                <w:color w:val="000000"/>
              </w:rPr>
            </w:pPr>
            <w:r>
              <w:rPr>
                <w:rFonts w:ascii="Times New Roman" w:hAnsi="Times New Roman"/>
              </w:rPr>
              <w:t>Emotion-regulation techniques</w:t>
            </w:r>
          </w:p>
        </w:tc>
        <w:tc>
          <w:tcPr>
            <w:tcW w:w="4001" w:type="dxa"/>
            <w:tcBorders>
              <w:top w:val="nil"/>
              <w:left w:val="nil"/>
              <w:bottom w:val="nil"/>
              <w:right w:val="nil"/>
            </w:tcBorders>
            <w:vAlign w:val="center"/>
          </w:tcPr>
          <w:p w14:paraId="678938DE">
            <w:pPr>
              <w:widowControl/>
              <w:jc w:val="left"/>
              <w:textAlignment w:val="center"/>
              <w:rPr>
                <w:rFonts w:ascii="Times New Roman" w:hAnsi="Times New Roman"/>
                <w:color w:val="000000"/>
              </w:rPr>
            </w:pPr>
            <w:r>
              <w:rPr>
                <w:rFonts w:ascii="Times New Roman" w:hAnsi="Times New Roman"/>
              </w:rPr>
              <w:t>Gratitude exercises, emotional imagery</w:t>
            </w:r>
          </w:p>
        </w:tc>
        <w:tc>
          <w:tcPr>
            <w:tcW w:w="1484" w:type="dxa"/>
            <w:tcBorders>
              <w:top w:val="nil"/>
              <w:left w:val="nil"/>
              <w:bottom w:val="nil"/>
              <w:right w:val="nil"/>
            </w:tcBorders>
            <w:vAlign w:val="center"/>
          </w:tcPr>
          <w:p w14:paraId="16579091">
            <w:pPr>
              <w:spacing w:before="120"/>
              <w:ind w:right="57"/>
              <w:jc w:val="left"/>
              <w:rPr>
                <w:rFonts w:ascii="Times New Roman" w:hAnsi="Times New Roman"/>
                <w:color w:val="000000"/>
              </w:rPr>
            </w:pPr>
            <w:r>
              <w:rPr>
                <w:rFonts w:ascii="Times New Roman" w:hAnsi="Times New Roman"/>
              </w:rPr>
              <w:t>—</w:t>
            </w:r>
          </w:p>
        </w:tc>
      </w:tr>
      <w:tr w14:paraId="65C96034">
        <w:trPr>
          <w:trHeight w:val="23" w:hRule="atLeast"/>
        </w:trPr>
        <w:tc>
          <w:tcPr>
            <w:tcW w:w="1940" w:type="dxa"/>
            <w:vMerge w:val="continue"/>
            <w:tcBorders>
              <w:left w:val="nil"/>
              <w:bottom w:val="nil"/>
              <w:right w:val="nil"/>
            </w:tcBorders>
            <w:vAlign w:val="center"/>
          </w:tcPr>
          <w:p w14:paraId="32F5CFF8">
            <w:pPr>
              <w:spacing w:before="120"/>
              <w:ind w:right="57"/>
              <w:jc w:val="left"/>
              <w:rPr>
                <w:rFonts w:ascii="Times New Roman" w:hAnsi="Times New Roman"/>
                <w:color w:val="000000"/>
              </w:rPr>
            </w:pPr>
          </w:p>
        </w:tc>
        <w:tc>
          <w:tcPr>
            <w:tcW w:w="2095" w:type="dxa"/>
            <w:tcBorders>
              <w:top w:val="nil"/>
              <w:left w:val="nil"/>
              <w:bottom w:val="nil"/>
              <w:right w:val="nil"/>
            </w:tcBorders>
            <w:vAlign w:val="center"/>
          </w:tcPr>
          <w:p w14:paraId="1B383A9B">
            <w:pPr>
              <w:widowControl/>
              <w:jc w:val="left"/>
              <w:textAlignment w:val="center"/>
              <w:rPr>
                <w:rFonts w:ascii="Times New Roman" w:hAnsi="Times New Roman"/>
                <w:color w:val="000000"/>
                <w:kern w:val="0"/>
              </w:rPr>
            </w:pPr>
            <w:r>
              <w:rPr>
                <w:rFonts w:ascii="Times New Roman" w:hAnsi="Times New Roman"/>
              </w:rPr>
              <w:t>Other intervention techniques</w:t>
            </w:r>
          </w:p>
        </w:tc>
        <w:tc>
          <w:tcPr>
            <w:tcW w:w="4001" w:type="dxa"/>
            <w:tcBorders>
              <w:top w:val="nil"/>
              <w:left w:val="nil"/>
              <w:bottom w:val="nil"/>
              <w:right w:val="nil"/>
            </w:tcBorders>
            <w:vAlign w:val="center"/>
          </w:tcPr>
          <w:p w14:paraId="572D1A28">
            <w:pPr>
              <w:widowControl/>
              <w:jc w:val="left"/>
              <w:textAlignment w:val="center"/>
              <w:rPr>
                <w:rFonts w:ascii="Times New Roman" w:hAnsi="Times New Roman"/>
                <w:color w:val="000000"/>
                <w:kern w:val="0"/>
              </w:rPr>
            </w:pPr>
            <w:r>
              <w:rPr>
                <w:rFonts w:ascii="Times New Roman" w:hAnsi="Times New Roman"/>
              </w:rPr>
              <w:t>Psychoeducation, advice and feedback, resource provision</w:t>
            </w:r>
          </w:p>
        </w:tc>
        <w:tc>
          <w:tcPr>
            <w:tcW w:w="1484" w:type="dxa"/>
            <w:tcBorders>
              <w:top w:val="nil"/>
              <w:left w:val="nil"/>
              <w:bottom w:val="nil"/>
              <w:right w:val="nil"/>
            </w:tcBorders>
            <w:vAlign w:val="center"/>
          </w:tcPr>
          <w:p w14:paraId="7851662A">
            <w:pPr>
              <w:spacing w:before="120"/>
              <w:ind w:right="57"/>
              <w:jc w:val="left"/>
              <w:rPr>
                <w:rFonts w:ascii="Times New Roman" w:hAnsi="Times New Roman"/>
                <w:color w:val="000000"/>
              </w:rPr>
            </w:pPr>
            <w:r>
              <w:rPr>
                <w:rFonts w:ascii="Times New Roman" w:hAnsi="Times New Roman"/>
              </w:rPr>
              <w:t>3/10</w:t>
            </w:r>
          </w:p>
        </w:tc>
      </w:tr>
      <w:tr w14:paraId="353ECC32">
        <w:trPr>
          <w:trHeight w:val="23" w:hRule="atLeast"/>
        </w:trPr>
        <w:tc>
          <w:tcPr>
            <w:tcW w:w="1940" w:type="dxa"/>
            <w:vMerge w:val="restart"/>
            <w:tcBorders>
              <w:top w:val="nil"/>
              <w:left w:val="nil"/>
              <w:right w:val="nil"/>
            </w:tcBorders>
            <w:vAlign w:val="center"/>
          </w:tcPr>
          <w:p w14:paraId="797C89F9">
            <w:pPr>
              <w:spacing w:before="120"/>
              <w:ind w:right="57"/>
              <w:jc w:val="left"/>
              <w:rPr>
                <w:rFonts w:ascii="Times New Roman" w:hAnsi="Times New Roman"/>
                <w:color w:val="000000"/>
              </w:rPr>
            </w:pPr>
            <w:r>
              <w:rPr>
                <w:rFonts w:ascii="Times New Roman" w:hAnsi="Times New Roman"/>
              </w:rPr>
              <w:t>Theory/framework</w:t>
            </w:r>
          </w:p>
        </w:tc>
        <w:tc>
          <w:tcPr>
            <w:tcW w:w="2095" w:type="dxa"/>
            <w:tcBorders>
              <w:top w:val="nil"/>
              <w:left w:val="nil"/>
              <w:bottom w:val="nil"/>
              <w:right w:val="nil"/>
            </w:tcBorders>
            <w:vAlign w:val="center"/>
          </w:tcPr>
          <w:p w14:paraId="39C6028E">
            <w:pPr>
              <w:widowControl/>
              <w:jc w:val="left"/>
              <w:textAlignment w:val="center"/>
              <w:rPr>
                <w:rFonts w:ascii="Times New Roman" w:hAnsi="Times New Roman"/>
                <w:color w:val="000000"/>
              </w:rPr>
            </w:pPr>
            <w:r>
              <w:rPr>
                <w:rFonts w:ascii="Times New Roman" w:hAnsi="Times New Roman"/>
              </w:rPr>
              <w:t>No explicit theory</w:t>
            </w:r>
          </w:p>
        </w:tc>
        <w:tc>
          <w:tcPr>
            <w:tcW w:w="4001" w:type="dxa"/>
            <w:tcBorders>
              <w:top w:val="nil"/>
              <w:left w:val="nil"/>
              <w:bottom w:val="nil"/>
              <w:right w:val="nil"/>
            </w:tcBorders>
            <w:vAlign w:val="center"/>
          </w:tcPr>
          <w:p w14:paraId="7C5CC70B">
            <w:pPr>
              <w:widowControl/>
              <w:jc w:val="left"/>
              <w:textAlignment w:val="center"/>
              <w:rPr>
                <w:rFonts w:ascii="Times New Roman" w:hAnsi="Times New Roman"/>
                <w:color w:val="000000"/>
              </w:rPr>
            </w:pPr>
            <w:r>
              <w:rPr>
                <w:rFonts w:ascii="Times New Roman" w:hAnsi="Times New Roman"/>
              </w:rPr>
              <w:t>Not specified</w:t>
            </w:r>
          </w:p>
        </w:tc>
        <w:tc>
          <w:tcPr>
            <w:tcW w:w="1484" w:type="dxa"/>
            <w:tcBorders>
              <w:top w:val="nil"/>
              <w:left w:val="nil"/>
              <w:bottom w:val="nil"/>
              <w:right w:val="nil"/>
            </w:tcBorders>
            <w:vAlign w:val="center"/>
          </w:tcPr>
          <w:p w14:paraId="0E4CD973">
            <w:pPr>
              <w:spacing w:before="120"/>
              <w:ind w:right="57"/>
              <w:jc w:val="left"/>
              <w:rPr>
                <w:rFonts w:ascii="Times New Roman" w:hAnsi="Times New Roman"/>
                <w:color w:val="000000"/>
              </w:rPr>
            </w:pPr>
            <w:r>
              <w:rPr>
                <w:rFonts w:ascii="Times New Roman" w:hAnsi="Times New Roman"/>
              </w:rPr>
              <w:t>6/10</w:t>
            </w:r>
          </w:p>
        </w:tc>
      </w:tr>
      <w:tr w14:paraId="201D1544">
        <w:trPr>
          <w:trHeight w:val="23" w:hRule="atLeast"/>
        </w:trPr>
        <w:tc>
          <w:tcPr>
            <w:tcW w:w="1940" w:type="dxa"/>
            <w:vMerge w:val="continue"/>
            <w:tcBorders>
              <w:left w:val="nil"/>
              <w:right w:val="nil"/>
            </w:tcBorders>
            <w:vAlign w:val="center"/>
          </w:tcPr>
          <w:p w14:paraId="452C7594">
            <w:pPr>
              <w:spacing w:before="120"/>
              <w:ind w:right="57"/>
              <w:jc w:val="left"/>
              <w:rPr>
                <w:rFonts w:ascii="Times New Roman" w:hAnsi="Times New Roman"/>
                <w:color w:val="000000"/>
              </w:rPr>
            </w:pPr>
          </w:p>
        </w:tc>
        <w:tc>
          <w:tcPr>
            <w:tcW w:w="2095" w:type="dxa"/>
            <w:tcBorders>
              <w:top w:val="nil"/>
              <w:left w:val="nil"/>
              <w:bottom w:val="nil"/>
              <w:right w:val="nil"/>
            </w:tcBorders>
            <w:vAlign w:val="center"/>
          </w:tcPr>
          <w:p w14:paraId="55A77951">
            <w:pPr>
              <w:widowControl/>
              <w:jc w:val="left"/>
              <w:textAlignment w:val="center"/>
              <w:rPr>
                <w:rFonts w:ascii="Times New Roman" w:hAnsi="Times New Roman"/>
                <w:color w:val="000000"/>
              </w:rPr>
            </w:pPr>
            <w:r>
              <w:rPr>
                <w:rFonts w:ascii="Times New Roman" w:hAnsi="Times New Roman"/>
              </w:rPr>
              <w:t>Theory-driven interventions</w:t>
            </w:r>
          </w:p>
        </w:tc>
        <w:tc>
          <w:tcPr>
            <w:tcW w:w="4001" w:type="dxa"/>
            <w:tcBorders>
              <w:top w:val="nil"/>
              <w:left w:val="nil"/>
              <w:bottom w:val="nil"/>
              <w:right w:val="nil"/>
            </w:tcBorders>
            <w:vAlign w:val="center"/>
          </w:tcPr>
          <w:p w14:paraId="14E60E5E">
            <w:pPr>
              <w:widowControl/>
              <w:jc w:val="left"/>
              <w:textAlignment w:val="center"/>
              <w:rPr>
                <w:rFonts w:ascii="Times New Roman" w:hAnsi="Times New Roman"/>
                <w:color w:val="000000"/>
              </w:rPr>
            </w:pPr>
            <w:r>
              <w:rPr>
                <w:rFonts w:ascii="Times New Roman" w:hAnsi="Times New Roman"/>
              </w:rPr>
              <w:t>Digital micro-intervention framework, Health Action Process Approach, intergenerational transmission theory</w:t>
            </w:r>
          </w:p>
        </w:tc>
        <w:tc>
          <w:tcPr>
            <w:tcW w:w="1484" w:type="dxa"/>
            <w:tcBorders>
              <w:top w:val="nil"/>
              <w:left w:val="nil"/>
              <w:bottom w:val="nil"/>
              <w:right w:val="nil"/>
            </w:tcBorders>
            <w:vAlign w:val="center"/>
          </w:tcPr>
          <w:p w14:paraId="58C1DBE0">
            <w:pPr>
              <w:spacing w:before="120"/>
              <w:ind w:right="57"/>
              <w:jc w:val="left"/>
              <w:rPr>
                <w:rFonts w:ascii="Times New Roman" w:hAnsi="Times New Roman"/>
                <w:color w:val="000000"/>
              </w:rPr>
            </w:pPr>
            <w:r>
              <w:rPr>
                <w:rFonts w:ascii="Times New Roman" w:hAnsi="Times New Roman"/>
              </w:rPr>
              <w:t>3/10</w:t>
            </w:r>
          </w:p>
        </w:tc>
      </w:tr>
      <w:tr w14:paraId="00865727">
        <w:trPr>
          <w:trHeight w:val="23" w:hRule="atLeast"/>
        </w:trPr>
        <w:tc>
          <w:tcPr>
            <w:tcW w:w="1940" w:type="dxa"/>
            <w:vMerge w:val="continue"/>
            <w:tcBorders>
              <w:left w:val="nil"/>
              <w:bottom w:val="nil"/>
              <w:right w:val="nil"/>
            </w:tcBorders>
            <w:vAlign w:val="center"/>
          </w:tcPr>
          <w:p w14:paraId="16C592F8">
            <w:pPr>
              <w:spacing w:before="120"/>
              <w:ind w:right="57"/>
              <w:jc w:val="left"/>
              <w:rPr>
                <w:rFonts w:ascii="Times New Roman" w:hAnsi="Times New Roman"/>
                <w:color w:val="000000"/>
              </w:rPr>
            </w:pPr>
          </w:p>
        </w:tc>
        <w:tc>
          <w:tcPr>
            <w:tcW w:w="2095" w:type="dxa"/>
            <w:tcBorders>
              <w:top w:val="nil"/>
              <w:left w:val="nil"/>
              <w:bottom w:val="nil"/>
              <w:right w:val="nil"/>
            </w:tcBorders>
            <w:vAlign w:val="center"/>
          </w:tcPr>
          <w:p w14:paraId="34A3EF96">
            <w:pPr>
              <w:widowControl/>
              <w:jc w:val="left"/>
              <w:textAlignment w:val="center"/>
              <w:rPr>
                <w:rFonts w:ascii="Times New Roman" w:hAnsi="Times New Roman"/>
                <w:color w:val="000000"/>
                <w:kern w:val="0"/>
              </w:rPr>
            </w:pPr>
            <w:r>
              <w:rPr>
                <w:rFonts w:ascii="Times New Roman" w:hAnsi="Times New Roman"/>
              </w:rPr>
              <w:t>Emerging framework</w:t>
            </w:r>
          </w:p>
        </w:tc>
        <w:tc>
          <w:tcPr>
            <w:tcW w:w="4001" w:type="dxa"/>
            <w:tcBorders>
              <w:top w:val="nil"/>
              <w:left w:val="nil"/>
              <w:bottom w:val="nil"/>
              <w:right w:val="nil"/>
            </w:tcBorders>
            <w:vAlign w:val="center"/>
          </w:tcPr>
          <w:p w14:paraId="102B2FE0">
            <w:pPr>
              <w:widowControl/>
              <w:jc w:val="left"/>
              <w:textAlignment w:val="center"/>
              <w:rPr>
                <w:rFonts w:ascii="Times New Roman" w:hAnsi="Times New Roman"/>
                <w:color w:val="000000"/>
                <w:kern w:val="0"/>
              </w:rPr>
            </w:pPr>
            <w:r>
              <w:rPr>
                <w:rFonts w:ascii="Times New Roman" w:hAnsi="Times New Roman"/>
              </w:rPr>
              <w:t>Just-in-time adaptive intervention framework</w:t>
            </w:r>
          </w:p>
        </w:tc>
        <w:tc>
          <w:tcPr>
            <w:tcW w:w="1484" w:type="dxa"/>
            <w:tcBorders>
              <w:top w:val="nil"/>
              <w:left w:val="nil"/>
              <w:bottom w:val="nil"/>
              <w:right w:val="nil"/>
            </w:tcBorders>
            <w:vAlign w:val="center"/>
          </w:tcPr>
          <w:p w14:paraId="63D86ACE">
            <w:pPr>
              <w:spacing w:before="120"/>
              <w:ind w:right="57"/>
              <w:jc w:val="left"/>
              <w:rPr>
                <w:rFonts w:ascii="Times New Roman" w:hAnsi="Times New Roman"/>
                <w:color w:val="000000"/>
              </w:rPr>
            </w:pPr>
            <w:r>
              <w:rPr>
                <w:rFonts w:ascii="Times New Roman" w:hAnsi="Times New Roman"/>
              </w:rPr>
              <w:t>1/10</w:t>
            </w:r>
          </w:p>
        </w:tc>
      </w:tr>
      <w:tr w14:paraId="1B2DECE3">
        <w:trPr>
          <w:trHeight w:val="23" w:hRule="atLeast"/>
        </w:trPr>
        <w:tc>
          <w:tcPr>
            <w:tcW w:w="1940" w:type="dxa"/>
            <w:vMerge w:val="restart"/>
            <w:tcBorders>
              <w:top w:val="nil"/>
              <w:left w:val="nil"/>
              <w:bottom w:val="nil"/>
              <w:right w:val="nil"/>
            </w:tcBorders>
            <w:vAlign w:val="center"/>
          </w:tcPr>
          <w:p w14:paraId="3CCA1F60">
            <w:pPr>
              <w:spacing w:before="120"/>
              <w:ind w:right="57"/>
              <w:jc w:val="left"/>
              <w:rPr>
                <w:rFonts w:ascii="Times New Roman" w:hAnsi="Times New Roman"/>
                <w:color w:val="000000"/>
              </w:rPr>
            </w:pPr>
            <w:r>
              <w:rPr>
                <w:rFonts w:ascii="Times New Roman" w:hAnsi="Times New Roman"/>
              </w:rPr>
              <w:t>Personalization</w:t>
            </w:r>
          </w:p>
        </w:tc>
        <w:tc>
          <w:tcPr>
            <w:tcW w:w="2095" w:type="dxa"/>
            <w:tcBorders>
              <w:top w:val="nil"/>
              <w:left w:val="nil"/>
              <w:bottom w:val="nil"/>
              <w:right w:val="nil"/>
            </w:tcBorders>
            <w:vAlign w:val="center"/>
          </w:tcPr>
          <w:p w14:paraId="31228629">
            <w:pPr>
              <w:widowControl/>
              <w:jc w:val="left"/>
              <w:textAlignment w:val="center"/>
              <w:rPr>
                <w:rFonts w:ascii="Times New Roman" w:hAnsi="Times New Roman"/>
                <w:color w:val="000000"/>
              </w:rPr>
            </w:pPr>
            <w:r>
              <w:rPr>
                <w:rFonts w:ascii="Times New Roman" w:hAnsi="Times New Roman"/>
              </w:rPr>
              <w:t>Standardized intervention</w:t>
            </w:r>
          </w:p>
        </w:tc>
        <w:tc>
          <w:tcPr>
            <w:tcW w:w="4001" w:type="dxa"/>
            <w:tcBorders>
              <w:top w:val="nil"/>
              <w:left w:val="nil"/>
              <w:bottom w:val="nil"/>
              <w:right w:val="nil"/>
            </w:tcBorders>
            <w:vAlign w:val="center"/>
          </w:tcPr>
          <w:p w14:paraId="1481A17F">
            <w:pPr>
              <w:widowControl/>
              <w:jc w:val="left"/>
              <w:textAlignment w:val="center"/>
              <w:rPr>
                <w:rFonts w:ascii="Times New Roman" w:hAnsi="Times New Roman"/>
                <w:color w:val="000000"/>
              </w:rPr>
            </w:pPr>
            <w:r>
              <w:rPr>
                <w:rFonts w:ascii="Times New Roman" w:hAnsi="Times New Roman"/>
              </w:rPr>
              <w:t>Fixed intervention content</w:t>
            </w:r>
          </w:p>
        </w:tc>
        <w:tc>
          <w:tcPr>
            <w:tcW w:w="1484" w:type="dxa"/>
            <w:tcBorders>
              <w:top w:val="nil"/>
              <w:left w:val="nil"/>
              <w:bottom w:val="nil"/>
              <w:right w:val="nil"/>
            </w:tcBorders>
            <w:vAlign w:val="center"/>
          </w:tcPr>
          <w:p w14:paraId="4C1D4D5E">
            <w:pPr>
              <w:spacing w:before="120"/>
              <w:ind w:right="57"/>
              <w:jc w:val="left"/>
              <w:rPr>
                <w:rFonts w:ascii="Times New Roman" w:hAnsi="Times New Roman"/>
                <w:color w:val="000000"/>
              </w:rPr>
            </w:pPr>
            <w:r>
              <w:rPr>
                <w:rFonts w:ascii="Times New Roman" w:hAnsi="Times New Roman"/>
              </w:rPr>
              <w:t>6/10</w:t>
            </w:r>
          </w:p>
        </w:tc>
      </w:tr>
      <w:tr w14:paraId="0BB20A5E">
        <w:trPr>
          <w:trHeight w:val="23" w:hRule="atLeast"/>
        </w:trPr>
        <w:tc>
          <w:tcPr>
            <w:tcW w:w="1940" w:type="dxa"/>
            <w:vMerge w:val="continue"/>
            <w:tcBorders>
              <w:top w:val="nil"/>
              <w:left w:val="nil"/>
              <w:bottom w:val="nil"/>
              <w:right w:val="nil"/>
            </w:tcBorders>
            <w:vAlign w:val="center"/>
          </w:tcPr>
          <w:p w14:paraId="4BE57CDB">
            <w:pPr>
              <w:jc w:val="left"/>
              <w:rPr>
                <w:rFonts w:ascii="Times New Roman" w:hAnsi="Times New Roman"/>
                <w:color w:val="000000"/>
              </w:rPr>
            </w:pPr>
          </w:p>
        </w:tc>
        <w:tc>
          <w:tcPr>
            <w:tcW w:w="2095" w:type="dxa"/>
            <w:tcBorders>
              <w:top w:val="nil"/>
              <w:left w:val="nil"/>
              <w:bottom w:val="nil"/>
              <w:right w:val="nil"/>
            </w:tcBorders>
            <w:vAlign w:val="center"/>
          </w:tcPr>
          <w:p w14:paraId="3DF3C6D5">
            <w:pPr>
              <w:widowControl/>
              <w:jc w:val="left"/>
              <w:textAlignment w:val="center"/>
              <w:rPr>
                <w:rFonts w:ascii="Times New Roman" w:hAnsi="Times New Roman"/>
                <w:color w:val="000000"/>
              </w:rPr>
            </w:pPr>
            <w:r>
              <w:rPr>
                <w:rFonts w:ascii="Times New Roman" w:hAnsi="Times New Roman"/>
              </w:rPr>
              <w:t>Partially or highly personalized intervention</w:t>
            </w:r>
          </w:p>
        </w:tc>
        <w:tc>
          <w:tcPr>
            <w:tcW w:w="4001" w:type="dxa"/>
            <w:tcBorders>
              <w:top w:val="nil"/>
              <w:left w:val="nil"/>
              <w:bottom w:val="nil"/>
              <w:right w:val="nil"/>
            </w:tcBorders>
            <w:vAlign w:val="center"/>
          </w:tcPr>
          <w:p w14:paraId="4C1FBB16">
            <w:pPr>
              <w:widowControl/>
              <w:jc w:val="left"/>
              <w:textAlignment w:val="center"/>
              <w:rPr>
                <w:rFonts w:ascii="Times New Roman" w:hAnsi="Times New Roman"/>
                <w:color w:val="000000"/>
              </w:rPr>
            </w:pPr>
            <w:r>
              <w:rPr>
                <w:rFonts w:ascii="Times New Roman" w:hAnsi="Times New Roman"/>
              </w:rPr>
              <w:t>Tailored based on demographic characteristics, sleep-related features, or real-time data</w:t>
            </w:r>
          </w:p>
        </w:tc>
        <w:tc>
          <w:tcPr>
            <w:tcW w:w="1484" w:type="dxa"/>
            <w:tcBorders>
              <w:top w:val="nil"/>
              <w:left w:val="nil"/>
              <w:bottom w:val="nil"/>
              <w:right w:val="nil"/>
            </w:tcBorders>
            <w:vAlign w:val="center"/>
          </w:tcPr>
          <w:p w14:paraId="78590F6F">
            <w:pPr>
              <w:spacing w:before="120"/>
              <w:ind w:right="57"/>
              <w:jc w:val="left"/>
              <w:rPr>
                <w:rFonts w:ascii="Times New Roman" w:hAnsi="Times New Roman"/>
                <w:color w:val="000000"/>
              </w:rPr>
            </w:pPr>
            <w:r>
              <w:rPr>
                <w:rFonts w:ascii="Times New Roman" w:hAnsi="Times New Roman"/>
              </w:rPr>
              <w:t>4/10</w:t>
            </w:r>
          </w:p>
        </w:tc>
      </w:tr>
      <w:tr w14:paraId="3E462CEE">
        <w:trPr>
          <w:trHeight w:val="23" w:hRule="atLeast"/>
        </w:trPr>
        <w:tc>
          <w:tcPr>
            <w:tcW w:w="1940" w:type="dxa"/>
            <w:vMerge w:val="restart"/>
            <w:tcBorders>
              <w:top w:val="nil"/>
              <w:left w:val="nil"/>
              <w:bottom w:val="nil"/>
              <w:right w:val="nil"/>
            </w:tcBorders>
            <w:vAlign w:val="center"/>
          </w:tcPr>
          <w:p w14:paraId="484460FC">
            <w:pPr>
              <w:spacing w:before="120"/>
              <w:ind w:right="57"/>
              <w:jc w:val="left"/>
              <w:rPr>
                <w:rFonts w:ascii="Times New Roman" w:hAnsi="Times New Roman"/>
                <w:color w:val="000000"/>
              </w:rPr>
            </w:pPr>
            <w:r>
              <w:rPr>
                <w:rFonts w:ascii="Times New Roman" w:hAnsi="Times New Roman"/>
              </w:rPr>
              <w:t>Outcome indicators</w:t>
            </w:r>
          </w:p>
        </w:tc>
        <w:tc>
          <w:tcPr>
            <w:tcW w:w="2095" w:type="dxa"/>
            <w:tcBorders>
              <w:top w:val="nil"/>
              <w:left w:val="nil"/>
              <w:bottom w:val="nil"/>
              <w:right w:val="nil"/>
            </w:tcBorders>
            <w:vAlign w:val="center"/>
          </w:tcPr>
          <w:p w14:paraId="02497D2A">
            <w:pPr>
              <w:widowControl/>
              <w:jc w:val="left"/>
              <w:textAlignment w:val="center"/>
              <w:rPr>
                <w:rFonts w:ascii="Times New Roman" w:hAnsi="Times New Roman"/>
                <w:color w:val="000000"/>
                <w:kern w:val="0"/>
              </w:rPr>
            </w:pPr>
            <w:r>
              <w:rPr>
                <w:rFonts w:ascii="Times New Roman" w:hAnsi="Times New Roman"/>
              </w:rPr>
              <w:t>Sleep disturbance</w:t>
            </w:r>
          </w:p>
        </w:tc>
        <w:tc>
          <w:tcPr>
            <w:tcW w:w="4001" w:type="dxa"/>
            <w:tcBorders>
              <w:top w:val="nil"/>
              <w:left w:val="nil"/>
              <w:bottom w:val="nil"/>
              <w:right w:val="nil"/>
            </w:tcBorders>
            <w:vAlign w:val="center"/>
          </w:tcPr>
          <w:p w14:paraId="58537106">
            <w:pPr>
              <w:widowControl/>
              <w:jc w:val="left"/>
              <w:textAlignment w:val="center"/>
              <w:rPr>
                <w:rFonts w:ascii="Times New Roman" w:hAnsi="Times New Roman"/>
                <w:color w:val="000000"/>
                <w:kern w:val="0"/>
              </w:rPr>
            </w:pPr>
            <w:r>
              <w:rPr>
                <w:rFonts w:ascii="Times New Roman" w:hAnsi="Times New Roman"/>
              </w:rPr>
              <w:t>Subjective sleep quality, measured by the Pittsburgh Sleep Quality Index (PSQI)</w:t>
            </w:r>
          </w:p>
        </w:tc>
        <w:tc>
          <w:tcPr>
            <w:tcW w:w="1484" w:type="dxa"/>
            <w:tcBorders>
              <w:top w:val="nil"/>
              <w:left w:val="nil"/>
              <w:bottom w:val="nil"/>
              <w:right w:val="nil"/>
            </w:tcBorders>
            <w:vAlign w:val="center"/>
          </w:tcPr>
          <w:p w14:paraId="1423D8F0">
            <w:pPr>
              <w:spacing w:before="120"/>
              <w:ind w:right="57"/>
              <w:jc w:val="left"/>
              <w:rPr>
                <w:rFonts w:ascii="Times New Roman" w:hAnsi="Times New Roman"/>
                <w:color w:val="000000"/>
              </w:rPr>
            </w:pPr>
            <w:r>
              <w:rPr>
                <w:rFonts w:ascii="Times New Roman" w:hAnsi="Times New Roman"/>
              </w:rPr>
              <w:t>2/10</w:t>
            </w:r>
          </w:p>
        </w:tc>
      </w:tr>
      <w:tr w14:paraId="7E04B291">
        <w:trPr>
          <w:trHeight w:val="23" w:hRule="atLeast"/>
        </w:trPr>
        <w:tc>
          <w:tcPr>
            <w:tcW w:w="1940" w:type="dxa"/>
            <w:vMerge w:val="continue"/>
            <w:tcBorders>
              <w:top w:val="nil"/>
              <w:left w:val="nil"/>
              <w:bottom w:val="single" w:color="auto" w:sz="12" w:space="0"/>
              <w:right w:val="nil"/>
            </w:tcBorders>
            <w:vAlign w:val="center"/>
          </w:tcPr>
          <w:p w14:paraId="253673B7">
            <w:pPr>
              <w:jc w:val="left"/>
              <w:rPr>
                <w:rFonts w:ascii="Times New Roman" w:hAnsi="Times New Roman"/>
                <w:color w:val="000000"/>
              </w:rPr>
            </w:pPr>
          </w:p>
        </w:tc>
        <w:tc>
          <w:tcPr>
            <w:tcW w:w="2095" w:type="dxa"/>
            <w:tcBorders>
              <w:top w:val="nil"/>
              <w:left w:val="nil"/>
              <w:bottom w:val="single" w:color="auto" w:sz="12" w:space="0"/>
              <w:right w:val="nil"/>
            </w:tcBorders>
            <w:vAlign w:val="center"/>
          </w:tcPr>
          <w:p w14:paraId="3501F15F">
            <w:pPr>
              <w:widowControl/>
              <w:jc w:val="left"/>
              <w:textAlignment w:val="center"/>
              <w:rPr>
                <w:rFonts w:ascii="Times New Roman" w:hAnsi="Times New Roman"/>
                <w:color w:val="000000"/>
                <w:kern w:val="0"/>
              </w:rPr>
            </w:pPr>
            <w:r>
              <w:rPr>
                <w:rFonts w:ascii="Times New Roman" w:hAnsi="Times New Roman"/>
              </w:rPr>
              <w:t>Psychological distress</w:t>
            </w:r>
          </w:p>
        </w:tc>
        <w:tc>
          <w:tcPr>
            <w:tcW w:w="4001" w:type="dxa"/>
            <w:tcBorders>
              <w:top w:val="nil"/>
              <w:left w:val="nil"/>
              <w:bottom w:val="single" w:color="auto" w:sz="12" w:space="0"/>
              <w:right w:val="nil"/>
            </w:tcBorders>
            <w:vAlign w:val="center"/>
          </w:tcPr>
          <w:p w14:paraId="2695A4B4">
            <w:pPr>
              <w:widowControl/>
              <w:jc w:val="left"/>
              <w:textAlignment w:val="center"/>
              <w:rPr>
                <w:rFonts w:ascii="Times New Roman" w:hAnsi="Times New Roman"/>
                <w:color w:val="000000"/>
                <w:kern w:val="0"/>
              </w:rPr>
            </w:pPr>
            <w:r>
              <w:rPr>
                <w:rFonts w:ascii="Times New Roman" w:hAnsi="Times New Roman"/>
              </w:rPr>
              <w:t>Anxiety, depression, and related psychological symptoms</w:t>
            </w:r>
          </w:p>
        </w:tc>
        <w:tc>
          <w:tcPr>
            <w:tcW w:w="1484" w:type="dxa"/>
            <w:tcBorders>
              <w:top w:val="nil"/>
              <w:left w:val="nil"/>
              <w:bottom w:val="single" w:color="auto" w:sz="12" w:space="0"/>
              <w:right w:val="nil"/>
            </w:tcBorders>
            <w:vAlign w:val="center"/>
          </w:tcPr>
          <w:p w14:paraId="55DC430A">
            <w:pPr>
              <w:spacing w:before="120"/>
              <w:ind w:right="57"/>
              <w:jc w:val="left"/>
              <w:rPr>
                <w:rFonts w:ascii="Times New Roman" w:hAnsi="Times New Roman"/>
                <w:color w:val="000000"/>
              </w:rPr>
            </w:pPr>
            <w:r>
              <w:rPr>
                <w:rFonts w:ascii="Times New Roman" w:hAnsi="Times New Roman"/>
              </w:rPr>
              <w:t>8/10</w:t>
            </w:r>
          </w:p>
        </w:tc>
      </w:tr>
    </w:tbl>
    <w:p w14:paraId="40A940FF">
      <w:pPr>
        <w:spacing w:before="120" w:after="120"/>
        <w:rPr>
          <w:rFonts w:ascii="Times New Roman Bold" w:hAnsi="Times New Roman Bold" w:cs="Times New Roman Bold"/>
          <w:b/>
          <w:bCs/>
          <w:sz w:val="24"/>
        </w:rPr>
      </w:pPr>
      <w:r>
        <w:rPr>
          <w:rFonts w:ascii="Times New Roman Bold" w:hAnsi="Times New Roman Bold" w:cs="Times New Roman Bold"/>
          <w:b/>
          <w:bCs/>
          <w:sz w:val="24"/>
        </w:rPr>
        <w:t>Calibration Strategies</w:t>
      </w:r>
      <w:bookmarkStart w:id="0" w:name="_GoBack"/>
      <w:bookmarkEnd w:id="0"/>
    </w:p>
    <w:p w14:paraId="40701768">
      <w:pPr>
        <w:widowControl/>
        <w:rPr>
          <w:rFonts w:hint="eastAsia" w:ascii="Times New Roman Regular" w:hAnsi="Times New Roman Regular" w:cs="Times New Roman Regular"/>
          <w:color w:val="000000"/>
          <w:sz w:val="24"/>
          <w:lang w:bidi="ar"/>
        </w:rPr>
      </w:pPr>
      <w:r>
        <w:rPr>
          <w:rFonts w:ascii="Times New Roman Regular" w:hAnsi="Times New Roman Regular" w:cs="Times New Roman Regular"/>
          <w:color w:val="000000"/>
          <w:sz w:val="24"/>
          <w:lang w:bidi="ar"/>
        </w:rPr>
        <w:t>Existing literature shows that digital micro-interventions have mostly been validated in general or non-specific disease populations. Their core components (e.g., CBT-I, breathing exercises, mindfulness meditation) are transdiagnostic, targeting shared psychological processes (e.g., insomnia perpetuating mechanisms, negative cognition, emotional regulation) and theoretically transferable to diverse patient groups.</w:t>
      </w:r>
      <w:r>
        <w:rPr>
          <w:rFonts w:hint="eastAsia" w:ascii="Times New Roman Regular" w:hAnsi="Times New Roman Regular" w:cs="Times New Roman Regular"/>
          <w:color w:val="000000"/>
          <w:sz w:val="24"/>
          <w:lang w:bidi="ar"/>
        </w:rPr>
        <w:t xml:space="preserve"> </w:t>
      </w:r>
      <w:r>
        <w:rPr>
          <w:rFonts w:ascii="Times New Roman Regular" w:hAnsi="Times New Roman Regular" w:cs="Times New Roman Regular"/>
          <w:color w:val="000000"/>
          <w:sz w:val="24"/>
          <w:lang w:bidi="ar"/>
        </w:rPr>
        <w:t>However, the adolescents and young adults with gynecologic cancer have distinct characteristics (e.g., treatment-related symptom burden, fertility-identity conflicts, disease uncertainty, financial stress), which may compromise intervention acceptability and effectiveness. Thus, micro-interventions validated only in general populations cannot be directly applied and require targeted adaptation.</w:t>
      </w:r>
      <w:r>
        <w:rPr>
          <w:rFonts w:hint="eastAsia" w:ascii="Times New Roman Regular" w:hAnsi="Times New Roman Regular" w:cs="Times New Roman Regular"/>
          <w:color w:val="000000"/>
          <w:sz w:val="24"/>
          <w:lang w:bidi="ar"/>
        </w:rPr>
        <w:t xml:space="preserve"> </w:t>
      </w:r>
      <w:r>
        <w:rPr>
          <w:rFonts w:ascii="Times New Roman Regular" w:hAnsi="Times New Roman Regular" w:cs="Times New Roman Regular"/>
          <w:color w:val="000000"/>
          <w:sz w:val="24"/>
          <w:lang w:bidi="ar"/>
        </w:rPr>
        <w:t xml:space="preserve">Guided by literature reviews and cross-sectional </w:t>
      </w:r>
      <w:r>
        <w:rPr>
          <w:rFonts w:hint="eastAsia" w:ascii="Times New Roman Regular" w:hAnsi="Times New Roman Regular" w:cs="Times New Roman Regular"/>
          <w:color w:val="000000"/>
          <w:sz w:val="24"/>
          <w:lang w:bidi="ar"/>
        </w:rPr>
        <w:t xml:space="preserve">needs </w:t>
      </w:r>
      <w:r>
        <w:rPr>
          <w:rFonts w:ascii="Times New Roman Regular" w:hAnsi="Times New Roman Regular" w:cs="Times New Roman Regular"/>
          <w:color w:val="000000"/>
          <w:sz w:val="24"/>
          <w:lang w:bidi="ar"/>
        </w:rPr>
        <w:t>assessment, this study optimized established micro-interventions in content (integrating gynecological cancer symptom management and informational support), individualization (adjusting modules based on psychological distress and sleep disturbance feedback), and implementation procedures (accommodating patients’ treatment and nursing schedules) to enhance applicability and effectiveness in this specific group.</w:t>
      </w:r>
    </w:p>
    <w:p w14:paraId="452318CE">
      <w:pPr>
        <w:spacing w:before="120" w:after="120"/>
        <w:rPr>
          <w:rFonts w:ascii="Times New Roman Bold" w:hAnsi="Times New Roman Bold" w:cs="Times New Roman Bold"/>
          <w:b/>
          <w:bCs/>
          <w:sz w:val="24"/>
        </w:rPr>
      </w:pPr>
      <w:r>
        <w:rPr>
          <w:rFonts w:ascii="Times New Roman Bold" w:hAnsi="Times New Roman Bold" w:cs="Times New Roman Bold"/>
          <w:b/>
          <w:bCs/>
          <w:sz w:val="24"/>
        </w:rPr>
        <w:t>Development and Revis</w:t>
      </w:r>
      <w:r>
        <w:rPr>
          <w:rFonts w:hint="eastAsia" w:ascii="Times New Roman Bold" w:hAnsi="Times New Roman Bold" w:cs="Times New Roman Bold"/>
          <w:b/>
          <w:bCs/>
          <w:sz w:val="24"/>
        </w:rPr>
        <w:t>i</w:t>
      </w:r>
      <w:r>
        <w:rPr>
          <w:rFonts w:ascii="Times New Roman Bold" w:hAnsi="Times New Roman Bold" w:cs="Times New Roman Bold"/>
          <w:b/>
          <w:bCs/>
          <w:sz w:val="24"/>
        </w:rPr>
        <w:t>on</w:t>
      </w:r>
    </w:p>
    <w:p w14:paraId="6E8D59A7">
      <w:pPr>
        <w:widowControl/>
        <w:rPr>
          <w:rFonts w:ascii="Times New Roman Regular" w:hAnsi="Times New Roman Regular" w:cs="Times New Roman Regular"/>
          <w:sz w:val="24"/>
        </w:rPr>
      </w:pPr>
      <w:r>
        <w:rPr>
          <w:rFonts w:ascii="Times New Roman Regular" w:hAnsi="Times New Roman Regular" w:cs="Times New Roman Regular"/>
          <w:sz w:val="24"/>
        </w:rPr>
        <w:t xml:space="preserve">In summary, based on the results of the cross-sectional survey, a literature review, and the team’s existing qualitative research findings, we identified the needs of adolescents and young adults with gynecologic cancer, the content and implementation details of effective micro-interventions, and the digital intervention formats preferred by this group, and developed a preliminary draft of the </w:t>
      </w:r>
      <w:r>
        <w:rPr>
          <w:rFonts w:hint="default" w:ascii="Times New Roman Regular" w:hAnsi="Times New Roman Regular" w:cs="Times New Roman Regular"/>
          <w:sz w:val="24"/>
          <w:lang w:val="en-US"/>
        </w:rPr>
        <w:t>micro</w:t>
      </w:r>
      <w:r>
        <w:rPr>
          <w:rFonts w:ascii="Times New Roman Regular" w:hAnsi="Times New Roman Regular" w:cs="Times New Roman Regular"/>
          <w:sz w:val="24"/>
        </w:rPr>
        <w:t>intervention</w:t>
      </w:r>
      <w:r>
        <w:rPr>
          <w:rFonts w:hint="default" w:ascii="Times New Roman Regular" w:hAnsi="Times New Roman Regular" w:cs="Times New Roman Regular"/>
          <w:sz w:val="24"/>
          <w:lang w:val="en-US"/>
        </w:rPr>
        <w:t>s</w:t>
      </w:r>
      <w:r>
        <w:rPr>
          <w:rFonts w:ascii="Times New Roman Regular" w:hAnsi="Times New Roman Regular" w:cs="Times New Roman Regular"/>
          <w:sz w:val="24"/>
        </w:rPr>
        <w:t xml:space="preserve"> program. The micro-intervention content primarily consists of three modules: a psychological distress support package, emotional regulation, and sleep behavior regulation. The intervention combines online and offline approaches, with the online component primarily based on the WeChat mobile platform. The rationale and categories for the selection of intervention modules and micro-intervention techniques are presented in eTable 2.</w:t>
      </w:r>
    </w:p>
    <w:p w14:paraId="6E7B643C">
      <w:pPr>
        <w:widowControl/>
        <w:rPr>
          <w:rFonts w:ascii="Times New Roman Regular" w:hAnsi="Times New Roman Regular" w:cs="Times New Roman Regular"/>
          <w:sz w:val="24"/>
        </w:rPr>
      </w:pPr>
      <w:r>
        <w:rPr>
          <w:rFonts w:hint="eastAsia" w:ascii="Times New Roman Regular" w:hAnsi="Times New Roman Regular" w:cs="Times New Roman Regular"/>
          <w:sz w:val="24"/>
        </w:rPr>
        <w:t xml:space="preserve">The </w:t>
      </w:r>
      <w:r>
        <w:rPr>
          <w:rFonts w:ascii="Times New Roman Regular" w:hAnsi="Times New Roman Regular" w:cs="Times New Roman Regular"/>
          <w:sz w:val="24"/>
        </w:rPr>
        <w:t>micro</w:t>
      </w:r>
      <w:r>
        <w:rPr>
          <w:rFonts w:hint="eastAsia" w:ascii="Times New Roman Regular" w:hAnsi="Times New Roman Regular" w:cs="Times New Roman Regular"/>
          <w:sz w:val="24"/>
        </w:rPr>
        <w:t>intervention</w:t>
      </w:r>
      <w:r>
        <w:rPr>
          <w:rFonts w:ascii="Times New Roman Regular" w:hAnsi="Times New Roman Regular" w:cs="Times New Roman Regular"/>
          <w:sz w:val="24"/>
        </w:rPr>
        <w:t>s</w:t>
      </w:r>
      <w:r>
        <w:rPr>
          <w:rFonts w:hint="eastAsia" w:ascii="Times New Roman Regular" w:hAnsi="Times New Roman Regular" w:cs="Times New Roman Regular"/>
          <w:sz w:val="24"/>
        </w:rPr>
        <w:t xml:space="preserve"> program was then revised through discussions with the oncology psychology research team and a Delphi expert survey, and subsequently adapted for digital implementation using existing digital platforms. Finally, the final draft was tested and refined among </w:t>
      </w:r>
      <w:r>
        <w:rPr>
          <w:rFonts w:ascii="Times New Roman Regular" w:hAnsi="Times New Roman Regular" w:cs="Times New Roman Regular"/>
          <w:sz w:val="24"/>
        </w:rPr>
        <w:t>adolescents and young adults with gynecologic cancer</w:t>
      </w:r>
      <w:r>
        <w:rPr>
          <w:rFonts w:hint="eastAsia" w:ascii="Times New Roman Regular" w:hAnsi="Times New Roman Regular" w:cs="Times New Roman Regular"/>
          <w:sz w:val="24"/>
        </w:rPr>
        <w:t xml:space="preserve"> in a clinical setting, resulting in the final version of the intervention protocol.</w:t>
      </w:r>
    </w:p>
    <w:p w14:paraId="0EC143FE">
      <w:pPr>
        <w:ind w:firstLine="480" w:firstLineChars="200"/>
        <w:rPr>
          <w:rFonts w:ascii="Times New Roman Bold" w:hAnsi="Times New Roman Bold" w:cs="Times New Roman Bold"/>
          <w:sz w:val="24"/>
        </w:rPr>
      </w:pPr>
    </w:p>
    <w:p w14:paraId="275A13DC">
      <w:pPr>
        <w:rPr>
          <w:rFonts w:ascii="Times New Roman Bold" w:hAnsi="Times New Roman Bold" w:cs="Times New Roman Bold"/>
          <w:sz w:val="24"/>
        </w:rPr>
        <w:sectPr>
          <w:pgSz w:w="11906" w:h="16838"/>
          <w:pgMar w:top="1440" w:right="1800" w:bottom="1440" w:left="1800" w:header="851" w:footer="992" w:gutter="0"/>
          <w:cols w:space="425" w:num="1"/>
          <w:docGrid w:type="lines" w:linePitch="312" w:charSpace="0"/>
        </w:sectPr>
      </w:pPr>
    </w:p>
    <w:p w14:paraId="45B89552">
      <w:pPr>
        <w:numPr>
          <w:ilvl w:val="0"/>
          <w:numId w:val="2"/>
        </w:numPr>
        <w:spacing w:line="360" w:lineRule="auto"/>
        <w:rPr>
          <w:rFonts w:ascii="Times New Roman Bold" w:hAnsi="Times New Roman Bold" w:cs="Times New Roman Bold"/>
          <w:b/>
          <w:bCs/>
          <w:sz w:val="24"/>
        </w:rPr>
      </w:pPr>
      <w:r>
        <w:rPr>
          <w:rFonts w:hint="eastAsia" w:ascii="Times New Roman Bold" w:hAnsi="Times New Roman Bold" w:cs="Times New Roman Bold"/>
          <w:b/>
          <w:bCs/>
          <w:sz w:val="24"/>
        </w:rPr>
        <w:t>Intervention Modules and Categories of Digital Microinterventions</w:t>
      </w:r>
    </w:p>
    <w:p w14:paraId="55453FAF">
      <w:pPr>
        <w:numPr>
          <w:ilvl w:val="0"/>
          <w:numId w:val="3"/>
        </w:numPr>
        <w:tabs>
          <w:tab w:val="left" w:pos="420"/>
        </w:tabs>
        <w:spacing w:before="218" w:beforeLines="70" w:line="400" w:lineRule="exact"/>
        <w:jc w:val="center"/>
        <w:rPr>
          <w:rFonts w:ascii="Times New Roman" w:hAnsi="Times New Roman" w:eastAsia="KaiTi"/>
          <w:color w:val="000000"/>
        </w:rPr>
      </w:pPr>
      <w:r>
        <w:rPr>
          <w:rFonts w:ascii="Times New Roman" w:hAnsi="Times New Roman" w:eastAsia="KaiTi"/>
          <w:color w:val="000000"/>
        </w:rPr>
        <w:t>I</w:t>
      </w:r>
      <w:r>
        <w:rPr>
          <w:rFonts w:hint="eastAsia" w:ascii="Times New Roman" w:hAnsi="Times New Roman" w:eastAsia="KaiTi"/>
          <w:color w:val="000000"/>
        </w:rPr>
        <w:t>ntervention Modules and Categories of Digital Micro</w:t>
      </w:r>
      <w:r>
        <w:rPr>
          <w:rFonts w:ascii="Times New Roman" w:hAnsi="Times New Roman" w:eastAsia="KaiTi"/>
          <w:color w:val="000000"/>
        </w:rPr>
        <w:t>i</w:t>
      </w:r>
      <w:r>
        <w:rPr>
          <w:rFonts w:hint="eastAsia" w:ascii="Times New Roman" w:hAnsi="Times New Roman" w:eastAsia="KaiTi"/>
          <w:color w:val="000000"/>
        </w:rPr>
        <w:t>nterventions</w:t>
      </w:r>
    </w:p>
    <w:tbl>
      <w:tblPr>
        <w:tblStyle w:val="3"/>
        <w:tblW w:w="15339" w:type="dxa"/>
        <w:tblInd w:w="-675" w:type="dxa"/>
        <w:tblBorders>
          <w:top w:val="single" w:color="000000" w:sz="4" w:space="0"/>
          <w:left w:val="none" w:color="auto" w:sz="0" w:space="0"/>
          <w:bottom w:val="single" w:color="000000"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2676"/>
        <w:gridCol w:w="2399"/>
        <w:gridCol w:w="3045"/>
        <w:gridCol w:w="3061"/>
        <w:gridCol w:w="2175"/>
      </w:tblGrid>
      <w:tr w14:paraId="7841E8AF">
        <w:trPr>
          <w:trHeight w:val="682" w:hRule="atLeast"/>
          <w:tblHeader/>
        </w:trPr>
        <w:tc>
          <w:tcPr>
            <w:tcW w:w="1983" w:type="dxa"/>
            <w:tcBorders>
              <w:top w:val="single" w:color="auto" w:sz="12" w:space="0"/>
              <w:left w:val="nil"/>
              <w:bottom w:val="single" w:color="auto" w:sz="6" w:space="0"/>
              <w:right w:val="nil"/>
              <w:tl2br w:val="nil"/>
            </w:tcBorders>
            <w:shd w:val="clear" w:color="auto" w:fill="FFFFFF"/>
            <w:vAlign w:val="center"/>
          </w:tcPr>
          <w:p w14:paraId="5CA8EEB2">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3P Model Domain</w:t>
            </w:r>
          </w:p>
        </w:tc>
        <w:tc>
          <w:tcPr>
            <w:tcW w:w="2676" w:type="dxa"/>
            <w:tcBorders>
              <w:top w:val="single" w:color="auto" w:sz="12" w:space="0"/>
              <w:left w:val="nil"/>
              <w:bottom w:val="single" w:color="auto" w:sz="6" w:space="0"/>
              <w:right w:val="nil"/>
            </w:tcBorders>
            <w:shd w:val="clear" w:color="auto" w:fill="FFFFFF"/>
            <w:vAlign w:val="center"/>
          </w:tcPr>
          <w:p w14:paraId="57D9FF80">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Characteristics / Factors</w:t>
            </w:r>
          </w:p>
        </w:tc>
        <w:tc>
          <w:tcPr>
            <w:tcW w:w="2399" w:type="dxa"/>
            <w:tcBorders>
              <w:top w:val="single" w:color="auto" w:sz="12" w:space="0"/>
              <w:left w:val="nil"/>
              <w:bottom w:val="single" w:color="auto" w:sz="6" w:space="0"/>
              <w:right w:val="nil"/>
            </w:tcBorders>
            <w:shd w:val="clear" w:color="auto" w:fill="FFFFFF"/>
            <w:vAlign w:val="center"/>
          </w:tcPr>
          <w:p w14:paraId="612BAD5C">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Intervention Module</w:t>
            </w:r>
          </w:p>
        </w:tc>
        <w:tc>
          <w:tcPr>
            <w:tcW w:w="3045" w:type="dxa"/>
            <w:tcBorders>
              <w:top w:val="single" w:color="auto" w:sz="12" w:space="0"/>
              <w:left w:val="nil"/>
              <w:bottom w:val="single" w:color="auto" w:sz="6" w:space="0"/>
              <w:right w:val="nil"/>
            </w:tcBorders>
            <w:shd w:val="clear" w:color="auto" w:fill="FFFFFF"/>
            <w:vAlign w:val="center"/>
          </w:tcPr>
          <w:p w14:paraId="63A696C9">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Intervention Components (Microintervention Techniques)</w:t>
            </w:r>
          </w:p>
        </w:tc>
        <w:tc>
          <w:tcPr>
            <w:tcW w:w="3061" w:type="dxa"/>
            <w:tcBorders>
              <w:top w:val="single" w:color="auto" w:sz="12" w:space="0"/>
              <w:left w:val="nil"/>
              <w:bottom w:val="single" w:color="auto" w:sz="6" w:space="0"/>
              <w:right w:val="nil"/>
            </w:tcBorders>
            <w:shd w:val="clear" w:color="auto" w:fill="FFFFFF"/>
            <w:vAlign w:val="center"/>
          </w:tcPr>
          <w:p w14:paraId="08F37A3C">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Delivery Format</w:t>
            </w:r>
          </w:p>
        </w:tc>
        <w:tc>
          <w:tcPr>
            <w:tcW w:w="2175" w:type="dxa"/>
            <w:tcBorders>
              <w:top w:val="single" w:color="auto" w:sz="12" w:space="0"/>
              <w:left w:val="nil"/>
              <w:bottom w:val="single" w:color="auto" w:sz="6" w:space="0"/>
              <w:right w:val="nil"/>
            </w:tcBorders>
            <w:shd w:val="clear" w:color="auto" w:fill="FFFFFF"/>
            <w:vAlign w:val="center"/>
          </w:tcPr>
          <w:p w14:paraId="7FA501C5">
            <w:pPr>
              <w:widowControl/>
              <w:jc w:val="center"/>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Microintervention Category</w:t>
            </w:r>
          </w:p>
        </w:tc>
      </w:tr>
      <w:tr w14:paraId="580D4480">
        <w:trPr>
          <w:trHeight w:val="992" w:hRule="atLeast"/>
        </w:trPr>
        <w:tc>
          <w:tcPr>
            <w:tcW w:w="1983" w:type="dxa"/>
            <w:tcBorders>
              <w:top w:val="single" w:color="auto" w:sz="6" w:space="0"/>
              <w:left w:val="nil"/>
              <w:bottom w:val="nil"/>
              <w:right w:val="nil"/>
            </w:tcBorders>
            <w:shd w:val="clear" w:color="auto" w:fill="FFFFFF"/>
            <w:vAlign w:val="center"/>
          </w:tcPr>
          <w:p w14:paraId="13888706">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Predisposing factors</w:t>
            </w:r>
          </w:p>
        </w:tc>
        <w:tc>
          <w:tcPr>
            <w:tcW w:w="2676" w:type="dxa"/>
            <w:tcBorders>
              <w:top w:val="single" w:color="auto" w:sz="6" w:space="0"/>
              <w:left w:val="nil"/>
              <w:bottom w:val="nil"/>
              <w:right w:val="nil"/>
            </w:tcBorders>
            <w:shd w:val="clear" w:color="auto" w:fill="FFFFFF"/>
            <w:vAlign w:val="center"/>
          </w:tcPr>
          <w:p w14:paraId="77B0B7FC">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Type of health insurance</w:t>
            </w:r>
            <w:r>
              <w:rPr>
                <w:rFonts w:hint="eastAsia" w:ascii="Times New Roman Regular" w:hAnsi="Times New Roman Regular" w:cs="Times New Roman Regular"/>
                <w:color w:val="000000"/>
                <w:kern w:val="0"/>
                <w:lang w:bidi="ar"/>
              </w:rPr>
              <w:t xml:space="preserve"> </w:t>
            </w:r>
          </w:p>
          <w:p w14:paraId="518F3156">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Financial burden</w:t>
            </w:r>
            <w:r>
              <w:rPr>
                <w:rFonts w:hint="eastAsia" w:ascii="Times New Roman Regular" w:hAnsi="Times New Roman Regular" w:cs="Times New Roman Regular"/>
                <w:color w:val="000000"/>
                <w:kern w:val="0"/>
                <w:lang w:bidi="ar"/>
              </w:rPr>
              <w:t xml:space="preserve"> </w:t>
            </w:r>
            <w:r>
              <w:rPr>
                <w:rFonts w:ascii="Times New Roman Regular" w:hAnsi="Times New Roman Regular" w:cs="Times New Roman Regular"/>
                <w:color w:val="000000"/>
                <w:kern w:val="0"/>
                <w:lang w:bidi="ar"/>
              </w:rPr>
              <w:t>Disease-related knowledge</w:t>
            </w:r>
          </w:p>
        </w:tc>
        <w:tc>
          <w:tcPr>
            <w:tcW w:w="2399" w:type="dxa"/>
            <w:tcBorders>
              <w:top w:val="single" w:color="auto" w:sz="6" w:space="0"/>
              <w:left w:val="nil"/>
              <w:bottom w:val="nil"/>
              <w:right w:val="nil"/>
            </w:tcBorders>
            <w:shd w:val="clear" w:color="auto" w:fill="FFFFFF"/>
            <w:vAlign w:val="center"/>
          </w:tcPr>
          <w:p w14:paraId="7D649491">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Psychological distress support package</w:t>
            </w:r>
          </w:p>
        </w:tc>
        <w:tc>
          <w:tcPr>
            <w:tcW w:w="3045" w:type="dxa"/>
            <w:tcBorders>
              <w:top w:val="single" w:color="auto" w:sz="6" w:space="0"/>
              <w:left w:val="nil"/>
              <w:bottom w:val="nil"/>
              <w:right w:val="nil"/>
            </w:tcBorders>
            <w:shd w:val="clear" w:color="auto" w:fill="FFFFFF"/>
            <w:vAlign w:val="center"/>
          </w:tcPr>
          <w:p w14:paraId="16A48733">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Psychological distress support package</w:t>
            </w:r>
          </w:p>
        </w:tc>
        <w:tc>
          <w:tcPr>
            <w:tcW w:w="3061" w:type="dxa"/>
            <w:tcBorders>
              <w:top w:val="single" w:color="auto" w:sz="6" w:space="0"/>
              <w:left w:val="nil"/>
              <w:bottom w:val="nil"/>
              <w:right w:val="nil"/>
            </w:tcBorders>
            <w:shd w:val="clear" w:color="auto" w:fill="FFFFFF"/>
            <w:vAlign w:val="center"/>
          </w:tcPr>
          <w:p w14:paraId="40E3610E">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Problem-solving strategies tailored to items from the distress problem checklist</w:t>
            </w:r>
          </w:p>
        </w:tc>
        <w:tc>
          <w:tcPr>
            <w:tcW w:w="2175" w:type="dxa"/>
            <w:tcBorders>
              <w:top w:val="single" w:color="auto" w:sz="6" w:space="0"/>
              <w:left w:val="nil"/>
              <w:bottom w:val="nil"/>
              <w:right w:val="nil"/>
            </w:tcBorders>
            <w:shd w:val="clear" w:color="auto" w:fill="FFFFFF"/>
            <w:vAlign w:val="center"/>
          </w:tcPr>
          <w:p w14:paraId="6E0F3265">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Informational</w:t>
            </w:r>
            <w:r>
              <w:rPr>
                <w:rFonts w:hint="eastAsia" w:ascii="Times New Roman Regular" w:hAnsi="Times New Roman Regular" w:cs="Times New Roman Regular"/>
                <w:color w:val="000000"/>
                <w:kern w:val="0"/>
                <w:lang w:bidi="ar"/>
              </w:rPr>
              <w:t xml:space="preserve"> </w:t>
            </w:r>
            <w:r>
              <w:rPr>
                <w:rFonts w:ascii="Times New Roman Regular" w:hAnsi="Times New Roman Regular" w:cs="Times New Roman Regular"/>
                <w:color w:val="000000"/>
                <w:kern w:val="0"/>
                <w:lang w:bidi="ar"/>
              </w:rPr>
              <w:t>Supportive</w:t>
            </w:r>
          </w:p>
        </w:tc>
      </w:tr>
      <w:tr w14:paraId="183BDFA7">
        <w:trPr>
          <w:trHeight w:val="1628" w:hRule="atLeast"/>
        </w:trPr>
        <w:tc>
          <w:tcPr>
            <w:tcW w:w="1983" w:type="dxa"/>
            <w:tcBorders>
              <w:top w:val="nil"/>
              <w:left w:val="nil"/>
              <w:bottom w:val="nil"/>
              <w:right w:val="nil"/>
            </w:tcBorders>
            <w:shd w:val="clear" w:color="auto" w:fill="FFFFFF"/>
            <w:vAlign w:val="center"/>
          </w:tcPr>
          <w:p w14:paraId="1009CD6D">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Precipitating factors</w:t>
            </w:r>
          </w:p>
        </w:tc>
        <w:tc>
          <w:tcPr>
            <w:tcW w:w="2676" w:type="dxa"/>
            <w:tcBorders>
              <w:top w:val="nil"/>
              <w:left w:val="nil"/>
              <w:bottom w:val="nil"/>
              <w:right w:val="nil"/>
            </w:tcBorders>
            <w:shd w:val="clear" w:color="auto" w:fill="FFFFFF"/>
            <w:vAlign w:val="center"/>
          </w:tcPr>
          <w:p w14:paraId="631A89CA">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Disease treatment</w:t>
            </w:r>
            <w:r>
              <w:rPr>
                <w:rFonts w:hint="eastAsia" w:ascii="Times New Roman Regular" w:hAnsi="Times New Roman Regular" w:cs="Times New Roman Regular"/>
                <w:color w:val="000000"/>
                <w:kern w:val="0"/>
                <w:lang w:bidi="ar"/>
              </w:rPr>
              <w:t xml:space="preserve"> </w:t>
            </w:r>
          </w:p>
          <w:p w14:paraId="0C24F742">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Physical burden</w:t>
            </w:r>
            <w:r>
              <w:rPr>
                <w:rFonts w:hint="eastAsia" w:ascii="Times New Roman Regular" w:hAnsi="Times New Roman Regular" w:cs="Times New Roman Regular"/>
                <w:color w:val="000000"/>
                <w:kern w:val="0"/>
                <w:lang w:bidi="ar"/>
              </w:rPr>
              <w:t xml:space="preserve"> </w:t>
            </w:r>
          </w:p>
          <w:p w14:paraId="012E4F89">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Acute emotional reactions</w:t>
            </w:r>
          </w:p>
        </w:tc>
        <w:tc>
          <w:tcPr>
            <w:tcW w:w="2399" w:type="dxa"/>
            <w:tcBorders>
              <w:top w:val="nil"/>
              <w:left w:val="nil"/>
              <w:bottom w:val="nil"/>
              <w:right w:val="nil"/>
            </w:tcBorders>
            <w:shd w:val="clear" w:color="auto" w:fill="FFFFFF"/>
            <w:vAlign w:val="center"/>
          </w:tcPr>
          <w:p w14:paraId="68ADE2DB">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Psychological distress support package</w:t>
            </w:r>
            <w:r>
              <w:rPr>
                <w:rFonts w:hint="eastAsia" w:ascii="Times New Roman Regular" w:hAnsi="Times New Roman Regular" w:cs="Times New Roman Regular"/>
                <w:color w:val="000000"/>
                <w:kern w:val="0"/>
                <w:lang w:bidi="ar"/>
              </w:rPr>
              <w:t xml:space="preserve"> </w:t>
            </w:r>
          </w:p>
          <w:p w14:paraId="71E4CC37">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Emotional regulation</w:t>
            </w:r>
          </w:p>
        </w:tc>
        <w:tc>
          <w:tcPr>
            <w:tcW w:w="3045" w:type="dxa"/>
            <w:tcBorders>
              <w:top w:val="nil"/>
              <w:left w:val="nil"/>
              <w:bottom w:val="nil"/>
              <w:right w:val="nil"/>
            </w:tcBorders>
            <w:shd w:val="clear" w:color="auto" w:fill="FFFFFF"/>
            <w:vAlign w:val="center"/>
          </w:tcPr>
          <w:p w14:paraId="717B4B6B">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Psychological distress support package</w:t>
            </w:r>
            <w:r>
              <w:rPr>
                <w:rFonts w:hint="eastAsia" w:ascii="Times New Roman Regular" w:hAnsi="Times New Roman Regular" w:cs="Times New Roman Regular"/>
                <w:color w:val="000000"/>
                <w:kern w:val="0"/>
                <w:lang w:bidi="ar"/>
              </w:rPr>
              <w:t xml:space="preserve"> </w:t>
            </w:r>
          </w:p>
          <w:p w14:paraId="2209483A">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Breathing training</w:t>
            </w:r>
            <w:r>
              <w:rPr>
                <w:rFonts w:hint="eastAsia" w:ascii="Times New Roman Regular" w:hAnsi="Times New Roman Regular" w:cs="Times New Roman Regular"/>
                <w:color w:val="000000"/>
                <w:kern w:val="0"/>
                <w:lang w:bidi="ar"/>
              </w:rPr>
              <w:t xml:space="preserve"> </w:t>
            </w:r>
          </w:p>
          <w:p w14:paraId="59249264">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Mindfulness meditation</w:t>
            </w:r>
            <w:r>
              <w:rPr>
                <w:rFonts w:hint="eastAsia" w:ascii="Times New Roman Regular" w:hAnsi="Times New Roman Regular" w:cs="Times New Roman Regular"/>
                <w:color w:val="000000"/>
                <w:kern w:val="0"/>
                <w:lang w:bidi="ar"/>
              </w:rPr>
              <w:t xml:space="preserve"> </w:t>
            </w:r>
          </w:p>
          <w:p w14:paraId="6B10DE71">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E</w:t>
            </w:r>
            <w:r>
              <w:rPr>
                <w:rFonts w:hint="eastAsia" w:ascii="Times New Roman Regular" w:hAnsi="Times New Roman Regular" w:cs="Times New Roman Regular"/>
                <w:color w:val="000000"/>
                <w:kern w:val="0"/>
                <w:lang w:bidi="ar"/>
              </w:rPr>
              <w:t>motion logging</w:t>
            </w:r>
          </w:p>
        </w:tc>
        <w:tc>
          <w:tcPr>
            <w:tcW w:w="3061" w:type="dxa"/>
            <w:tcBorders>
              <w:top w:val="nil"/>
              <w:left w:val="nil"/>
              <w:bottom w:val="nil"/>
              <w:right w:val="nil"/>
            </w:tcBorders>
            <w:shd w:val="clear" w:color="auto" w:fill="FFFFFF"/>
            <w:vAlign w:val="center"/>
          </w:tcPr>
          <w:p w14:paraId="01328646">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Information support combined with skill-based exercises</w:t>
            </w:r>
          </w:p>
        </w:tc>
        <w:tc>
          <w:tcPr>
            <w:tcW w:w="2175" w:type="dxa"/>
            <w:tcBorders>
              <w:top w:val="nil"/>
              <w:left w:val="nil"/>
              <w:bottom w:val="nil"/>
              <w:right w:val="nil"/>
            </w:tcBorders>
            <w:shd w:val="clear" w:color="auto" w:fill="FFFFFF"/>
            <w:vAlign w:val="center"/>
          </w:tcPr>
          <w:p w14:paraId="0A55CA3B">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Informational</w:t>
            </w:r>
            <w:r>
              <w:rPr>
                <w:rFonts w:hint="eastAsia" w:ascii="Times New Roman Regular" w:hAnsi="Times New Roman Regular" w:cs="Times New Roman Regular"/>
                <w:color w:val="000000"/>
                <w:kern w:val="0"/>
                <w:lang w:bidi="ar"/>
              </w:rPr>
              <w:t xml:space="preserve"> </w:t>
            </w:r>
            <w:r>
              <w:rPr>
                <w:rFonts w:ascii="Times New Roman Regular" w:hAnsi="Times New Roman Regular" w:cs="Times New Roman Regular"/>
                <w:color w:val="000000"/>
                <w:kern w:val="0"/>
                <w:lang w:bidi="ar"/>
              </w:rPr>
              <w:t>Symptom relief</w:t>
            </w:r>
          </w:p>
        </w:tc>
      </w:tr>
      <w:tr w14:paraId="54B7F0E5">
        <w:trPr>
          <w:trHeight w:val="1659" w:hRule="atLeast"/>
        </w:trPr>
        <w:tc>
          <w:tcPr>
            <w:tcW w:w="1983" w:type="dxa"/>
            <w:tcBorders>
              <w:top w:val="nil"/>
              <w:left w:val="nil"/>
              <w:bottom w:val="single" w:color="auto" w:sz="12" w:space="0"/>
              <w:right w:val="nil"/>
            </w:tcBorders>
            <w:shd w:val="clear" w:color="auto" w:fill="FFFFFF"/>
            <w:vAlign w:val="center"/>
          </w:tcPr>
          <w:p w14:paraId="4BFFBAB5">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bCs/>
                <w:color w:val="000000"/>
                <w:kern w:val="0"/>
                <w:lang w:bidi="ar"/>
              </w:rPr>
              <w:t>Perpetuating factors</w:t>
            </w:r>
          </w:p>
        </w:tc>
        <w:tc>
          <w:tcPr>
            <w:tcW w:w="2676" w:type="dxa"/>
            <w:tcBorders>
              <w:top w:val="nil"/>
              <w:left w:val="nil"/>
              <w:bottom w:val="single" w:color="auto" w:sz="12" w:space="0"/>
              <w:right w:val="nil"/>
            </w:tcBorders>
            <w:shd w:val="clear" w:color="auto" w:fill="FFFFFF"/>
            <w:vAlign w:val="center"/>
          </w:tcPr>
          <w:p w14:paraId="2CAA9A51">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Maladaptive sleep behaviors</w:t>
            </w:r>
            <w:r>
              <w:rPr>
                <w:rFonts w:hint="eastAsia" w:ascii="Times New Roman Regular" w:hAnsi="Times New Roman Regular" w:cs="Times New Roman Regular"/>
                <w:color w:val="000000"/>
                <w:kern w:val="0"/>
                <w:lang w:bidi="ar"/>
              </w:rPr>
              <w:t xml:space="preserve"> </w:t>
            </w:r>
          </w:p>
          <w:p w14:paraId="27EEEE84">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Persistent emotional symptoms</w:t>
            </w:r>
          </w:p>
        </w:tc>
        <w:tc>
          <w:tcPr>
            <w:tcW w:w="2399" w:type="dxa"/>
            <w:tcBorders>
              <w:top w:val="nil"/>
              <w:left w:val="nil"/>
              <w:bottom w:val="single" w:color="auto" w:sz="12" w:space="0"/>
              <w:right w:val="nil"/>
            </w:tcBorders>
            <w:shd w:val="clear" w:color="auto" w:fill="FFFFFF"/>
            <w:vAlign w:val="center"/>
          </w:tcPr>
          <w:p w14:paraId="144116AC">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Sleep behavior regulation</w:t>
            </w:r>
            <w:r>
              <w:rPr>
                <w:rFonts w:hint="eastAsia" w:ascii="Times New Roman Regular" w:hAnsi="Times New Roman Regular" w:cs="Times New Roman Regular"/>
                <w:color w:val="000000"/>
                <w:kern w:val="0"/>
                <w:lang w:bidi="ar"/>
              </w:rPr>
              <w:t xml:space="preserve"> </w:t>
            </w:r>
          </w:p>
          <w:p w14:paraId="200F7A5C">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Emotional regulation</w:t>
            </w:r>
          </w:p>
        </w:tc>
        <w:tc>
          <w:tcPr>
            <w:tcW w:w="3045" w:type="dxa"/>
            <w:tcBorders>
              <w:top w:val="nil"/>
              <w:left w:val="nil"/>
              <w:bottom w:val="single" w:color="auto" w:sz="12" w:space="0"/>
              <w:right w:val="nil"/>
            </w:tcBorders>
            <w:shd w:val="clear" w:color="auto" w:fill="FFFFFF"/>
            <w:vAlign w:val="center"/>
          </w:tcPr>
          <w:p w14:paraId="0CD5E5E7">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Cognitive Behavioral Therapy for Insomnia (CBT-I)</w:t>
            </w:r>
          </w:p>
          <w:p w14:paraId="04E19787">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Breathing training</w:t>
            </w:r>
            <w:r>
              <w:rPr>
                <w:rFonts w:hint="eastAsia" w:ascii="Times New Roman Regular" w:hAnsi="Times New Roman Regular" w:cs="Times New Roman Regular"/>
                <w:color w:val="000000"/>
                <w:kern w:val="0"/>
                <w:lang w:bidi="ar"/>
              </w:rPr>
              <w:t xml:space="preserve"> </w:t>
            </w:r>
          </w:p>
          <w:p w14:paraId="5D7EC9E4">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Mindfulness meditation</w:t>
            </w:r>
            <w:r>
              <w:rPr>
                <w:rFonts w:hint="eastAsia" w:ascii="Times New Roman Regular" w:hAnsi="Times New Roman Regular" w:cs="Times New Roman Regular"/>
                <w:color w:val="000000"/>
                <w:kern w:val="0"/>
                <w:lang w:bidi="ar"/>
              </w:rPr>
              <w:t xml:space="preserve"> </w:t>
            </w:r>
          </w:p>
          <w:p w14:paraId="64142457">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E</w:t>
            </w:r>
            <w:r>
              <w:rPr>
                <w:rFonts w:hint="eastAsia" w:ascii="Times New Roman Regular" w:hAnsi="Times New Roman Regular" w:cs="Times New Roman Regular"/>
                <w:color w:val="000000"/>
                <w:kern w:val="0"/>
                <w:lang w:bidi="ar"/>
              </w:rPr>
              <w:t>motion logging</w:t>
            </w:r>
          </w:p>
        </w:tc>
        <w:tc>
          <w:tcPr>
            <w:tcW w:w="3061" w:type="dxa"/>
            <w:tcBorders>
              <w:top w:val="nil"/>
              <w:left w:val="nil"/>
              <w:bottom w:val="single" w:color="auto" w:sz="12" w:space="0"/>
              <w:right w:val="nil"/>
            </w:tcBorders>
            <w:shd w:val="clear" w:color="auto" w:fill="FFFFFF"/>
            <w:vAlign w:val="center"/>
          </w:tcPr>
          <w:p w14:paraId="73C308C0">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Feedback based on sleep status with behavioral adjustment suggestions and skill practice</w:t>
            </w:r>
          </w:p>
        </w:tc>
        <w:tc>
          <w:tcPr>
            <w:tcW w:w="2175" w:type="dxa"/>
            <w:tcBorders>
              <w:top w:val="nil"/>
              <w:left w:val="nil"/>
              <w:bottom w:val="single" w:color="auto" w:sz="12" w:space="0"/>
              <w:right w:val="nil"/>
            </w:tcBorders>
            <w:shd w:val="clear" w:color="auto" w:fill="FFFFFF"/>
            <w:vAlign w:val="center"/>
          </w:tcPr>
          <w:p w14:paraId="1C33A437">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Feedback</w:t>
            </w:r>
            <w:r>
              <w:rPr>
                <w:rFonts w:hint="eastAsia" w:ascii="Times New Roman Regular" w:hAnsi="Times New Roman Regular" w:cs="Times New Roman Regular"/>
                <w:color w:val="000000"/>
                <w:kern w:val="0"/>
                <w:lang w:bidi="ar"/>
              </w:rPr>
              <w:t xml:space="preserve"> </w:t>
            </w:r>
            <w:r>
              <w:rPr>
                <w:rFonts w:ascii="Times New Roman Regular" w:hAnsi="Times New Roman Regular" w:cs="Times New Roman Regular"/>
                <w:color w:val="000000"/>
                <w:kern w:val="0"/>
                <w:lang w:bidi="ar"/>
              </w:rPr>
              <w:t>Educational</w:t>
            </w:r>
          </w:p>
          <w:p w14:paraId="042F8C34">
            <w:pPr>
              <w:widowControl/>
              <w:jc w:val="left"/>
              <w:textAlignment w:val="center"/>
              <w:rPr>
                <w:rFonts w:ascii="Times New Roman Regular" w:hAnsi="Times New Roman Regular" w:cs="Times New Roman Regular"/>
                <w:color w:val="000000"/>
                <w:kern w:val="0"/>
                <w:lang w:bidi="ar"/>
              </w:rPr>
            </w:pPr>
            <w:r>
              <w:rPr>
                <w:rFonts w:ascii="Times New Roman Regular" w:hAnsi="Times New Roman Regular" w:cs="Times New Roman Regular"/>
                <w:color w:val="000000"/>
                <w:kern w:val="0"/>
                <w:lang w:bidi="ar"/>
              </w:rPr>
              <w:t>Behavioral activation</w:t>
            </w:r>
          </w:p>
          <w:p w14:paraId="2F225F8A">
            <w:pPr>
              <w:widowControl/>
              <w:jc w:val="left"/>
              <w:textAlignment w:val="center"/>
              <w:rPr>
                <w:rFonts w:ascii="Times New Roman Regular" w:hAnsi="Times New Roman Regular" w:cs="Times New Roman Regular"/>
                <w:color w:val="000000"/>
              </w:rPr>
            </w:pPr>
            <w:r>
              <w:rPr>
                <w:rFonts w:ascii="Times New Roman Regular" w:hAnsi="Times New Roman Regular" w:cs="Times New Roman Regular"/>
                <w:color w:val="000000"/>
                <w:kern w:val="0"/>
                <w:lang w:bidi="ar"/>
              </w:rPr>
              <w:t>Symptom relief</w:t>
            </w:r>
          </w:p>
        </w:tc>
      </w:tr>
    </w:tbl>
    <w:p w14:paraId="2FA17123">
      <w:pPr>
        <w:rPr>
          <w:rFonts w:ascii="Times New Roman Regular" w:hAnsi="Times New Roman Regular" w:cs="Times New Roman Regular"/>
          <w:sz w:val="24"/>
        </w:rPr>
        <w:sectPr>
          <w:pgSz w:w="16838" w:h="11906" w:orient="landscape"/>
          <w:pgMar w:top="1800" w:right="1440" w:bottom="1800" w:left="1440" w:header="851" w:footer="992" w:gutter="0"/>
          <w:cols w:space="425" w:num="1"/>
          <w:docGrid w:type="lines" w:linePitch="312" w:charSpace="0"/>
        </w:sectPr>
      </w:pPr>
    </w:p>
    <w:p w14:paraId="159ACFB9">
      <w:pPr>
        <w:numPr>
          <w:ilvl w:val="0"/>
          <w:numId w:val="2"/>
        </w:numPr>
        <w:spacing w:after="312" w:afterLines="100" w:line="360" w:lineRule="auto"/>
        <w:rPr>
          <w:rFonts w:ascii="Times New Roman Bold" w:hAnsi="Times New Roman Bold" w:cs="Times New Roman Bold"/>
          <w:b/>
          <w:bCs/>
          <w:sz w:val="24"/>
        </w:rPr>
      </w:pPr>
      <w:r>
        <w:rPr>
          <w:rFonts w:ascii="Times New Roman Bold" w:hAnsi="Times New Roman Bold" w:cs="Times New Roman Bold"/>
          <w:b/>
          <w:bCs/>
          <w:sz w:val="24"/>
        </w:rPr>
        <w:t>Intervention example materials and screenshots</w:t>
      </w:r>
    </w:p>
    <w:tbl>
      <w:tblPr>
        <w:tblStyle w:val="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4649"/>
        <w:gridCol w:w="1982"/>
      </w:tblGrid>
      <w:tr w14:paraId="700EF5E0">
        <w:trPr>
          <w:trHeight w:val="483" w:hRule="atLeast"/>
          <w:tblHeader/>
        </w:trPr>
        <w:tc>
          <w:tcPr>
            <w:tcW w:w="2203" w:type="dxa"/>
            <w:vAlign w:val="center"/>
          </w:tcPr>
          <w:p w14:paraId="07FAAE94">
            <w:pPr>
              <w:jc w:val="center"/>
              <w:rPr>
                <w:rFonts w:ascii="Times New Roman Regular" w:hAnsi="Times New Roman Regular" w:cs="Times New Roman Regular"/>
              </w:rPr>
            </w:pPr>
            <w:r>
              <w:rPr>
                <w:rFonts w:ascii="Times New Roman Regular" w:hAnsi="Times New Roman Regular" w:cs="Times New Roman Regular"/>
              </w:rPr>
              <w:t>WeChat Official Account article</w:t>
            </w:r>
          </w:p>
        </w:tc>
        <w:tc>
          <w:tcPr>
            <w:tcW w:w="4649" w:type="dxa"/>
            <w:vAlign w:val="center"/>
          </w:tcPr>
          <w:p w14:paraId="37080616">
            <w:pPr>
              <w:jc w:val="center"/>
              <w:rPr>
                <w:rFonts w:ascii="Times New Roman Regular" w:hAnsi="Times New Roman Regular" w:cs="Times New Roman Regular"/>
              </w:rPr>
            </w:pPr>
            <w:r>
              <w:rPr>
                <w:rFonts w:ascii="Times New Roman Regular" w:hAnsi="Times New Roman Regular" w:cs="Times New Roman Regular"/>
              </w:rPr>
              <w:t>Example M</w:t>
            </w:r>
            <w:r>
              <w:rPr>
                <w:rFonts w:ascii="Times New Roman Regular" w:hAnsi="Times New Roman Regular" w:cs="Times New Roman Regular"/>
                <w:sz w:val="24"/>
              </w:rPr>
              <w:t>aterials and Screenshots</w:t>
            </w:r>
          </w:p>
        </w:tc>
        <w:tc>
          <w:tcPr>
            <w:tcW w:w="1982" w:type="dxa"/>
            <w:vAlign w:val="center"/>
          </w:tcPr>
          <w:p w14:paraId="49DE4BCE">
            <w:pPr>
              <w:jc w:val="center"/>
              <w:rPr>
                <w:rFonts w:ascii="Times New Roman Regular" w:hAnsi="Times New Roman Regular" w:cs="Times New Roman Regular"/>
              </w:rPr>
            </w:pPr>
            <w:r>
              <w:rPr>
                <w:rFonts w:ascii="Times New Roman Regular" w:hAnsi="Times New Roman Regular" w:cs="Times New Roman Regular"/>
              </w:rPr>
              <w:t>O</w:t>
            </w:r>
            <w:r>
              <w:rPr>
                <w:rFonts w:hint="eastAsia" w:ascii="Times New Roman Regular" w:hAnsi="Times New Roman Regular" w:cs="Times New Roman Regular"/>
              </w:rPr>
              <w:t xml:space="preserve">nline </w:t>
            </w:r>
            <w:r>
              <w:rPr>
                <w:rFonts w:ascii="Times New Roman Regular" w:hAnsi="Times New Roman Regular" w:cs="Times New Roman Regular"/>
              </w:rPr>
              <w:t>L</w:t>
            </w:r>
            <w:r>
              <w:rPr>
                <w:rFonts w:hint="eastAsia" w:ascii="Times New Roman Regular" w:hAnsi="Times New Roman Regular" w:cs="Times New Roman Regular"/>
              </w:rPr>
              <w:t>ink</w:t>
            </w:r>
          </w:p>
        </w:tc>
      </w:tr>
      <w:tr w14:paraId="073EED16">
        <w:tc>
          <w:tcPr>
            <w:tcW w:w="2203" w:type="dxa"/>
          </w:tcPr>
          <w:p w14:paraId="08FB7CA1">
            <w:pPr>
              <w:jc w:val="left"/>
              <w:rPr>
                <w:rFonts w:ascii="Times New Roman Regular" w:hAnsi="Times New Roman Regular" w:cs="Times New Roman Regular"/>
              </w:rPr>
            </w:pPr>
            <w:r>
              <w:rPr>
                <w:rFonts w:ascii="Times New Roman Regular" w:hAnsi="Times New Roman Regular" w:cs="Times New Roman Regular"/>
              </w:rPr>
              <w:t>The total intervention program’s introduction</w:t>
            </w:r>
          </w:p>
        </w:tc>
        <w:tc>
          <w:tcPr>
            <w:tcW w:w="4649" w:type="dxa"/>
          </w:tcPr>
          <w:p w14:paraId="32E8CF55">
            <w:pPr>
              <w:rPr>
                <w:rFonts w:ascii="Times New Roman Regular" w:hAnsi="Times New Roman Regular" w:cs="Times New Roman Regular"/>
              </w:rPr>
            </w:pPr>
            <w:r>
              <w:rPr>
                <w:rFonts w:ascii="Times New Roman Regular" w:hAnsi="Times New Roman Regular" w:cs="Times New Roman Regular"/>
              </w:rPr>
              <w:drawing>
                <wp:inline distT="0" distB="0" distL="114300" distR="114300">
                  <wp:extent cx="2823845" cy="2976245"/>
                  <wp:effectExtent l="0" t="0" r="20955" b="20955"/>
                  <wp:docPr id="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
                          <pic:cNvPicPr>
                            <a:picLocks noChangeAspect="1"/>
                          </pic:cNvPicPr>
                        </pic:nvPicPr>
                        <pic:blipFill>
                          <a:blip r:embed="rId4"/>
                          <a:stretch>
                            <a:fillRect/>
                          </a:stretch>
                        </pic:blipFill>
                        <pic:spPr>
                          <a:xfrm>
                            <a:off x="0" y="0"/>
                            <a:ext cx="2823845" cy="2976245"/>
                          </a:xfrm>
                          <a:prstGeom prst="rect">
                            <a:avLst/>
                          </a:prstGeom>
                          <a:noFill/>
                          <a:ln>
                            <a:noFill/>
                          </a:ln>
                        </pic:spPr>
                      </pic:pic>
                    </a:graphicData>
                  </a:graphic>
                </wp:inline>
              </w:drawing>
            </w:r>
          </w:p>
        </w:tc>
        <w:tc>
          <w:tcPr>
            <w:tcW w:w="1982" w:type="dxa"/>
          </w:tcPr>
          <w:p w14:paraId="2866B51D">
            <w:pPr>
              <w:rPr>
                <w:rFonts w:ascii="Times New Roman Regular" w:hAnsi="Times New Roman Regular" w:cs="Times New Roman Regular"/>
              </w:rPr>
            </w:pPr>
            <w:r>
              <w:fldChar w:fldCharType="begin"/>
            </w:r>
            <w:r>
              <w:instrText xml:space="preserve"> HYPERLINK "https://mp.weixin.qq.com/s/3jHubykhAO1O_NJvInb9Hg" </w:instrText>
            </w:r>
            <w:r>
              <w:fldChar w:fldCharType="separate"/>
            </w:r>
            <w:r>
              <w:rPr>
                <w:rStyle w:val="5"/>
                <w:rFonts w:hint="eastAsia" w:ascii="Times New Roman Regular" w:hAnsi="Times New Roman Regular" w:cs="Times New Roman Regular"/>
              </w:rPr>
              <w:t>https://mp.weixin.qq.com/s/3jHubykhAO1O_NJvInb9Hg</w:t>
            </w:r>
            <w:r>
              <w:rPr>
                <w:rStyle w:val="5"/>
                <w:rFonts w:hint="eastAsia" w:ascii="Times New Roman Regular" w:hAnsi="Times New Roman Regular" w:cs="Times New Roman Regular"/>
              </w:rPr>
              <w:fldChar w:fldCharType="end"/>
            </w:r>
            <w:r>
              <w:rPr>
                <w:rFonts w:ascii="Times New Roman Regular" w:hAnsi="Times New Roman Regular" w:cs="Times New Roman Regular"/>
              </w:rPr>
              <w:t xml:space="preserve"> </w:t>
            </w:r>
          </w:p>
        </w:tc>
      </w:tr>
      <w:tr w14:paraId="4DDDF514">
        <w:tc>
          <w:tcPr>
            <w:tcW w:w="2203" w:type="dxa"/>
          </w:tcPr>
          <w:p w14:paraId="141A066A">
            <w:pPr>
              <w:jc w:val="left"/>
              <w:rPr>
                <w:rFonts w:ascii="Times New Roman Regular" w:hAnsi="Times New Roman Regular" w:cs="Times New Roman Regular"/>
              </w:rPr>
            </w:pPr>
            <w:r>
              <w:rPr>
                <w:rFonts w:hint="eastAsia" w:ascii="Times New Roman Regular" w:hAnsi="Times New Roman Regular" w:cs="Times New Roman Regular"/>
              </w:rPr>
              <w:t xml:space="preserve">Psychological </w:t>
            </w:r>
            <w:r>
              <w:rPr>
                <w:rFonts w:ascii="Times New Roman Regular" w:hAnsi="Times New Roman Regular" w:cs="Times New Roman Regular"/>
              </w:rPr>
              <w:t>distress package module</w:t>
            </w:r>
          </w:p>
        </w:tc>
        <w:tc>
          <w:tcPr>
            <w:tcW w:w="4649" w:type="dxa"/>
          </w:tcPr>
          <w:p w14:paraId="4574C46F">
            <w:pPr>
              <w:rPr>
                <w:rFonts w:ascii="Times New Roman Regular" w:hAnsi="Times New Roman Regular" w:cs="Times New Roman Regular"/>
              </w:rPr>
            </w:pPr>
            <w:r>
              <w:drawing>
                <wp:inline distT="0" distB="0" distL="114300" distR="114300">
                  <wp:extent cx="2814320" cy="2865755"/>
                  <wp:effectExtent l="0" t="0" r="5080" b="444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5"/>
                          <a:stretch>
                            <a:fillRect/>
                          </a:stretch>
                        </pic:blipFill>
                        <pic:spPr>
                          <a:xfrm>
                            <a:off x="0" y="0"/>
                            <a:ext cx="2814320" cy="2865755"/>
                          </a:xfrm>
                          <a:prstGeom prst="rect">
                            <a:avLst/>
                          </a:prstGeom>
                          <a:noFill/>
                          <a:ln>
                            <a:noFill/>
                          </a:ln>
                        </pic:spPr>
                      </pic:pic>
                    </a:graphicData>
                  </a:graphic>
                </wp:inline>
              </w:drawing>
            </w:r>
            <w:r>
              <w:drawing>
                <wp:inline distT="0" distB="0" distL="114300" distR="114300">
                  <wp:extent cx="2814320" cy="2865755"/>
                  <wp:effectExtent l="0" t="0" r="5080" b="44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6"/>
                          <a:stretch>
                            <a:fillRect/>
                          </a:stretch>
                        </pic:blipFill>
                        <pic:spPr>
                          <a:xfrm>
                            <a:off x="0" y="0"/>
                            <a:ext cx="2814320" cy="2865755"/>
                          </a:xfrm>
                          <a:prstGeom prst="rect">
                            <a:avLst/>
                          </a:prstGeom>
                          <a:noFill/>
                          <a:ln>
                            <a:noFill/>
                          </a:ln>
                        </pic:spPr>
                      </pic:pic>
                    </a:graphicData>
                  </a:graphic>
                </wp:inline>
              </w:drawing>
            </w:r>
          </w:p>
        </w:tc>
        <w:tc>
          <w:tcPr>
            <w:tcW w:w="1982" w:type="dxa"/>
          </w:tcPr>
          <w:p w14:paraId="2BA0AB72">
            <w:pPr>
              <w:rPr>
                <w:rFonts w:ascii="Times New Roman Regular" w:hAnsi="Times New Roman Regular" w:cs="Times New Roman Regular"/>
              </w:rPr>
            </w:pPr>
            <w:r>
              <w:fldChar w:fldCharType="begin"/>
            </w:r>
            <w:r>
              <w:instrText xml:space="preserve"> HYPERLINK "https://mp.weixin.qq.com/s/ZKLcoA9EBIO3zuR-fnh9tQ" </w:instrText>
            </w:r>
            <w:r>
              <w:fldChar w:fldCharType="separate"/>
            </w:r>
            <w:r>
              <w:rPr>
                <w:rStyle w:val="5"/>
                <w:rFonts w:hint="eastAsia" w:ascii="Times New Roman Regular" w:hAnsi="Times New Roman Regular" w:cs="Times New Roman Regular"/>
              </w:rPr>
              <w:t>https://mp.weixin.qq.com/s/ZKLcoA9EBIO3zuR-fnh9tQ</w:t>
            </w:r>
            <w:r>
              <w:rPr>
                <w:rStyle w:val="5"/>
                <w:rFonts w:hint="eastAsia" w:ascii="Times New Roman Regular" w:hAnsi="Times New Roman Regular" w:cs="Times New Roman Regular"/>
              </w:rPr>
              <w:fldChar w:fldCharType="end"/>
            </w:r>
            <w:r>
              <w:rPr>
                <w:rFonts w:ascii="Times New Roman Regular" w:hAnsi="Times New Roman Regular" w:cs="Times New Roman Regular"/>
              </w:rPr>
              <w:t xml:space="preserve"> </w:t>
            </w:r>
          </w:p>
        </w:tc>
      </w:tr>
      <w:tr w14:paraId="57DF6CC8">
        <w:tc>
          <w:tcPr>
            <w:tcW w:w="2203" w:type="dxa"/>
          </w:tcPr>
          <w:p w14:paraId="570FD0BD">
            <w:pPr>
              <w:jc w:val="left"/>
              <w:rPr>
                <w:rFonts w:ascii="Times New Roman Regular" w:hAnsi="Times New Roman Regular" w:cs="Times New Roman Regular"/>
              </w:rPr>
            </w:pPr>
            <w:r>
              <w:rPr>
                <w:rFonts w:ascii="Times New Roman Regular" w:hAnsi="Times New Roman Regular" w:cs="Times New Roman Regular"/>
              </w:rPr>
              <w:t>Emotion regulation module</w:t>
            </w:r>
          </w:p>
        </w:tc>
        <w:tc>
          <w:tcPr>
            <w:tcW w:w="4649" w:type="dxa"/>
          </w:tcPr>
          <w:p w14:paraId="14C7BFA6">
            <w:pPr>
              <w:rPr>
                <w:rFonts w:ascii="Times New Roman Regular" w:hAnsi="Times New Roman Regular" w:cs="Times New Roman Regular"/>
              </w:rPr>
            </w:pPr>
            <w:r>
              <w:drawing>
                <wp:inline distT="0" distB="0" distL="114300" distR="114300">
                  <wp:extent cx="2786380" cy="3050540"/>
                  <wp:effectExtent l="0" t="0" r="7620" b="2286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
                          <a:stretch>
                            <a:fillRect/>
                          </a:stretch>
                        </pic:blipFill>
                        <pic:spPr>
                          <a:xfrm>
                            <a:off x="0" y="0"/>
                            <a:ext cx="2786380" cy="3050540"/>
                          </a:xfrm>
                          <a:prstGeom prst="rect">
                            <a:avLst/>
                          </a:prstGeom>
                          <a:noFill/>
                          <a:ln>
                            <a:noFill/>
                          </a:ln>
                        </pic:spPr>
                      </pic:pic>
                    </a:graphicData>
                  </a:graphic>
                </wp:inline>
              </w:drawing>
            </w:r>
          </w:p>
        </w:tc>
        <w:tc>
          <w:tcPr>
            <w:tcW w:w="1982" w:type="dxa"/>
          </w:tcPr>
          <w:p w14:paraId="4E1006BD">
            <w:pPr>
              <w:rPr>
                <w:rFonts w:ascii="Times New Roman Regular" w:hAnsi="Times New Roman Regular" w:cs="Times New Roman Regular"/>
              </w:rPr>
            </w:pPr>
            <w:r>
              <w:fldChar w:fldCharType="begin"/>
            </w:r>
            <w:r>
              <w:instrText xml:space="preserve"> HYPERLINK "https://mp.weixin.qq.com/s/-qzFBmstOFyTQx3jvkL5Lw" </w:instrText>
            </w:r>
            <w:r>
              <w:fldChar w:fldCharType="separate"/>
            </w:r>
            <w:r>
              <w:rPr>
                <w:rStyle w:val="5"/>
                <w:rFonts w:hint="eastAsia" w:ascii="Times New Roman Regular" w:hAnsi="Times New Roman Regular" w:cs="Times New Roman Regular"/>
              </w:rPr>
              <w:t>https://mp.weixin.qq.com/s/-qzFBmstOFyTQx3jvkL5Lw</w:t>
            </w:r>
            <w:r>
              <w:rPr>
                <w:rStyle w:val="5"/>
                <w:rFonts w:hint="eastAsia" w:ascii="Times New Roman Regular" w:hAnsi="Times New Roman Regular" w:cs="Times New Roman Regular"/>
              </w:rPr>
              <w:fldChar w:fldCharType="end"/>
            </w:r>
            <w:r>
              <w:rPr>
                <w:rFonts w:hint="eastAsia" w:ascii="Times New Roman Regular" w:hAnsi="Times New Roman Regular" w:cs="Times New Roman Regular"/>
              </w:rPr>
              <w:t xml:space="preserve"> </w:t>
            </w:r>
          </w:p>
        </w:tc>
      </w:tr>
      <w:tr w14:paraId="1C63F73C">
        <w:tc>
          <w:tcPr>
            <w:tcW w:w="2203" w:type="dxa"/>
          </w:tcPr>
          <w:p w14:paraId="315D129E">
            <w:pPr>
              <w:jc w:val="left"/>
              <w:rPr>
                <w:rFonts w:ascii="Times New Roman Regular" w:hAnsi="Times New Roman Regular" w:cs="Times New Roman Regular"/>
              </w:rPr>
            </w:pPr>
            <w:r>
              <w:rPr>
                <w:rFonts w:ascii="Times New Roman Regular" w:hAnsi="Times New Roman Regular" w:cs="Times New Roman Regular"/>
              </w:rPr>
              <w:t>Sleep behavior regulation module</w:t>
            </w:r>
          </w:p>
        </w:tc>
        <w:tc>
          <w:tcPr>
            <w:tcW w:w="4649" w:type="dxa"/>
          </w:tcPr>
          <w:p w14:paraId="5AA008B2">
            <w:pPr>
              <w:rPr>
                <w:rFonts w:ascii="Times New Roman Regular" w:hAnsi="Times New Roman Regular" w:cs="Times New Roman Regular"/>
              </w:rPr>
            </w:pPr>
            <w:r>
              <w:rPr>
                <w:rFonts w:ascii="Times New Roman Regular" w:hAnsi="Times New Roman Regular" w:cs="Times New Roman Regular"/>
              </w:rPr>
              <w:drawing>
                <wp:inline distT="0" distB="0" distL="114300" distR="114300">
                  <wp:extent cx="2830830" cy="2983230"/>
                  <wp:effectExtent l="0" t="0" r="13970" b="13970"/>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8"/>
                          <a:stretch>
                            <a:fillRect/>
                          </a:stretch>
                        </pic:blipFill>
                        <pic:spPr>
                          <a:xfrm>
                            <a:off x="0" y="0"/>
                            <a:ext cx="2830830" cy="2983230"/>
                          </a:xfrm>
                          <a:prstGeom prst="rect">
                            <a:avLst/>
                          </a:prstGeom>
                          <a:noFill/>
                          <a:ln>
                            <a:noFill/>
                          </a:ln>
                        </pic:spPr>
                      </pic:pic>
                    </a:graphicData>
                  </a:graphic>
                </wp:inline>
              </w:drawing>
            </w:r>
          </w:p>
        </w:tc>
        <w:tc>
          <w:tcPr>
            <w:tcW w:w="1982" w:type="dxa"/>
          </w:tcPr>
          <w:p w14:paraId="487A7193">
            <w:pPr>
              <w:rPr>
                <w:rFonts w:ascii="Times New Roman Regular" w:hAnsi="Times New Roman Regular" w:cs="Times New Roman Regular"/>
              </w:rPr>
            </w:pPr>
            <w:r>
              <w:fldChar w:fldCharType="begin"/>
            </w:r>
            <w:r>
              <w:instrText xml:space="preserve"> HYPERLINK "https://mp.weixin.qq.com/s/937lxmsIubJVI9rm_hxy7A" </w:instrText>
            </w:r>
            <w:r>
              <w:fldChar w:fldCharType="separate"/>
            </w:r>
            <w:r>
              <w:rPr>
                <w:rStyle w:val="5"/>
                <w:rFonts w:hint="eastAsia" w:ascii="Times New Roman Regular" w:hAnsi="Times New Roman Regular" w:cs="Times New Roman Regular"/>
              </w:rPr>
              <w:t>https://mp.weixin.qq.com/s/937lxmsIubJVI9rm_hxy7A</w:t>
            </w:r>
            <w:r>
              <w:rPr>
                <w:rStyle w:val="5"/>
                <w:rFonts w:hint="eastAsia" w:ascii="Times New Roman Regular" w:hAnsi="Times New Roman Regular" w:cs="Times New Roman Regular"/>
              </w:rPr>
              <w:fldChar w:fldCharType="end"/>
            </w:r>
            <w:r>
              <w:rPr>
                <w:rFonts w:hint="eastAsia" w:ascii="Times New Roman Regular" w:hAnsi="Times New Roman Regular" w:cs="Times New Roman Regular"/>
              </w:rPr>
              <w:t xml:space="preserve"> </w:t>
            </w:r>
          </w:p>
        </w:tc>
      </w:tr>
      <w:tr w14:paraId="54E9B598">
        <w:tc>
          <w:tcPr>
            <w:tcW w:w="2203" w:type="dxa"/>
          </w:tcPr>
          <w:p w14:paraId="421082AD">
            <w:pPr>
              <w:jc w:val="left"/>
              <w:rPr>
                <w:rFonts w:ascii="Times New Roman Regular" w:hAnsi="Times New Roman Regular" w:cs="Times New Roman Regular"/>
              </w:rPr>
            </w:pPr>
            <w:r>
              <w:rPr>
                <w:rFonts w:ascii="Times New Roman Regular" w:hAnsi="Times New Roman Regular" w:cs="Times New Roman Regular"/>
              </w:rPr>
              <w:t>Disease education (for both intervention and control group)</w:t>
            </w:r>
          </w:p>
        </w:tc>
        <w:tc>
          <w:tcPr>
            <w:tcW w:w="4649" w:type="dxa"/>
          </w:tcPr>
          <w:p w14:paraId="0E720470">
            <w:pPr>
              <w:rPr>
                <w:rFonts w:ascii="Times New Roman Regular" w:hAnsi="Times New Roman Regular" w:cs="Times New Roman Regular"/>
              </w:rPr>
            </w:pPr>
            <w:r>
              <w:drawing>
                <wp:inline distT="0" distB="0" distL="114300" distR="114300">
                  <wp:extent cx="2826385" cy="2898140"/>
                  <wp:effectExtent l="0" t="0" r="18415" b="228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2826385" cy="2898140"/>
                          </a:xfrm>
                          <a:prstGeom prst="rect">
                            <a:avLst/>
                          </a:prstGeom>
                          <a:noFill/>
                          <a:ln>
                            <a:noFill/>
                          </a:ln>
                        </pic:spPr>
                      </pic:pic>
                    </a:graphicData>
                  </a:graphic>
                </wp:inline>
              </w:drawing>
            </w:r>
          </w:p>
        </w:tc>
        <w:tc>
          <w:tcPr>
            <w:tcW w:w="1982" w:type="dxa"/>
          </w:tcPr>
          <w:p w14:paraId="4720EB25">
            <w:pPr>
              <w:rPr>
                <w:rFonts w:ascii="Times New Roman Regular" w:hAnsi="Times New Roman Regular" w:cs="Times New Roman Regular"/>
              </w:rPr>
            </w:pPr>
            <w:r>
              <w:fldChar w:fldCharType="begin"/>
            </w:r>
            <w:r>
              <w:instrText xml:space="preserve"> HYPERLINK "https://mp.weixin.qq.com/s/E0O3mqEVMje_Tiudw9KuXg" </w:instrText>
            </w:r>
            <w:r>
              <w:fldChar w:fldCharType="separate"/>
            </w:r>
            <w:r>
              <w:rPr>
                <w:rStyle w:val="5"/>
                <w:rFonts w:hint="eastAsia" w:ascii="Times New Roman Regular" w:hAnsi="Times New Roman Regular" w:cs="Times New Roman Regular"/>
              </w:rPr>
              <w:t>https://mp.weixin.qq.com/s/E0O3mqEVMje_Tiudw9KuXg</w:t>
            </w:r>
            <w:r>
              <w:rPr>
                <w:rStyle w:val="5"/>
                <w:rFonts w:hint="eastAsia" w:ascii="Times New Roman Regular" w:hAnsi="Times New Roman Regular" w:cs="Times New Roman Regular"/>
              </w:rPr>
              <w:fldChar w:fldCharType="end"/>
            </w:r>
            <w:r>
              <w:rPr>
                <w:rFonts w:ascii="Times New Roman Regular" w:hAnsi="Times New Roman Regular" w:cs="Times New Roman Regular"/>
              </w:rPr>
              <w:t xml:space="preserve"> </w:t>
            </w:r>
          </w:p>
        </w:tc>
      </w:tr>
      <w:tr w14:paraId="5B01A128">
        <w:tc>
          <w:tcPr>
            <w:tcW w:w="2203" w:type="dxa"/>
          </w:tcPr>
          <w:p w14:paraId="24E8692E">
            <w:pPr>
              <w:jc w:val="left"/>
              <w:rPr>
                <w:rFonts w:ascii="Times New Roman Regular" w:hAnsi="Times New Roman Regular" w:cs="Times New Roman Regular"/>
              </w:rPr>
            </w:pPr>
            <w:r>
              <w:rPr>
                <w:rFonts w:ascii="Times New Roman Regular" w:hAnsi="Times New Roman Regular" w:cs="Times New Roman Regular"/>
              </w:rPr>
              <w:t>Weekly sleep and emotion logging</w:t>
            </w:r>
          </w:p>
        </w:tc>
        <w:tc>
          <w:tcPr>
            <w:tcW w:w="4649" w:type="dxa"/>
          </w:tcPr>
          <w:p w14:paraId="0317BED7">
            <w:r>
              <w:drawing>
                <wp:inline distT="0" distB="0" distL="114300" distR="114300">
                  <wp:extent cx="2814320" cy="3064510"/>
                  <wp:effectExtent l="0" t="0" r="5080" b="889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0"/>
                          <a:stretch>
                            <a:fillRect/>
                          </a:stretch>
                        </pic:blipFill>
                        <pic:spPr>
                          <a:xfrm>
                            <a:off x="0" y="0"/>
                            <a:ext cx="2814320" cy="3064510"/>
                          </a:xfrm>
                          <a:prstGeom prst="rect">
                            <a:avLst/>
                          </a:prstGeom>
                          <a:noFill/>
                          <a:ln>
                            <a:noFill/>
                          </a:ln>
                        </pic:spPr>
                      </pic:pic>
                    </a:graphicData>
                  </a:graphic>
                </wp:inline>
              </w:drawing>
            </w:r>
          </w:p>
        </w:tc>
        <w:tc>
          <w:tcPr>
            <w:tcW w:w="1982" w:type="dxa"/>
          </w:tcPr>
          <w:p w14:paraId="4100E944">
            <w:pPr>
              <w:rPr>
                <w:rFonts w:ascii="Times New Roman Regular" w:hAnsi="Times New Roman Regular" w:cs="Times New Roman Regular"/>
              </w:rPr>
            </w:pPr>
            <w:r>
              <w:fldChar w:fldCharType="begin"/>
            </w:r>
            <w:r>
              <w:instrText xml:space="preserve"> HYPERLINK "https://mp.weixin.qq.com/s/nhFVNMrMlrZNABP1wTs88w" </w:instrText>
            </w:r>
            <w:r>
              <w:fldChar w:fldCharType="separate"/>
            </w:r>
            <w:r>
              <w:rPr>
                <w:rStyle w:val="5"/>
                <w:rFonts w:hint="eastAsia" w:ascii="Times New Roman Regular" w:hAnsi="Times New Roman Regular" w:cs="Times New Roman Regular"/>
              </w:rPr>
              <w:t>https://mp.weixin.qq.com/s/nhFVNMrMlrZNABP1wTs88w</w:t>
            </w:r>
            <w:r>
              <w:rPr>
                <w:rStyle w:val="5"/>
                <w:rFonts w:hint="eastAsia" w:ascii="Times New Roman Regular" w:hAnsi="Times New Roman Regular" w:cs="Times New Roman Regular"/>
              </w:rPr>
              <w:fldChar w:fldCharType="end"/>
            </w:r>
            <w:r>
              <w:rPr>
                <w:rFonts w:ascii="Times New Roman Regular" w:hAnsi="Times New Roman Regular" w:cs="Times New Roman Regular"/>
              </w:rPr>
              <w:t xml:space="preserve"> </w:t>
            </w:r>
          </w:p>
        </w:tc>
      </w:tr>
    </w:tbl>
    <w:p w14:paraId="68906900">
      <w:pPr>
        <w:rPr>
          <w:rFonts w:ascii="Times New Roman Regular" w:hAnsi="Times New Roman Regular" w:cs="Times New Roman Regular"/>
          <w:sz w:val="24"/>
        </w:rPr>
        <w:sectPr>
          <w:pgSz w:w="11906" w:h="16838"/>
          <w:pgMar w:top="1440" w:right="1800" w:bottom="1440" w:left="1800" w:header="851" w:footer="992" w:gutter="0"/>
          <w:cols w:space="425" w:num="1"/>
          <w:docGrid w:type="lines" w:linePitch="312" w:charSpace="0"/>
        </w:sectPr>
      </w:pPr>
    </w:p>
    <w:p w14:paraId="32611779">
      <w:pPr>
        <w:spacing w:line="360" w:lineRule="auto"/>
        <w:rPr>
          <w:rFonts w:ascii="Times New Roman Bold" w:hAnsi="Times New Roman Bold" w:cs="Times New Roman Bold"/>
          <w:b/>
          <w:bCs/>
          <w:sz w:val="24"/>
        </w:rPr>
      </w:pPr>
      <w:r>
        <w:rPr>
          <w:rFonts w:hint="eastAsia" w:ascii="Times New Roman Bold" w:hAnsi="Times New Roman Bold" w:cs="Times New Roman Bold"/>
          <w:b/>
          <w:bCs/>
          <w:sz w:val="24"/>
          <w:szCs w:val="24"/>
        </w:rPr>
        <w:t>e</w:t>
      </w:r>
      <w:r>
        <w:rPr>
          <w:rFonts w:ascii="Times New Roman Bold" w:hAnsi="Times New Roman Bold" w:cs="Times New Roman Bold"/>
          <w:b/>
          <w:bCs/>
          <w:sz w:val="24"/>
          <w:szCs w:val="24"/>
        </w:rPr>
        <w:t>Reference</w:t>
      </w:r>
    </w:p>
    <w:p w14:paraId="735D87DB">
      <w:pPr>
        <w:spacing w:line="360" w:lineRule="auto"/>
        <w:rPr>
          <w:rFonts w:ascii="Times New Roman Bold" w:hAnsi="Times New Roman Bold" w:cs="Times New Roman Bold"/>
          <w:b/>
          <w:bCs/>
          <w:sz w:val="24"/>
        </w:rPr>
      </w:pPr>
    </w:p>
    <w:p w14:paraId="0E5E3C66">
      <w:pPr>
        <w:pStyle w:val="9"/>
        <w:ind w:left="720" w:hanging="720"/>
      </w:pPr>
      <w:r>
        <w:rPr>
          <w:rFonts w:ascii="Times New Roman Regular" w:hAnsi="Times New Roman Regular" w:cs="Times New Roman Regular"/>
          <w:sz w:val="24"/>
        </w:rPr>
        <w:fldChar w:fldCharType="begin"/>
      </w:r>
      <w:r>
        <w:rPr>
          <w:rFonts w:ascii="Times New Roman Regular" w:hAnsi="Times New Roman Regular" w:cs="Times New Roman Regular"/>
          <w:sz w:val="24"/>
        </w:rPr>
        <w:instrText xml:space="preserve"> ADDIN EN.REFLIST </w:instrText>
      </w:r>
      <w:r>
        <w:rPr>
          <w:rFonts w:ascii="Times New Roman Regular" w:hAnsi="Times New Roman Regular" w:cs="Times New Roman Regular"/>
          <w:sz w:val="24"/>
        </w:rPr>
        <w:fldChar w:fldCharType="separate"/>
      </w:r>
      <w:r>
        <w:t>[1]</w:t>
      </w:r>
      <w:r>
        <w:tab/>
      </w:r>
      <w:r>
        <w:t>Wright C D, Tiani A G, Billingsley A L, et al. A Framework for Understanding the Role of Psychological Processes in Disease Development, Maintenance, and Treatment: The 3P-Disease Model [J]. Frontiers in Psychology 2019, 10(0): 2498.</w:t>
      </w:r>
    </w:p>
    <w:p w14:paraId="7766DADB">
      <w:pPr>
        <w:pStyle w:val="9"/>
        <w:ind w:left="720" w:hanging="720"/>
      </w:pPr>
      <w:r>
        <w:t>[2]</w:t>
      </w:r>
      <w:r>
        <w:tab/>
      </w:r>
      <w:r>
        <w:t>Baumel A, Fleming T, Schueller S M. Digital Micro Interventions for Behavioral and Mental Health Gains: Core Components and Conceptualization of Digital Micro Intervention Care [J]. Journal of Medical Internet Research 2020, 22(10): e20631.</w:t>
      </w:r>
    </w:p>
    <w:p w14:paraId="37BA7AD0">
      <w:pPr>
        <w:pStyle w:val="9"/>
        <w:ind w:left="720" w:hanging="720"/>
      </w:pPr>
      <w:r>
        <w:t>[3]</w:t>
      </w:r>
      <w:r>
        <w:tab/>
      </w:r>
      <w:r>
        <w:t>Pierce D. Problem solving therapy - use and effectiveness in general practice [J]. Aust Fam Physician, 2012, 41(9): 676-679.</w:t>
      </w:r>
    </w:p>
    <w:p w14:paraId="07190D4E">
      <w:pPr>
        <w:spacing w:line="360" w:lineRule="auto"/>
        <w:rPr>
          <w:rFonts w:ascii="Times New Roman Regular" w:hAnsi="Times New Roman Regular" w:cs="Times New Roman Regular"/>
          <w:sz w:val="24"/>
        </w:rPr>
      </w:pPr>
      <w:r>
        <w:rPr>
          <w:rFonts w:ascii="Times New Roman Regular" w:hAnsi="Times New Roman Regular" w:cs="Times New Roman Regular"/>
          <w:sz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KaiTi">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E36EF"/>
    <w:multiLevelType w:val="singleLevel"/>
    <w:tmpl w:val="FEFE36EF"/>
    <w:lvl w:ilvl="0" w:tentative="0">
      <w:start w:val="1"/>
      <w:numFmt w:val="decimal"/>
      <w:lvlText w:val="Appendix 1-S%1."/>
      <w:lvlJc w:val="left"/>
      <w:pPr>
        <w:tabs>
          <w:tab w:val="left" w:pos="420"/>
        </w:tabs>
        <w:ind w:left="425" w:hanging="425"/>
      </w:pPr>
      <w:rPr>
        <w:rFonts w:hint="default" w:ascii="Times New Roman Bold" w:hAnsi="Times New Roman Bold" w:cs="Times New Roman Bold"/>
        <w:b/>
        <w:bCs/>
        <w:sz w:val="24"/>
        <w:szCs w:val="24"/>
      </w:rPr>
    </w:lvl>
  </w:abstractNum>
  <w:abstractNum w:abstractNumId="1">
    <w:nsid w:val="3FDB9301"/>
    <w:multiLevelType w:val="singleLevel"/>
    <w:tmpl w:val="3FDB9301"/>
    <w:lvl w:ilvl="0" w:tentative="0">
      <w:start w:val="1"/>
      <w:numFmt w:val="decimal"/>
      <w:lvlText w:val="Appendix 1-S%1."/>
      <w:lvlJc w:val="left"/>
      <w:pPr>
        <w:tabs>
          <w:tab w:val="left" w:pos="420"/>
        </w:tabs>
        <w:ind w:left="425" w:hanging="425"/>
      </w:pPr>
      <w:rPr>
        <w:rFonts w:hint="default"/>
        <w:sz w:val="24"/>
        <w:szCs w:val="24"/>
      </w:rPr>
    </w:lvl>
  </w:abstractNum>
  <w:abstractNum w:abstractNumId="2">
    <w:nsid w:val="7DE10470"/>
    <w:multiLevelType w:val="multilevel"/>
    <w:tmpl w:val="7DE10470"/>
    <w:lvl w:ilvl="0" w:tentative="0">
      <w:start w:val="1"/>
      <w:numFmt w:val="decimal"/>
      <w:suff w:val="space"/>
      <w:lvlText w:val="eTable %1."/>
      <w:lvlJc w:val="left"/>
      <w:pPr>
        <w:ind w:left="454" w:hanging="454"/>
      </w:pPr>
      <w:rPr>
        <w:rFonts w:hint="default" w:ascii="Times New Roman Regular" w:hAnsi="Times New Roman Regular" w:eastAsia="KaiTi" w:cs="Times New Roman Regular"/>
        <w:b w:val="0"/>
        <w:bCs w:val="0"/>
        <w:sz w:val="21"/>
        <w:szCs w:val="21"/>
      </w:rPr>
    </w:lvl>
    <w:lvl w:ilvl="1" w:tentative="0">
      <w:start w:val="1"/>
      <w:numFmt w:val="decimal"/>
      <w:lvlText w:val="%2."/>
      <w:lvlJc w:val="left"/>
      <w:pPr>
        <w:tabs>
          <w:tab w:val="left" w:pos="1440"/>
        </w:tabs>
        <w:ind w:left="1440" w:hanging="360"/>
      </w:pPr>
      <w:rPr>
        <w:rFonts w:hint="eastAsia"/>
      </w:rPr>
    </w:lvl>
    <w:lvl w:ilvl="2" w:tentative="0">
      <w:start w:val="1"/>
      <w:numFmt w:val="decimal"/>
      <w:lvlText w:val="%3."/>
      <w:lvlJc w:val="left"/>
      <w:pPr>
        <w:tabs>
          <w:tab w:val="left" w:pos="2160"/>
        </w:tabs>
        <w:ind w:left="2160" w:hanging="360"/>
      </w:pPr>
      <w:rPr>
        <w:rFonts w:hint="eastAsia"/>
      </w:rPr>
    </w:lvl>
    <w:lvl w:ilvl="3" w:tentative="0">
      <w:start w:val="1"/>
      <w:numFmt w:val="decimal"/>
      <w:lvlText w:val="%4."/>
      <w:lvlJc w:val="left"/>
      <w:pPr>
        <w:tabs>
          <w:tab w:val="left" w:pos="2880"/>
        </w:tabs>
        <w:ind w:left="2880" w:hanging="360"/>
      </w:pPr>
      <w:rPr>
        <w:rFonts w:hint="eastAsia"/>
      </w:rPr>
    </w:lvl>
    <w:lvl w:ilvl="4" w:tentative="0">
      <w:start w:val="1"/>
      <w:numFmt w:val="decimal"/>
      <w:lvlText w:val="%5."/>
      <w:lvlJc w:val="left"/>
      <w:pPr>
        <w:tabs>
          <w:tab w:val="left" w:pos="3600"/>
        </w:tabs>
        <w:ind w:left="3600" w:hanging="360"/>
      </w:pPr>
      <w:rPr>
        <w:rFonts w:hint="eastAsia"/>
      </w:rPr>
    </w:lvl>
    <w:lvl w:ilvl="5" w:tentative="0">
      <w:start w:val="1"/>
      <w:numFmt w:val="decimal"/>
      <w:lvlText w:val="%6."/>
      <w:lvlJc w:val="left"/>
      <w:pPr>
        <w:tabs>
          <w:tab w:val="left" w:pos="4320"/>
        </w:tabs>
        <w:ind w:left="4320" w:hanging="360"/>
      </w:pPr>
      <w:rPr>
        <w:rFonts w:hint="eastAsia"/>
      </w:rPr>
    </w:lvl>
    <w:lvl w:ilvl="6" w:tentative="0">
      <w:start w:val="1"/>
      <w:numFmt w:val="decimal"/>
      <w:lvlText w:val="%7."/>
      <w:lvlJc w:val="left"/>
      <w:pPr>
        <w:tabs>
          <w:tab w:val="left" w:pos="5040"/>
        </w:tabs>
        <w:ind w:left="5040" w:hanging="360"/>
      </w:pPr>
      <w:rPr>
        <w:rFonts w:hint="eastAsia"/>
      </w:rPr>
    </w:lvl>
    <w:lvl w:ilvl="7" w:tentative="0">
      <w:start w:val="1"/>
      <w:numFmt w:val="decimal"/>
      <w:lvlText w:val="%8."/>
      <w:lvlJc w:val="left"/>
      <w:pPr>
        <w:tabs>
          <w:tab w:val="left" w:pos="5760"/>
        </w:tabs>
        <w:ind w:left="5760" w:hanging="360"/>
      </w:pPr>
      <w:rPr>
        <w:rFonts w:hint="eastAsia"/>
      </w:rPr>
    </w:lvl>
    <w:lvl w:ilvl="8" w:tentative="0">
      <w:start w:val="1"/>
      <w:numFmt w:val="decimal"/>
      <w:lvlText w:val="%9."/>
      <w:lvlJc w:val="left"/>
      <w:pPr>
        <w:tabs>
          <w:tab w:val="left" w:pos="6480"/>
        </w:tabs>
        <w:ind w:left="6480" w:hanging="36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2fef9w9satv5eatwt5axztfrr9vxf00art&quot;&gt;My EndNote Library&lt;record-ids&gt;&lt;item&gt;26&lt;/item&gt;&lt;item&gt;14921&lt;/item&gt;&lt;item&gt;14969&lt;/item&gt;&lt;/record-ids&gt;&lt;/item&gt;&lt;/Libraries&gt;"/>
  </w:docVars>
  <w:rsids>
    <w:rsidRoot w:val="BF7F3034"/>
    <w:rsid w:val="00057F72"/>
    <w:rsid w:val="0007635F"/>
    <w:rsid w:val="000B0A50"/>
    <w:rsid w:val="00165BD9"/>
    <w:rsid w:val="00167E0F"/>
    <w:rsid w:val="001F65CE"/>
    <w:rsid w:val="002157D3"/>
    <w:rsid w:val="0026542D"/>
    <w:rsid w:val="00280067"/>
    <w:rsid w:val="00313765"/>
    <w:rsid w:val="00336FDE"/>
    <w:rsid w:val="003509EF"/>
    <w:rsid w:val="003877A8"/>
    <w:rsid w:val="004052C4"/>
    <w:rsid w:val="004415AB"/>
    <w:rsid w:val="00490FA2"/>
    <w:rsid w:val="00525EDB"/>
    <w:rsid w:val="00556767"/>
    <w:rsid w:val="0058451A"/>
    <w:rsid w:val="005C3A87"/>
    <w:rsid w:val="00627D4D"/>
    <w:rsid w:val="00650F3D"/>
    <w:rsid w:val="00691888"/>
    <w:rsid w:val="006946AB"/>
    <w:rsid w:val="006F5CFF"/>
    <w:rsid w:val="00717911"/>
    <w:rsid w:val="007D131F"/>
    <w:rsid w:val="008525E9"/>
    <w:rsid w:val="00893427"/>
    <w:rsid w:val="00953E61"/>
    <w:rsid w:val="009639C8"/>
    <w:rsid w:val="00976FDA"/>
    <w:rsid w:val="00A11B22"/>
    <w:rsid w:val="00A14749"/>
    <w:rsid w:val="00A858FA"/>
    <w:rsid w:val="00AC6BEB"/>
    <w:rsid w:val="00AD45BC"/>
    <w:rsid w:val="00AE0FE5"/>
    <w:rsid w:val="00B649B6"/>
    <w:rsid w:val="00C43797"/>
    <w:rsid w:val="00C638B9"/>
    <w:rsid w:val="00CA64D0"/>
    <w:rsid w:val="00CE14FC"/>
    <w:rsid w:val="00CE289D"/>
    <w:rsid w:val="00D5219B"/>
    <w:rsid w:val="00D56B4E"/>
    <w:rsid w:val="00D9494C"/>
    <w:rsid w:val="00DE7BA4"/>
    <w:rsid w:val="00E23267"/>
    <w:rsid w:val="00E94A29"/>
    <w:rsid w:val="00EB55EE"/>
    <w:rsid w:val="00FA573B"/>
    <w:rsid w:val="00FE3E8D"/>
    <w:rsid w:val="00FF29C8"/>
    <w:rsid w:val="2F63D97B"/>
    <w:rsid w:val="3AED1220"/>
    <w:rsid w:val="3CBFE192"/>
    <w:rsid w:val="3F7F6F49"/>
    <w:rsid w:val="53BFA835"/>
    <w:rsid w:val="567EF964"/>
    <w:rsid w:val="59FBF632"/>
    <w:rsid w:val="5EEBCADB"/>
    <w:rsid w:val="5FBB6493"/>
    <w:rsid w:val="6BDD5DA2"/>
    <w:rsid w:val="6BFB1090"/>
    <w:rsid w:val="6CDF14C7"/>
    <w:rsid w:val="6DFE2FD0"/>
    <w:rsid w:val="6FBF540E"/>
    <w:rsid w:val="6FED1411"/>
    <w:rsid w:val="75EB44BF"/>
    <w:rsid w:val="77EA3A30"/>
    <w:rsid w:val="77F1EDF0"/>
    <w:rsid w:val="7BF2F6A6"/>
    <w:rsid w:val="7BFB5F79"/>
    <w:rsid w:val="7C7F94E9"/>
    <w:rsid w:val="7D97ACC7"/>
    <w:rsid w:val="7DBB1EFB"/>
    <w:rsid w:val="7E3A450D"/>
    <w:rsid w:val="7F7DB1A7"/>
    <w:rsid w:val="7F9B0F9A"/>
    <w:rsid w:val="7FDF6504"/>
    <w:rsid w:val="7FDFF882"/>
    <w:rsid w:val="9FCB5BB4"/>
    <w:rsid w:val="B3A9ABFA"/>
    <w:rsid w:val="BF7F3034"/>
    <w:rsid w:val="BFFF1328"/>
    <w:rsid w:val="C7F63252"/>
    <w:rsid w:val="CEDEF140"/>
    <w:rsid w:val="CFF73D0E"/>
    <w:rsid w:val="D73F6A2C"/>
    <w:rsid w:val="DE7E4C9F"/>
    <w:rsid w:val="DEFF1434"/>
    <w:rsid w:val="DF1688E6"/>
    <w:rsid w:val="DFBF787F"/>
    <w:rsid w:val="EC5F0184"/>
    <w:rsid w:val="EEAE1619"/>
    <w:rsid w:val="EEFE78B5"/>
    <w:rsid w:val="EFFBCEA5"/>
    <w:rsid w:val="EFFC2CDF"/>
    <w:rsid w:val="F6BFC5EB"/>
    <w:rsid w:val="F75F7156"/>
    <w:rsid w:val="F7D7BF3A"/>
    <w:rsid w:val="F9FFF9DE"/>
    <w:rsid w:val="FAB90D01"/>
    <w:rsid w:val="FAFFD425"/>
    <w:rsid w:val="FC8912FE"/>
    <w:rsid w:val="FDFBFD31"/>
    <w:rsid w:val="FF6FA8DB"/>
    <w:rsid w:val="FF7B6084"/>
    <w:rsid w:val="FFFF1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iPriority w:val="0"/>
    <w:rPr>
      <w:color w:val="0000FF"/>
      <w:u w:val="single"/>
    </w:rPr>
  </w:style>
  <w:style w:type="paragraph" w:styleId="6">
    <w:name w:val="List Paragraph"/>
    <w:basedOn w:val="1"/>
    <w:unhideWhenUsed/>
    <w:uiPriority w:val="99"/>
    <w:pPr>
      <w:ind w:firstLine="420" w:firstLineChars="200"/>
    </w:pPr>
  </w:style>
  <w:style w:type="paragraph" w:customStyle="1" w:styleId="7">
    <w:name w:val="EndNote Bibliography Title"/>
    <w:basedOn w:val="1"/>
    <w:link w:val="8"/>
    <w:uiPriority w:val="0"/>
    <w:pPr>
      <w:jc w:val="center"/>
    </w:pPr>
    <w:rPr>
      <w:rFonts w:cs="Calibri"/>
      <w:sz w:val="20"/>
    </w:rPr>
  </w:style>
  <w:style w:type="character" w:customStyle="1" w:styleId="8">
    <w:name w:val="EndNote Bibliography Title 字符"/>
    <w:basedOn w:val="4"/>
    <w:link w:val="7"/>
    <w:uiPriority w:val="0"/>
    <w:rPr>
      <w:rFonts w:ascii="Calibri" w:hAnsi="Calibri" w:cs="Calibri" w:eastAsiaTheme="minorEastAsia"/>
      <w:kern w:val="2"/>
      <w:szCs w:val="24"/>
    </w:rPr>
  </w:style>
  <w:style w:type="paragraph" w:customStyle="1" w:styleId="9">
    <w:name w:val="EndNote Bibliography"/>
    <w:basedOn w:val="1"/>
    <w:link w:val="10"/>
    <w:uiPriority w:val="0"/>
    <w:rPr>
      <w:rFonts w:cs="Calibri"/>
      <w:sz w:val="20"/>
    </w:rPr>
  </w:style>
  <w:style w:type="character" w:customStyle="1" w:styleId="10">
    <w:name w:val="EndNote Bibliography 字符"/>
    <w:basedOn w:val="4"/>
    <w:link w:val="9"/>
    <w:uiPriority w:val="0"/>
    <w:rPr>
      <w:rFonts w:ascii="Calibri" w:hAnsi="Calibri" w:cs="Calibri" w:eastAsiaTheme="minorEastAsia"/>
      <w:kern w:val="2"/>
      <w:szCs w:val="24"/>
    </w:rPr>
  </w:style>
  <w:style w:type="character" w:customStyle="1" w:styleId="11">
    <w:name w:val="font11"/>
    <w:basedOn w:val="4"/>
    <w:uiPriority w:val="0"/>
    <w:rPr>
      <w:rFonts w:hint="eastAsia" w:ascii="宋体" w:hAnsi="宋体" w:eastAsia="宋体" w:cs="宋体"/>
      <w:b/>
      <w:bCs/>
      <w:color w:val="000000"/>
      <w:sz w:val="22"/>
      <w:szCs w:val="22"/>
      <w:u w:val="none"/>
    </w:rPr>
  </w:style>
  <w:style w:type="character" w:customStyle="1" w:styleId="12">
    <w:name w:val="font01"/>
    <w:basedOn w:val="4"/>
    <w:uiPriority w:val="0"/>
    <w:rPr>
      <w:rFonts w:hint="eastAsia" w:ascii="宋体" w:hAnsi="宋体" w:eastAsia="宋体" w:cs="宋体"/>
      <w:color w:val="000000"/>
      <w:sz w:val="22"/>
      <w:szCs w:val="22"/>
      <w:u w:val="none"/>
    </w:rPr>
  </w:style>
  <w:style w:type="character" w:customStyle="1" w:styleId="13">
    <w:name w:val="font31"/>
    <w:basedOn w:val="4"/>
    <w:uiPriority w:val="0"/>
    <w:rPr>
      <w:rFonts w:ascii="宋体-简" w:hAnsi="宋体-简" w:eastAsia="宋体-简" w:cs="宋体-简"/>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2544</Words>
  <Characters>14505</Characters>
  <Lines>120</Lines>
  <Paragraphs>34</Paragraphs>
  <TotalTime>76</TotalTime>
  <ScaleCrop>false</ScaleCrop>
  <LinksUpToDate>false</LinksUpToDate>
  <CharactersWithSpaces>17015</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2026-04-24T15:53:00Z</dcterms:created>
  <dc:creator>卷卷</dc:creator>
  <cp:lastModifiedBy>卷卷</cp:lastModifiedBy>
  <dcterms:modified xsi:type="dcterms:W3CDTF">2026-05-08T11:05:51Z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3D0AB9279C5F826E7FDBE56937805778_41</vt:lpwstr>
  </property>
</Properties>
</file>