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728D0" w14:textId="77777777" w:rsidR="00A52A1D" w:rsidRPr="00547764" w:rsidRDefault="00547764">
      <w:pPr>
        <w:jc w:val="both"/>
        <w:rPr>
          <w:rFonts w:asciiTheme="majorBidi" w:eastAsia="Times New Roman" w:hAnsiTheme="majorBidi" w:cstheme="majorBidi"/>
          <w:b/>
          <w:sz w:val="24"/>
          <w:szCs w:val="24"/>
        </w:rPr>
      </w:pPr>
      <w:r w:rsidRPr="00547764">
        <w:rPr>
          <w:rFonts w:asciiTheme="majorBidi" w:eastAsia="Times New Roman" w:hAnsiTheme="majorBidi" w:cstheme="majorBidi"/>
          <w:b/>
          <w:sz w:val="24"/>
          <w:szCs w:val="24"/>
        </w:rPr>
        <w:t>MRI Acquisition Protocol:</w:t>
      </w:r>
    </w:p>
    <w:p w14:paraId="2CB728D1" w14:textId="77777777" w:rsidR="00A52A1D" w:rsidRPr="00547764" w:rsidRDefault="00547764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47764">
        <w:rPr>
          <w:rFonts w:asciiTheme="majorBidi" w:eastAsia="Times New Roman" w:hAnsiTheme="majorBidi" w:cstheme="majorBidi"/>
          <w:sz w:val="24"/>
          <w:szCs w:val="24"/>
        </w:rPr>
        <w:t>The acquisition was performed using 1.5 Tesla scanners, specifically a Signa scanner manufactured by GE Healthcare, Milwaukee, WI. A bilateral phased-array breast coil was used as the receiver. The MR imaging protocol included a 3D localizer and a unilater</w:t>
      </w:r>
      <w:r w:rsidRPr="00547764">
        <w:rPr>
          <w:rFonts w:asciiTheme="majorBidi" w:eastAsia="Times New Roman" w:hAnsiTheme="majorBidi" w:cstheme="majorBidi"/>
          <w:sz w:val="24"/>
          <w:szCs w:val="24"/>
        </w:rPr>
        <w:t xml:space="preserve">al sagittal DCE acquisition. The DCE acquisition utilized a high spatial resolution, low temporal resolution, T1-weighted, fat-suppressed 3D fast gradient-recalled echo sequence developed for pre-surgical staging. The sequence parameters were: TR/TE 8/4.2 </w:t>
      </w:r>
      <w:r w:rsidRPr="00547764">
        <w:rPr>
          <w:rFonts w:asciiTheme="majorBidi" w:eastAsia="Times New Roman" w:hAnsiTheme="majorBidi" w:cstheme="majorBidi"/>
          <w:sz w:val="24"/>
          <w:szCs w:val="24"/>
        </w:rPr>
        <w:t>milliseconds, flip angle 20 degrees, field of view 18-20 cm, acquisition matrix 256 x 192 x 60, section thickness 2 mm, with spatial resolution 0.7 x 0.94 x 2.0 mm. The temporal phases included pre-contrast (t0) and two post-contrast phases: t1 at approxim</w:t>
      </w:r>
      <w:r w:rsidRPr="00547764">
        <w:rPr>
          <w:rFonts w:asciiTheme="majorBidi" w:eastAsia="Times New Roman" w:hAnsiTheme="majorBidi" w:cstheme="majorBidi"/>
          <w:sz w:val="24"/>
          <w:szCs w:val="24"/>
        </w:rPr>
        <w:t>ately 2.5 minutes and t2 at approximately 7.5 minutes. The contrast agent was gadopentetate dimeglumine (Magnevist, Bayer HealthCare, Berlin, Germany) at 0.1 mmol/kg body weight injected at 1.2 mL/s followed by 10 mL saline flush. Fat suppression was perfo</w:t>
      </w:r>
      <w:r w:rsidRPr="00547764">
        <w:rPr>
          <w:rFonts w:asciiTheme="majorBidi" w:eastAsia="Times New Roman" w:hAnsiTheme="majorBidi" w:cstheme="majorBidi"/>
          <w:sz w:val="24"/>
          <w:szCs w:val="24"/>
        </w:rPr>
        <w:t>rmed using a frequency-selective inversion recovery preparatory pulse. Total acquisition time was approximately 5 minutes per phase. All sites submitted raw DICOM series, subtraction images and available diffusion sequences; only the primary DCE series wer</w:t>
      </w:r>
      <w:r w:rsidRPr="00547764">
        <w:rPr>
          <w:rFonts w:asciiTheme="majorBidi" w:eastAsia="Times New Roman" w:hAnsiTheme="majorBidi" w:cstheme="majorBidi"/>
          <w:sz w:val="24"/>
          <w:szCs w:val="24"/>
        </w:rPr>
        <w:t xml:space="preserve">e used for quantitative analysis. DICOM series were imported into an in-house Python 3.9 toolset replicating the UCSF SER-FTV algorithm. Datasets were re-oriented to a common sagittal coordinate frame; consensus resampling to 0.8 mm isotropic voxels using </w:t>
      </w:r>
      <w:r w:rsidRPr="00547764">
        <w:rPr>
          <w:rFonts w:asciiTheme="majorBidi" w:eastAsia="Times New Roman" w:hAnsiTheme="majorBidi" w:cstheme="majorBidi"/>
          <w:sz w:val="24"/>
          <w:szCs w:val="24"/>
        </w:rPr>
        <w:t>B-spline interpolation ensured voxel-wise correspondence across time points. Rigid body registration with six degrees-of-freedom aligned post-contrast phases to the pre-contrast volume via mutual-information minimization, correcting for between-phase patie</w:t>
      </w:r>
      <w:r w:rsidRPr="00547764">
        <w:rPr>
          <w:rFonts w:asciiTheme="majorBidi" w:eastAsia="Times New Roman" w:hAnsiTheme="majorBidi" w:cstheme="majorBidi"/>
          <w:sz w:val="24"/>
          <w:szCs w:val="24"/>
        </w:rPr>
        <w:t>nt motion.</w:t>
      </w:r>
    </w:p>
    <w:p w14:paraId="2CB728D2" w14:textId="77777777" w:rsidR="00A52A1D" w:rsidRPr="00547764" w:rsidRDefault="00547764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47764">
        <w:rPr>
          <w:rFonts w:asciiTheme="majorBidi" w:eastAsia="Times New Roman" w:hAnsiTheme="majorBidi" w:cstheme="majorBidi"/>
          <w:sz w:val="24"/>
          <w:szCs w:val="24"/>
        </w:rPr>
        <w:t>MRI data were analyzed to quantify tumor burden and enhancement dynamics using a semi-automated post-processing tool developed in the IDL programming environment (ITT Visual Information Solutions, Boulder, CO). An experienced radiologist manuall</w:t>
      </w:r>
      <w:r w:rsidRPr="00547764">
        <w:rPr>
          <w:rFonts w:asciiTheme="majorBidi" w:eastAsia="Times New Roman" w:hAnsiTheme="majorBidi" w:cstheme="majorBidi"/>
          <w:sz w:val="24"/>
          <w:szCs w:val="24"/>
        </w:rPr>
        <w:t>y defined a three-dimensional volume of interest (VOI) for each tumor by placing rectangular regions of interest (ROIs) on two orthogonal maximum-intensity-projection (MIP) images from the early post-contrast series. The intersection of these ROIs was used</w:t>
      </w:r>
      <w:r w:rsidRPr="00547764">
        <w:rPr>
          <w:rFonts w:asciiTheme="majorBidi" w:eastAsia="Times New Roman" w:hAnsiTheme="majorBidi" w:cstheme="majorBidi"/>
          <w:sz w:val="24"/>
          <w:szCs w:val="24"/>
        </w:rPr>
        <w:t xml:space="preserve"> to delineate the VOI, capturing all visibly enhancing tumor tissue. Non-malignant enhancing areas (e.g., vessels or cardiac structures) included within the VOI were excluded manually using freehand irregular ROIs. Following this initial segmentation, all </w:t>
      </w:r>
      <w:r w:rsidRPr="00547764">
        <w:rPr>
          <w:rFonts w:asciiTheme="majorBidi" w:eastAsia="Times New Roman" w:hAnsiTheme="majorBidi" w:cstheme="majorBidi"/>
          <w:sz w:val="24"/>
          <w:szCs w:val="24"/>
        </w:rPr>
        <w:t>subsequent analyses were fully automated.</w:t>
      </w:r>
    </w:p>
    <w:p w14:paraId="2CB728D3" w14:textId="77777777" w:rsidR="00A52A1D" w:rsidRPr="00547764" w:rsidRDefault="00547764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47764">
        <w:rPr>
          <w:rFonts w:asciiTheme="majorBidi" w:eastAsia="Caudex" w:hAnsiTheme="majorBidi" w:cstheme="majorBidi"/>
          <w:sz w:val="24"/>
          <w:szCs w:val="24"/>
        </w:rPr>
        <w:t>At every voxel inside the VOI, Early Percent Enhancement was calculated as PE = 100 × (S₁ − S₀)/S₀, where S₀, S₁, S₂ denote pre-contrast, early and late phase signal intensities respectively. Signal-Enhancement Rat</w:t>
      </w:r>
      <w:r w:rsidRPr="00547764">
        <w:rPr>
          <w:rFonts w:asciiTheme="majorBidi" w:eastAsia="Caudex" w:hAnsiTheme="majorBidi" w:cstheme="majorBidi"/>
          <w:sz w:val="24"/>
          <w:szCs w:val="24"/>
        </w:rPr>
        <w:t xml:space="preserve">io was calculated as SER = (S₁ − S₀)/(S₂ − S₀). Voxels were retained as "functionally active tumor" if they satisfied: PE ≥ 70% (site-adjusted threshold validated in ACRIN 6657); SER &gt; 0 (indicative of wash-out or plateau kinetics); pre-contrast intensity </w:t>
      </w:r>
      <w:r w:rsidRPr="00547764">
        <w:rPr>
          <w:rFonts w:asciiTheme="majorBidi" w:eastAsia="Caudex" w:hAnsiTheme="majorBidi" w:cstheme="majorBidi"/>
          <w:sz w:val="24"/>
          <w:szCs w:val="24"/>
        </w:rPr>
        <w:t xml:space="preserve">≥ 60% of VOI maximum (excludes suppressed fat); and connectivity to ≥ 4 adjacent PE-positive voxels in 3D, minimizing noise-driven speckles. The aggregate volume of retained voxels (converted from voxel count × voxel volume) yielded SER-defined FTV (cm³). </w:t>
      </w:r>
      <w:r w:rsidRPr="00547764">
        <w:rPr>
          <w:rFonts w:asciiTheme="majorBidi" w:eastAsia="Caudex" w:hAnsiTheme="majorBidi" w:cstheme="majorBidi"/>
          <w:sz w:val="24"/>
          <w:szCs w:val="24"/>
        </w:rPr>
        <w:t>For each scan, morphologic longest diameter was measured on the early phase and whole tumor volume was calculated via threshold-based region-growing at PE ≥ 50% irrespective of SER.</w:t>
      </w:r>
    </w:p>
    <w:p w14:paraId="2CB728D4" w14:textId="77777777" w:rsidR="00A52A1D" w:rsidRPr="00547764" w:rsidRDefault="00A52A1D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bookmarkStart w:id="0" w:name="_GoBack"/>
      <w:bookmarkEnd w:id="0"/>
    </w:p>
    <w:sectPr w:rsidR="00A52A1D" w:rsidRPr="0054776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udex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A1D"/>
    <w:rsid w:val="00547764"/>
    <w:rsid w:val="00A5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B728D0"/>
  <w15:docId w15:val="{F0D91F71-3287-477C-A4E4-3B623AE8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3038</Characters>
  <Application>Microsoft Office Word</Application>
  <DocSecurity>0</DocSecurity>
  <Lines>41</Lines>
  <Paragraphs>4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2025-08-05T10:29:00Z</dcterms:created>
  <dcterms:modified xsi:type="dcterms:W3CDTF">2025-08-05T10:29:00Z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30b41fba-685e-4d7d-a1bc-fbdf39cec8ea</vt:lpwstr>
  </property>
</Properties>
</file>