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13E94">
      <w:pPr>
        <w:jc w:val="center"/>
        <w:rPr>
          <w:rFonts w:hint="default" w:ascii="Arial" w:hAnsi="Arial" w:cs="Arial"/>
          <w:b/>
          <w:bCs/>
          <w:color w:val="auto"/>
          <w:sz w:val="20"/>
          <w:szCs w:val="20"/>
        </w:rPr>
      </w:pPr>
      <w:bookmarkStart w:id="0" w:name="OLE_LINK13"/>
    </w:p>
    <w:bookmarkEnd w:id="0"/>
    <w:p w14:paraId="6713A981">
      <w:pPr>
        <w:jc w:val="center"/>
        <w:rPr>
          <w:rFonts w:hint="default" w:ascii="Arial" w:hAnsi="Arial" w:cs="Arial"/>
          <w:b/>
          <w:bCs/>
          <w:color w:val="auto"/>
          <w:sz w:val="44"/>
          <w:szCs w:val="44"/>
          <w:lang w:val="en-US" w:eastAsia="zh-CN"/>
        </w:rPr>
      </w:pPr>
      <w:r>
        <w:rPr>
          <w:rFonts w:hint="default" w:ascii="Arial" w:hAnsi="Arial" w:cs="Arial"/>
          <w:b/>
          <w:bCs/>
          <w:color w:val="auto"/>
          <w:sz w:val="44"/>
          <w:szCs w:val="44"/>
          <w:lang w:val="en-US" w:eastAsia="zh-CN"/>
        </w:rPr>
        <w:t>Supplementary material</w:t>
      </w:r>
    </w:p>
    <w:p w14:paraId="027172C2">
      <w:pPr>
        <w:jc w:val="center"/>
        <w:outlineLvl w:val="0"/>
        <w:rPr>
          <w:rFonts w:hint="default" w:ascii="Arial" w:hAnsi="Arial" w:cs="Arial"/>
          <w:color w:val="auto"/>
          <w:sz w:val="20"/>
          <w:szCs w:val="20"/>
        </w:rPr>
      </w:pPr>
    </w:p>
    <w:p w14:paraId="67574C4B">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color w:val="auto"/>
          <w:sz w:val="20"/>
          <w:szCs w:val="20"/>
        </w:rPr>
        <w:instrText xml:space="preserve">TOC \o "1-3" \h \u </w:instrText>
      </w:r>
      <w:r>
        <w:rPr>
          <w:rFonts w:hint="default" w:ascii="Arial" w:hAnsi="Arial" w:cs="Arial"/>
          <w:color w:val="auto"/>
          <w:sz w:val="20"/>
          <w:szCs w:val="20"/>
        </w:rPr>
        <w:fldChar w:fldCharType="separate"/>
      </w:r>
      <w:r>
        <w:rPr>
          <w:rFonts w:hint="default" w:ascii="Arial" w:hAnsi="Arial" w:cs="Arial"/>
          <w:color w:val="auto"/>
          <w:sz w:val="20"/>
          <w:szCs w:val="20"/>
        </w:rPr>
        <w:fldChar w:fldCharType="begin"/>
      </w:r>
      <w:r>
        <w:rPr>
          <w:rFonts w:hint="default" w:ascii="Arial" w:hAnsi="Arial" w:cs="Arial"/>
          <w:sz w:val="20"/>
          <w:szCs w:val="20"/>
        </w:rPr>
        <w:instrText xml:space="preserve"> HYPERLINK \l _Toc31204 </w:instrText>
      </w:r>
      <w:r>
        <w:rPr>
          <w:rFonts w:hint="default" w:ascii="Arial" w:hAnsi="Arial" w:cs="Arial"/>
          <w:sz w:val="20"/>
          <w:szCs w:val="20"/>
        </w:rPr>
        <w:fldChar w:fldCharType="separate"/>
      </w:r>
      <w:r>
        <w:rPr>
          <w:rFonts w:hint="default" w:ascii="Arial" w:hAnsi="Arial" w:cs="Arial"/>
          <w:sz w:val="20"/>
          <w:szCs w:val="20"/>
          <w:lang w:val="en-US" w:eastAsia="zh-CN"/>
        </w:rPr>
        <w:t>eFigure 1. Flowchart of participant selection in CHARLS</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_Toc31204 \h </w:instrText>
      </w:r>
      <w:r>
        <w:rPr>
          <w:rFonts w:hint="default" w:ascii="Arial" w:hAnsi="Arial" w:cs="Arial"/>
          <w:sz w:val="20"/>
          <w:szCs w:val="20"/>
        </w:rPr>
        <w:fldChar w:fldCharType="separate"/>
      </w:r>
      <w:r>
        <w:rPr>
          <w:rFonts w:hint="default" w:ascii="Arial" w:hAnsi="Arial" w:cs="Arial"/>
          <w:sz w:val="20"/>
          <w:szCs w:val="20"/>
        </w:rPr>
        <w:t>1</w:t>
      </w:r>
      <w:r>
        <w:rPr>
          <w:rFonts w:hint="default" w:ascii="Arial" w:hAnsi="Arial" w:cs="Arial"/>
          <w:sz w:val="20"/>
          <w:szCs w:val="20"/>
        </w:rPr>
        <w:fldChar w:fldCharType="end"/>
      </w:r>
      <w:r>
        <w:rPr>
          <w:rFonts w:hint="default" w:ascii="Arial" w:hAnsi="Arial" w:cs="Arial"/>
          <w:color w:val="auto"/>
          <w:sz w:val="20"/>
          <w:szCs w:val="20"/>
        </w:rPr>
        <w:fldChar w:fldCharType="end"/>
      </w:r>
    </w:p>
    <w:p w14:paraId="318D3A51">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_Toc31027 </w:instrText>
      </w:r>
      <w:r>
        <w:rPr>
          <w:rFonts w:hint="default" w:ascii="Arial" w:hAnsi="Arial" w:cs="Arial"/>
          <w:sz w:val="20"/>
          <w:szCs w:val="20"/>
        </w:rPr>
        <w:fldChar w:fldCharType="separate"/>
      </w:r>
      <w:r>
        <w:rPr>
          <w:rFonts w:hint="default" w:ascii="Arial" w:hAnsi="Arial" w:cs="Arial"/>
          <w:sz w:val="20"/>
          <w:szCs w:val="20"/>
          <w:lang w:val="en-US" w:eastAsia="zh-CN"/>
        </w:rPr>
        <w:t>eTable 1. Model fit statistics for group-based trajectory modeling</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_Toc31027 \h </w:instrText>
      </w:r>
      <w:r>
        <w:rPr>
          <w:rFonts w:hint="default" w:ascii="Arial" w:hAnsi="Arial" w:cs="Arial"/>
          <w:sz w:val="20"/>
          <w:szCs w:val="20"/>
        </w:rPr>
        <w:fldChar w:fldCharType="separate"/>
      </w:r>
      <w:r>
        <w:rPr>
          <w:rFonts w:hint="default" w:ascii="Arial" w:hAnsi="Arial" w:cs="Arial"/>
          <w:sz w:val="20"/>
          <w:szCs w:val="20"/>
        </w:rPr>
        <w:t>2</w:t>
      </w:r>
      <w:r>
        <w:rPr>
          <w:rFonts w:hint="default" w:ascii="Arial" w:hAnsi="Arial" w:cs="Arial"/>
          <w:sz w:val="20"/>
          <w:szCs w:val="20"/>
        </w:rPr>
        <w:fldChar w:fldCharType="end"/>
      </w:r>
      <w:r>
        <w:rPr>
          <w:rFonts w:hint="default" w:ascii="Arial" w:hAnsi="Arial" w:cs="Arial"/>
          <w:color w:val="auto"/>
          <w:sz w:val="20"/>
          <w:szCs w:val="20"/>
        </w:rPr>
        <w:fldChar w:fldCharType="end"/>
      </w:r>
    </w:p>
    <w:p w14:paraId="3BDE1B54">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_Toc25677 </w:instrText>
      </w:r>
      <w:r>
        <w:rPr>
          <w:rFonts w:hint="default" w:ascii="Arial" w:hAnsi="Arial" w:cs="Arial"/>
          <w:sz w:val="20"/>
          <w:szCs w:val="20"/>
        </w:rPr>
        <w:fldChar w:fldCharType="separate"/>
      </w:r>
      <w:r>
        <w:rPr>
          <w:rFonts w:hint="default" w:ascii="Arial" w:hAnsi="Arial" w:cs="Arial"/>
          <w:sz w:val="20"/>
          <w:szCs w:val="20"/>
          <w:lang w:val="en-US" w:eastAsia="zh-CN"/>
        </w:rPr>
        <w:t>eFigure 2. Comparison of depression scores between patients with and without chronic diseases</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_Toc25677 \h </w:instrText>
      </w:r>
      <w:r>
        <w:rPr>
          <w:rFonts w:hint="default" w:ascii="Arial" w:hAnsi="Arial" w:cs="Arial"/>
          <w:sz w:val="20"/>
          <w:szCs w:val="20"/>
        </w:rPr>
        <w:fldChar w:fldCharType="separate"/>
      </w:r>
      <w:r>
        <w:rPr>
          <w:rFonts w:hint="default" w:ascii="Arial" w:hAnsi="Arial" w:cs="Arial"/>
          <w:sz w:val="20"/>
          <w:szCs w:val="20"/>
        </w:rPr>
        <w:t>3</w:t>
      </w:r>
      <w:r>
        <w:rPr>
          <w:rFonts w:hint="default" w:ascii="Arial" w:hAnsi="Arial" w:cs="Arial"/>
          <w:sz w:val="20"/>
          <w:szCs w:val="20"/>
        </w:rPr>
        <w:fldChar w:fldCharType="end"/>
      </w:r>
      <w:r>
        <w:rPr>
          <w:rFonts w:hint="default" w:ascii="Arial" w:hAnsi="Arial" w:cs="Arial"/>
          <w:color w:val="auto"/>
          <w:sz w:val="20"/>
          <w:szCs w:val="20"/>
        </w:rPr>
        <w:fldChar w:fldCharType="end"/>
      </w:r>
    </w:p>
    <w:p w14:paraId="09F9D9FF">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_Toc15386 </w:instrText>
      </w:r>
      <w:r>
        <w:rPr>
          <w:rFonts w:hint="default" w:ascii="Arial" w:hAnsi="Arial" w:cs="Arial"/>
          <w:sz w:val="20"/>
          <w:szCs w:val="20"/>
        </w:rPr>
        <w:fldChar w:fldCharType="separate"/>
      </w:r>
      <w:r>
        <w:rPr>
          <w:rFonts w:hint="default" w:ascii="Arial" w:hAnsi="Arial" w:cs="Arial"/>
          <w:sz w:val="20"/>
          <w:szCs w:val="20"/>
          <w:lang w:val="en-US" w:eastAsia="zh-CN"/>
        </w:rPr>
        <w:t>eFigure 3. Kaplan-Meier estimates for depressive symptoms events with vs. without hypertension</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_Toc15386 \h </w:instrText>
      </w:r>
      <w:r>
        <w:rPr>
          <w:rFonts w:hint="default" w:ascii="Arial" w:hAnsi="Arial" w:cs="Arial"/>
          <w:sz w:val="20"/>
          <w:szCs w:val="20"/>
        </w:rPr>
        <w:fldChar w:fldCharType="separate"/>
      </w:r>
      <w:r>
        <w:rPr>
          <w:rFonts w:hint="default" w:ascii="Arial" w:hAnsi="Arial" w:cs="Arial"/>
          <w:sz w:val="20"/>
          <w:szCs w:val="20"/>
        </w:rPr>
        <w:t>4</w:t>
      </w:r>
      <w:r>
        <w:rPr>
          <w:rFonts w:hint="default" w:ascii="Arial" w:hAnsi="Arial" w:cs="Arial"/>
          <w:sz w:val="20"/>
          <w:szCs w:val="20"/>
        </w:rPr>
        <w:fldChar w:fldCharType="end"/>
      </w:r>
      <w:r>
        <w:rPr>
          <w:rFonts w:hint="default" w:ascii="Arial" w:hAnsi="Arial" w:cs="Arial"/>
          <w:color w:val="auto"/>
          <w:sz w:val="20"/>
          <w:szCs w:val="20"/>
        </w:rPr>
        <w:fldChar w:fldCharType="end"/>
      </w:r>
    </w:p>
    <w:p w14:paraId="219F4525">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_Toc11478 </w:instrText>
      </w:r>
      <w:r>
        <w:rPr>
          <w:rFonts w:hint="default" w:ascii="Arial" w:hAnsi="Arial" w:cs="Arial"/>
          <w:sz w:val="20"/>
          <w:szCs w:val="20"/>
        </w:rPr>
        <w:fldChar w:fldCharType="separate"/>
      </w:r>
      <w:r>
        <w:rPr>
          <w:rFonts w:hint="default" w:ascii="Arial" w:hAnsi="Arial" w:cs="Arial"/>
          <w:sz w:val="20"/>
          <w:szCs w:val="20"/>
          <w:lang w:val="en-US" w:eastAsia="zh-CN"/>
        </w:rPr>
        <w:t>eFigure 4. Kaplan-Meier estimates for depressive symptoms events with vs. without diabetes mellitus</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_Toc11478 \h </w:instrText>
      </w:r>
      <w:r>
        <w:rPr>
          <w:rFonts w:hint="default" w:ascii="Arial" w:hAnsi="Arial" w:cs="Arial"/>
          <w:sz w:val="20"/>
          <w:szCs w:val="20"/>
        </w:rPr>
        <w:fldChar w:fldCharType="separate"/>
      </w:r>
      <w:r>
        <w:rPr>
          <w:rFonts w:hint="default" w:ascii="Arial" w:hAnsi="Arial" w:cs="Arial"/>
          <w:sz w:val="20"/>
          <w:szCs w:val="20"/>
        </w:rPr>
        <w:t>4</w:t>
      </w:r>
      <w:r>
        <w:rPr>
          <w:rFonts w:hint="default" w:ascii="Arial" w:hAnsi="Arial" w:cs="Arial"/>
          <w:sz w:val="20"/>
          <w:szCs w:val="20"/>
        </w:rPr>
        <w:fldChar w:fldCharType="end"/>
      </w:r>
      <w:r>
        <w:rPr>
          <w:rFonts w:hint="default" w:ascii="Arial" w:hAnsi="Arial" w:cs="Arial"/>
          <w:color w:val="auto"/>
          <w:sz w:val="20"/>
          <w:szCs w:val="20"/>
        </w:rPr>
        <w:fldChar w:fldCharType="end"/>
      </w:r>
    </w:p>
    <w:p w14:paraId="1A1F7D62">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_Toc26604 </w:instrText>
      </w:r>
      <w:r>
        <w:rPr>
          <w:rFonts w:hint="default" w:ascii="Arial" w:hAnsi="Arial" w:cs="Arial"/>
          <w:sz w:val="20"/>
          <w:szCs w:val="20"/>
        </w:rPr>
        <w:fldChar w:fldCharType="separate"/>
      </w:r>
      <w:r>
        <w:rPr>
          <w:rFonts w:hint="default" w:ascii="Arial" w:hAnsi="Arial" w:cs="Arial"/>
          <w:sz w:val="20"/>
          <w:szCs w:val="20"/>
          <w:lang w:val="en-US" w:eastAsia="zh-CN"/>
        </w:rPr>
        <w:t>eFigure 5. Kaplan-Meier estimates for depressive symptoms events with vs. without dyslipidemia</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_Toc26604 \h </w:instrText>
      </w:r>
      <w:r>
        <w:rPr>
          <w:rFonts w:hint="default" w:ascii="Arial" w:hAnsi="Arial" w:cs="Arial"/>
          <w:sz w:val="20"/>
          <w:szCs w:val="20"/>
        </w:rPr>
        <w:fldChar w:fldCharType="separate"/>
      </w:r>
      <w:r>
        <w:rPr>
          <w:rFonts w:hint="default" w:ascii="Arial" w:hAnsi="Arial" w:cs="Arial"/>
          <w:sz w:val="20"/>
          <w:szCs w:val="20"/>
        </w:rPr>
        <w:t>5</w:t>
      </w:r>
      <w:r>
        <w:rPr>
          <w:rFonts w:hint="default" w:ascii="Arial" w:hAnsi="Arial" w:cs="Arial"/>
          <w:sz w:val="20"/>
          <w:szCs w:val="20"/>
        </w:rPr>
        <w:fldChar w:fldCharType="end"/>
      </w:r>
      <w:r>
        <w:rPr>
          <w:rFonts w:hint="default" w:ascii="Arial" w:hAnsi="Arial" w:cs="Arial"/>
          <w:color w:val="auto"/>
          <w:sz w:val="20"/>
          <w:szCs w:val="20"/>
        </w:rPr>
        <w:fldChar w:fldCharType="end"/>
      </w:r>
    </w:p>
    <w:p w14:paraId="7F434DF6">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_Toc28090 </w:instrText>
      </w:r>
      <w:r>
        <w:rPr>
          <w:rFonts w:hint="default" w:ascii="Arial" w:hAnsi="Arial" w:cs="Arial"/>
          <w:sz w:val="20"/>
          <w:szCs w:val="20"/>
        </w:rPr>
        <w:fldChar w:fldCharType="separate"/>
      </w:r>
      <w:r>
        <w:rPr>
          <w:rFonts w:hint="default" w:ascii="Arial" w:hAnsi="Arial" w:cs="Arial"/>
          <w:sz w:val="20"/>
          <w:szCs w:val="20"/>
          <w:lang w:val="en-US" w:eastAsia="zh-CN"/>
        </w:rPr>
        <w:t>eFigure 6. Kaplan-Meier estimates for depressive symptoms events with vs. without lung disease</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_Toc28090 \h </w:instrText>
      </w:r>
      <w:r>
        <w:rPr>
          <w:rFonts w:hint="default" w:ascii="Arial" w:hAnsi="Arial" w:cs="Arial"/>
          <w:sz w:val="20"/>
          <w:szCs w:val="20"/>
        </w:rPr>
        <w:fldChar w:fldCharType="separate"/>
      </w:r>
      <w:r>
        <w:rPr>
          <w:rFonts w:hint="default" w:ascii="Arial" w:hAnsi="Arial" w:cs="Arial"/>
          <w:sz w:val="20"/>
          <w:szCs w:val="20"/>
        </w:rPr>
        <w:t>5</w:t>
      </w:r>
      <w:r>
        <w:rPr>
          <w:rFonts w:hint="default" w:ascii="Arial" w:hAnsi="Arial" w:cs="Arial"/>
          <w:sz w:val="20"/>
          <w:szCs w:val="20"/>
        </w:rPr>
        <w:fldChar w:fldCharType="end"/>
      </w:r>
      <w:r>
        <w:rPr>
          <w:rFonts w:hint="default" w:ascii="Arial" w:hAnsi="Arial" w:cs="Arial"/>
          <w:color w:val="auto"/>
          <w:sz w:val="20"/>
          <w:szCs w:val="20"/>
        </w:rPr>
        <w:fldChar w:fldCharType="end"/>
      </w:r>
    </w:p>
    <w:p w14:paraId="72AFD1A8">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_Toc23121 </w:instrText>
      </w:r>
      <w:r>
        <w:rPr>
          <w:rFonts w:hint="default" w:ascii="Arial" w:hAnsi="Arial" w:cs="Arial"/>
          <w:sz w:val="20"/>
          <w:szCs w:val="20"/>
        </w:rPr>
        <w:fldChar w:fldCharType="separate"/>
      </w:r>
      <w:r>
        <w:rPr>
          <w:rFonts w:hint="default" w:ascii="Arial" w:hAnsi="Arial" w:cs="Arial"/>
          <w:sz w:val="20"/>
          <w:szCs w:val="20"/>
          <w:lang w:val="en-US" w:eastAsia="zh-CN"/>
        </w:rPr>
        <w:t>eFigure 7. Kaplan-Meier estimates for depressive symptoms events with vs. without asthma</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_Toc23121 \h </w:instrText>
      </w:r>
      <w:r>
        <w:rPr>
          <w:rFonts w:hint="default" w:ascii="Arial" w:hAnsi="Arial" w:cs="Arial"/>
          <w:sz w:val="20"/>
          <w:szCs w:val="20"/>
        </w:rPr>
        <w:fldChar w:fldCharType="separate"/>
      </w:r>
      <w:r>
        <w:rPr>
          <w:rFonts w:hint="default" w:ascii="Arial" w:hAnsi="Arial" w:cs="Arial"/>
          <w:sz w:val="20"/>
          <w:szCs w:val="20"/>
        </w:rPr>
        <w:t>6</w:t>
      </w:r>
      <w:r>
        <w:rPr>
          <w:rFonts w:hint="default" w:ascii="Arial" w:hAnsi="Arial" w:cs="Arial"/>
          <w:sz w:val="20"/>
          <w:szCs w:val="20"/>
        </w:rPr>
        <w:fldChar w:fldCharType="end"/>
      </w:r>
      <w:r>
        <w:rPr>
          <w:rFonts w:hint="default" w:ascii="Arial" w:hAnsi="Arial" w:cs="Arial"/>
          <w:color w:val="auto"/>
          <w:sz w:val="20"/>
          <w:szCs w:val="20"/>
        </w:rPr>
        <w:fldChar w:fldCharType="end"/>
      </w:r>
    </w:p>
    <w:p w14:paraId="6140987D">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_Toc28915 </w:instrText>
      </w:r>
      <w:r>
        <w:rPr>
          <w:rFonts w:hint="default" w:ascii="Arial" w:hAnsi="Arial" w:cs="Arial"/>
          <w:sz w:val="20"/>
          <w:szCs w:val="20"/>
        </w:rPr>
        <w:fldChar w:fldCharType="separate"/>
      </w:r>
      <w:r>
        <w:rPr>
          <w:rFonts w:hint="default" w:ascii="Arial" w:hAnsi="Arial" w:cs="Arial"/>
          <w:sz w:val="20"/>
          <w:szCs w:val="20"/>
          <w:lang w:val="en-US" w:eastAsia="zh-CN"/>
        </w:rPr>
        <w:t>eFigure 8. Kaplan-Meier estimates for depressive symptoms events with vs. without liver disease</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_Toc28915 \h </w:instrText>
      </w:r>
      <w:r>
        <w:rPr>
          <w:rFonts w:hint="default" w:ascii="Arial" w:hAnsi="Arial" w:cs="Arial"/>
          <w:sz w:val="20"/>
          <w:szCs w:val="20"/>
        </w:rPr>
        <w:fldChar w:fldCharType="separate"/>
      </w:r>
      <w:r>
        <w:rPr>
          <w:rFonts w:hint="default" w:ascii="Arial" w:hAnsi="Arial" w:cs="Arial"/>
          <w:sz w:val="20"/>
          <w:szCs w:val="20"/>
        </w:rPr>
        <w:t>6</w:t>
      </w:r>
      <w:r>
        <w:rPr>
          <w:rFonts w:hint="default" w:ascii="Arial" w:hAnsi="Arial" w:cs="Arial"/>
          <w:sz w:val="20"/>
          <w:szCs w:val="20"/>
        </w:rPr>
        <w:fldChar w:fldCharType="end"/>
      </w:r>
      <w:r>
        <w:rPr>
          <w:rFonts w:hint="default" w:ascii="Arial" w:hAnsi="Arial" w:cs="Arial"/>
          <w:color w:val="auto"/>
          <w:sz w:val="20"/>
          <w:szCs w:val="20"/>
        </w:rPr>
        <w:fldChar w:fldCharType="end"/>
      </w:r>
    </w:p>
    <w:p w14:paraId="040FEF2B">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_Toc21640 </w:instrText>
      </w:r>
      <w:r>
        <w:rPr>
          <w:rFonts w:hint="default" w:ascii="Arial" w:hAnsi="Arial" w:cs="Arial"/>
          <w:sz w:val="20"/>
          <w:szCs w:val="20"/>
        </w:rPr>
        <w:fldChar w:fldCharType="separate"/>
      </w:r>
      <w:r>
        <w:rPr>
          <w:rFonts w:hint="default" w:ascii="Arial" w:hAnsi="Arial" w:cs="Arial"/>
          <w:sz w:val="20"/>
          <w:szCs w:val="20"/>
          <w:lang w:val="en-US" w:eastAsia="zh-CN"/>
        </w:rPr>
        <w:t>eFigure 9. Kaplan-Meier estimates for depressive symptoms events with vs. without cardiovascular disease</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_Toc21640 \h </w:instrText>
      </w:r>
      <w:r>
        <w:rPr>
          <w:rFonts w:hint="default" w:ascii="Arial" w:hAnsi="Arial" w:cs="Arial"/>
          <w:sz w:val="20"/>
          <w:szCs w:val="20"/>
        </w:rPr>
        <w:fldChar w:fldCharType="separate"/>
      </w:r>
      <w:r>
        <w:rPr>
          <w:rFonts w:hint="default" w:ascii="Arial" w:hAnsi="Arial" w:cs="Arial"/>
          <w:sz w:val="20"/>
          <w:szCs w:val="20"/>
        </w:rPr>
        <w:t>7</w:t>
      </w:r>
      <w:r>
        <w:rPr>
          <w:rFonts w:hint="default" w:ascii="Arial" w:hAnsi="Arial" w:cs="Arial"/>
          <w:sz w:val="20"/>
          <w:szCs w:val="20"/>
        </w:rPr>
        <w:fldChar w:fldCharType="end"/>
      </w:r>
      <w:r>
        <w:rPr>
          <w:rFonts w:hint="default" w:ascii="Arial" w:hAnsi="Arial" w:cs="Arial"/>
          <w:color w:val="auto"/>
          <w:sz w:val="20"/>
          <w:szCs w:val="20"/>
        </w:rPr>
        <w:fldChar w:fldCharType="end"/>
      </w:r>
    </w:p>
    <w:p w14:paraId="63534915">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_Toc15693 </w:instrText>
      </w:r>
      <w:r>
        <w:rPr>
          <w:rFonts w:hint="default" w:ascii="Arial" w:hAnsi="Arial" w:cs="Arial"/>
          <w:sz w:val="20"/>
          <w:szCs w:val="20"/>
        </w:rPr>
        <w:fldChar w:fldCharType="separate"/>
      </w:r>
      <w:r>
        <w:rPr>
          <w:rFonts w:hint="default" w:ascii="Arial" w:hAnsi="Arial" w:cs="Arial"/>
          <w:sz w:val="20"/>
          <w:szCs w:val="20"/>
          <w:lang w:val="en-US" w:eastAsia="zh-CN"/>
        </w:rPr>
        <w:t>eFigure 10. Kaplan-Meier estimates for depressive symptoms events with vs. without stroke</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_Toc15693 \h </w:instrText>
      </w:r>
      <w:r>
        <w:rPr>
          <w:rFonts w:hint="default" w:ascii="Arial" w:hAnsi="Arial" w:cs="Arial"/>
          <w:sz w:val="20"/>
          <w:szCs w:val="20"/>
        </w:rPr>
        <w:fldChar w:fldCharType="separate"/>
      </w:r>
      <w:r>
        <w:rPr>
          <w:rFonts w:hint="default" w:ascii="Arial" w:hAnsi="Arial" w:cs="Arial"/>
          <w:sz w:val="20"/>
          <w:szCs w:val="20"/>
        </w:rPr>
        <w:t>7</w:t>
      </w:r>
      <w:r>
        <w:rPr>
          <w:rFonts w:hint="default" w:ascii="Arial" w:hAnsi="Arial" w:cs="Arial"/>
          <w:sz w:val="20"/>
          <w:szCs w:val="20"/>
        </w:rPr>
        <w:fldChar w:fldCharType="end"/>
      </w:r>
      <w:r>
        <w:rPr>
          <w:rFonts w:hint="default" w:ascii="Arial" w:hAnsi="Arial" w:cs="Arial"/>
          <w:color w:val="auto"/>
          <w:sz w:val="20"/>
          <w:szCs w:val="20"/>
        </w:rPr>
        <w:fldChar w:fldCharType="end"/>
      </w:r>
    </w:p>
    <w:p w14:paraId="75E96CA8">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_Toc27301 </w:instrText>
      </w:r>
      <w:r>
        <w:rPr>
          <w:rFonts w:hint="default" w:ascii="Arial" w:hAnsi="Arial" w:cs="Arial"/>
          <w:sz w:val="20"/>
          <w:szCs w:val="20"/>
        </w:rPr>
        <w:fldChar w:fldCharType="separate"/>
      </w:r>
      <w:r>
        <w:rPr>
          <w:rFonts w:hint="default" w:ascii="Arial" w:hAnsi="Arial" w:cs="Arial"/>
          <w:sz w:val="20"/>
          <w:szCs w:val="20"/>
          <w:lang w:val="en-US" w:eastAsia="zh-CN"/>
        </w:rPr>
        <w:t>eFigure 11. Kaplan-Meier estimates for depressive symptoms events with vs. without kidney disease</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_Toc27301 \h </w:instrText>
      </w:r>
      <w:r>
        <w:rPr>
          <w:rFonts w:hint="default" w:ascii="Arial" w:hAnsi="Arial" w:cs="Arial"/>
          <w:sz w:val="20"/>
          <w:szCs w:val="20"/>
        </w:rPr>
        <w:fldChar w:fldCharType="separate"/>
      </w:r>
      <w:r>
        <w:rPr>
          <w:rFonts w:hint="default" w:ascii="Arial" w:hAnsi="Arial" w:cs="Arial"/>
          <w:sz w:val="20"/>
          <w:szCs w:val="20"/>
        </w:rPr>
        <w:t>8</w:t>
      </w:r>
      <w:r>
        <w:rPr>
          <w:rFonts w:hint="default" w:ascii="Arial" w:hAnsi="Arial" w:cs="Arial"/>
          <w:sz w:val="20"/>
          <w:szCs w:val="20"/>
        </w:rPr>
        <w:fldChar w:fldCharType="end"/>
      </w:r>
      <w:r>
        <w:rPr>
          <w:rFonts w:hint="default" w:ascii="Arial" w:hAnsi="Arial" w:cs="Arial"/>
          <w:color w:val="auto"/>
          <w:sz w:val="20"/>
          <w:szCs w:val="20"/>
        </w:rPr>
        <w:fldChar w:fldCharType="end"/>
      </w:r>
    </w:p>
    <w:p w14:paraId="44933C17">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_Toc1302 </w:instrText>
      </w:r>
      <w:r>
        <w:rPr>
          <w:rFonts w:hint="default" w:ascii="Arial" w:hAnsi="Arial" w:cs="Arial"/>
          <w:sz w:val="20"/>
          <w:szCs w:val="20"/>
        </w:rPr>
        <w:fldChar w:fldCharType="separate"/>
      </w:r>
      <w:r>
        <w:rPr>
          <w:rFonts w:hint="default" w:ascii="Arial" w:hAnsi="Arial" w:cs="Arial"/>
          <w:sz w:val="20"/>
          <w:szCs w:val="20"/>
          <w:lang w:val="en-US" w:eastAsia="zh-CN"/>
        </w:rPr>
        <w:t>eFigure 12. Kaplan-Meier estimates for depressive symptoms events with vs. without digestive disease</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_Toc1302 \h </w:instrText>
      </w:r>
      <w:r>
        <w:rPr>
          <w:rFonts w:hint="default" w:ascii="Arial" w:hAnsi="Arial" w:cs="Arial"/>
          <w:sz w:val="20"/>
          <w:szCs w:val="20"/>
        </w:rPr>
        <w:fldChar w:fldCharType="separate"/>
      </w:r>
      <w:r>
        <w:rPr>
          <w:rFonts w:hint="default" w:ascii="Arial" w:hAnsi="Arial" w:cs="Arial"/>
          <w:sz w:val="20"/>
          <w:szCs w:val="20"/>
        </w:rPr>
        <w:t>8</w:t>
      </w:r>
      <w:r>
        <w:rPr>
          <w:rFonts w:hint="default" w:ascii="Arial" w:hAnsi="Arial" w:cs="Arial"/>
          <w:sz w:val="20"/>
          <w:szCs w:val="20"/>
        </w:rPr>
        <w:fldChar w:fldCharType="end"/>
      </w:r>
      <w:r>
        <w:rPr>
          <w:rFonts w:hint="default" w:ascii="Arial" w:hAnsi="Arial" w:cs="Arial"/>
          <w:color w:val="auto"/>
          <w:sz w:val="20"/>
          <w:szCs w:val="20"/>
        </w:rPr>
        <w:fldChar w:fldCharType="end"/>
      </w:r>
    </w:p>
    <w:p w14:paraId="10AF6B3B">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_Toc520 </w:instrText>
      </w:r>
      <w:r>
        <w:rPr>
          <w:rFonts w:hint="default" w:ascii="Arial" w:hAnsi="Arial" w:cs="Arial"/>
          <w:sz w:val="20"/>
          <w:szCs w:val="20"/>
        </w:rPr>
        <w:fldChar w:fldCharType="separate"/>
      </w:r>
      <w:r>
        <w:rPr>
          <w:rFonts w:hint="default" w:ascii="Arial" w:hAnsi="Arial" w:cs="Arial"/>
          <w:sz w:val="20"/>
          <w:szCs w:val="20"/>
          <w:lang w:val="en-US" w:eastAsia="zh-CN"/>
        </w:rPr>
        <w:t>eFigure 13. Kaplan-Meier estimates for depressive symptoms events with vs. without memory disease</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_Toc520 \h </w:instrText>
      </w:r>
      <w:r>
        <w:rPr>
          <w:rFonts w:hint="default" w:ascii="Arial" w:hAnsi="Arial" w:cs="Arial"/>
          <w:sz w:val="20"/>
          <w:szCs w:val="20"/>
        </w:rPr>
        <w:fldChar w:fldCharType="separate"/>
      </w:r>
      <w:r>
        <w:rPr>
          <w:rFonts w:hint="default" w:ascii="Arial" w:hAnsi="Arial" w:cs="Arial"/>
          <w:sz w:val="20"/>
          <w:szCs w:val="20"/>
        </w:rPr>
        <w:t>9</w:t>
      </w:r>
      <w:r>
        <w:rPr>
          <w:rFonts w:hint="default" w:ascii="Arial" w:hAnsi="Arial" w:cs="Arial"/>
          <w:sz w:val="20"/>
          <w:szCs w:val="20"/>
        </w:rPr>
        <w:fldChar w:fldCharType="end"/>
      </w:r>
      <w:r>
        <w:rPr>
          <w:rFonts w:hint="default" w:ascii="Arial" w:hAnsi="Arial" w:cs="Arial"/>
          <w:color w:val="auto"/>
          <w:sz w:val="20"/>
          <w:szCs w:val="20"/>
        </w:rPr>
        <w:fldChar w:fldCharType="end"/>
      </w:r>
    </w:p>
    <w:p w14:paraId="7812A183">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_Toc19285 </w:instrText>
      </w:r>
      <w:r>
        <w:rPr>
          <w:rFonts w:hint="default" w:ascii="Arial" w:hAnsi="Arial" w:cs="Arial"/>
          <w:sz w:val="20"/>
          <w:szCs w:val="20"/>
        </w:rPr>
        <w:fldChar w:fldCharType="separate"/>
      </w:r>
      <w:r>
        <w:rPr>
          <w:rFonts w:hint="default" w:ascii="Arial" w:hAnsi="Arial" w:cs="Arial"/>
          <w:sz w:val="20"/>
          <w:szCs w:val="20"/>
          <w:lang w:val="en-US" w:eastAsia="zh-CN"/>
        </w:rPr>
        <w:t>eFigure 14. Kaplan-Meier estimates for depressive symptoms events with vs. without rheumatism</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_Toc19285 \h </w:instrText>
      </w:r>
      <w:r>
        <w:rPr>
          <w:rFonts w:hint="default" w:ascii="Arial" w:hAnsi="Arial" w:cs="Arial"/>
          <w:sz w:val="20"/>
          <w:szCs w:val="20"/>
        </w:rPr>
        <w:fldChar w:fldCharType="separate"/>
      </w:r>
      <w:r>
        <w:rPr>
          <w:rFonts w:hint="default" w:ascii="Arial" w:hAnsi="Arial" w:cs="Arial"/>
          <w:sz w:val="20"/>
          <w:szCs w:val="20"/>
        </w:rPr>
        <w:t>9</w:t>
      </w:r>
      <w:r>
        <w:rPr>
          <w:rFonts w:hint="default" w:ascii="Arial" w:hAnsi="Arial" w:cs="Arial"/>
          <w:sz w:val="20"/>
          <w:szCs w:val="20"/>
        </w:rPr>
        <w:fldChar w:fldCharType="end"/>
      </w:r>
      <w:r>
        <w:rPr>
          <w:rFonts w:hint="default" w:ascii="Arial" w:hAnsi="Arial" w:cs="Arial"/>
          <w:color w:val="auto"/>
          <w:sz w:val="20"/>
          <w:szCs w:val="20"/>
        </w:rPr>
        <w:fldChar w:fldCharType="end"/>
      </w:r>
    </w:p>
    <w:p w14:paraId="0DC0B6AA">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_Toc53 </w:instrText>
      </w:r>
      <w:r>
        <w:rPr>
          <w:rFonts w:hint="default" w:ascii="Arial" w:hAnsi="Arial" w:cs="Arial"/>
          <w:sz w:val="20"/>
          <w:szCs w:val="20"/>
        </w:rPr>
        <w:fldChar w:fldCharType="separate"/>
      </w:r>
      <w:r>
        <w:rPr>
          <w:rFonts w:hint="default" w:ascii="Arial" w:hAnsi="Arial" w:cs="Arial"/>
          <w:sz w:val="20"/>
          <w:szCs w:val="20"/>
          <w:lang w:val="en-US" w:eastAsia="zh-CN"/>
        </w:rPr>
        <w:t>eFigure 15. Kaplan-Meier estimates for depressive symptoms events with different disease model</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_Toc53 \h </w:instrText>
      </w:r>
      <w:r>
        <w:rPr>
          <w:rFonts w:hint="default" w:ascii="Arial" w:hAnsi="Arial" w:cs="Arial"/>
          <w:sz w:val="20"/>
          <w:szCs w:val="20"/>
        </w:rPr>
        <w:fldChar w:fldCharType="separate"/>
      </w:r>
      <w:r>
        <w:rPr>
          <w:rFonts w:hint="default" w:ascii="Arial" w:hAnsi="Arial" w:cs="Arial"/>
          <w:sz w:val="20"/>
          <w:szCs w:val="20"/>
        </w:rPr>
        <w:t>10</w:t>
      </w:r>
      <w:r>
        <w:rPr>
          <w:rFonts w:hint="default" w:ascii="Arial" w:hAnsi="Arial" w:cs="Arial"/>
          <w:sz w:val="20"/>
          <w:szCs w:val="20"/>
        </w:rPr>
        <w:fldChar w:fldCharType="end"/>
      </w:r>
      <w:r>
        <w:rPr>
          <w:rFonts w:hint="default" w:ascii="Arial" w:hAnsi="Arial" w:cs="Arial"/>
          <w:color w:val="auto"/>
          <w:sz w:val="20"/>
          <w:szCs w:val="20"/>
        </w:rPr>
        <w:fldChar w:fldCharType="end"/>
      </w:r>
    </w:p>
    <w:p w14:paraId="2E893A00">
      <w:pPr>
        <w:pStyle w:val="6"/>
        <w:tabs>
          <w:tab w:val="right" w:leader="dot" w:pos="10205"/>
        </w:tabs>
        <w:rPr>
          <w:rFonts w:hint="default" w:ascii="Arial" w:hAnsi="Arial" w:cs="Arial"/>
          <w:sz w:val="20"/>
          <w:szCs w:val="20"/>
        </w:rPr>
      </w:pPr>
      <w:r>
        <w:rPr>
          <w:rFonts w:hint="default" w:ascii="Arial" w:hAnsi="Arial" w:cs="Arial"/>
          <w:color w:val="auto"/>
          <w:sz w:val="20"/>
          <w:szCs w:val="20"/>
        </w:rPr>
        <w:fldChar w:fldCharType="begin"/>
      </w:r>
      <w:r>
        <w:rPr>
          <w:rFonts w:hint="default" w:ascii="Arial" w:hAnsi="Arial" w:cs="Arial"/>
          <w:sz w:val="20"/>
          <w:szCs w:val="20"/>
        </w:rPr>
        <w:instrText xml:space="preserve"> HYPERLINK \l _Toc31660 </w:instrText>
      </w:r>
      <w:r>
        <w:rPr>
          <w:rFonts w:hint="default" w:ascii="Arial" w:hAnsi="Arial" w:cs="Arial"/>
          <w:sz w:val="20"/>
          <w:szCs w:val="20"/>
        </w:rPr>
        <w:fldChar w:fldCharType="separate"/>
      </w:r>
      <w:r>
        <w:rPr>
          <w:rFonts w:hint="default" w:ascii="Arial" w:hAnsi="Arial" w:cs="Arial"/>
          <w:sz w:val="20"/>
          <w:szCs w:val="20"/>
          <w:lang w:val="en-US" w:eastAsia="zh-CN"/>
        </w:rPr>
        <w:t>eTable 2. Mediation analysis of sleep duration and cognition in the association between chronic diseases and depressive symptoms</w:t>
      </w:r>
      <w:r>
        <w:rPr>
          <w:rFonts w:hint="default" w:ascii="Arial" w:hAnsi="Arial" w:cs="Arial"/>
          <w:sz w:val="20"/>
          <w:szCs w:val="20"/>
        </w:rPr>
        <w:tab/>
      </w:r>
      <w:r>
        <w:rPr>
          <w:rFonts w:hint="default" w:ascii="Arial" w:hAnsi="Arial" w:cs="Arial"/>
          <w:sz w:val="20"/>
          <w:szCs w:val="20"/>
        </w:rPr>
        <w:fldChar w:fldCharType="begin"/>
      </w:r>
      <w:r>
        <w:rPr>
          <w:rFonts w:hint="default" w:ascii="Arial" w:hAnsi="Arial" w:cs="Arial"/>
          <w:sz w:val="20"/>
          <w:szCs w:val="20"/>
        </w:rPr>
        <w:instrText xml:space="preserve"> PAGEREF _Toc31660 \h </w:instrText>
      </w:r>
      <w:r>
        <w:rPr>
          <w:rFonts w:hint="default" w:ascii="Arial" w:hAnsi="Arial" w:cs="Arial"/>
          <w:sz w:val="20"/>
          <w:szCs w:val="20"/>
        </w:rPr>
        <w:fldChar w:fldCharType="separate"/>
      </w:r>
      <w:r>
        <w:rPr>
          <w:rFonts w:hint="default" w:ascii="Arial" w:hAnsi="Arial" w:cs="Arial"/>
          <w:sz w:val="20"/>
          <w:szCs w:val="20"/>
        </w:rPr>
        <w:t>11</w:t>
      </w:r>
      <w:r>
        <w:rPr>
          <w:rFonts w:hint="default" w:ascii="Arial" w:hAnsi="Arial" w:cs="Arial"/>
          <w:sz w:val="20"/>
          <w:szCs w:val="20"/>
        </w:rPr>
        <w:fldChar w:fldCharType="end"/>
      </w:r>
      <w:r>
        <w:rPr>
          <w:rFonts w:hint="default" w:ascii="Arial" w:hAnsi="Arial" w:cs="Arial"/>
          <w:color w:val="auto"/>
          <w:sz w:val="20"/>
          <w:szCs w:val="20"/>
        </w:rPr>
        <w:fldChar w:fldCharType="end"/>
      </w:r>
    </w:p>
    <w:p w14:paraId="69DF13EA">
      <w:pPr>
        <w:keepNext w:val="0"/>
        <w:keepLines w:val="0"/>
        <w:pageBreakBefore w:val="0"/>
        <w:widowControl w:val="0"/>
        <w:kinsoku/>
        <w:wordWrap/>
        <w:overflowPunct/>
        <w:topLinePunct w:val="0"/>
        <w:autoSpaceDE/>
        <w:autoSpaceDN/>
        <w:bidi w:val="0"/>
        <w:adjustRightInd/>
        <w:snapToGrid/>
        <w:spacing w:line="480" w:lineRule="auto"/>
        <w:ind w:left="1468" w:leftChars="500" w:right="1050" w:rightChars="500" w:hanging="418" w:hangingChars="209"/>
        <w:jc w:val="both"/>
        <w:textAlignment w:val="auto"/>
        <w:rPr>
          <w:rFonts w:hint="default" w:ascii="Arial" w:hAnsi="Arial" w:cs="Arial"/>
          <w:color w:val="auto"/>
          <w:sz w:val="20"/>
          <w:szCs w:val="20"/>
        </w:rPr>
      </w:pPr>
      <w:r>
        <w:rPr>
          <w:rFonts w:hint="default" w:ascii="Arial" w:hAnsi="Arial" w:cs="Arial"/>
          <w:color w:val="auto"/>
          <w:sz w:val="20"/>
          <w:szCs w:val="20"/>
        </w:rPr>
        <w:fldChar w:fldCharType="end"/>
      </w:r>
    </w:p>
    <w:p w14:paraId="752D94C4">
      <w:pPr>
        <w:rPr>
          <w:rFonts w:hint="default" w:ascii="Arial" w:hAnsi="Arial" w:cs="Arial"/>
          <w:color w:val="auto"/>
          <w:sz w:val="20"/>
          <w:szCs w:val="20"/>
        </w:rPr>
      </w:pPr>
    </w:p>
    <w:p w14:paraId="21FEC9ED">
      <w:pPr>
        <w:rPr>
          <w:rFonts w:hint="default" w:ascii="Arial" w:hAnsi="Arial" w:cs="Arial"/>
          <w:color w:val="auto"/>
          <w:sz w:val="20"/>
          <w:szCs w:val="20"/>
        </w:rPr>
        <w:sectPr>
          <w:pgSz w:w="11906" w:h="16838"/>
          <w:pgMar w:top="1440" w:right="1134" w:bottom="1440" w:left="56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054082F">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0CB0259C">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sz w:val="20"/>
        </w:rPr>
        <mc:AlternateContent>
          <mc:Choice Requires="wpg">
            <w:drawing>
              <wp:inline distT="0" distB="0" distL="114300" distR="114300">
                <wp:extent cx="6344920" cy="5144770"/>
                <wp:effectExtent l="0" t="0" r="0" b="0"/>
                <wp:docPr id="53" name="组合 53"/>
                <wp:cNvGraphicFramePr/>
                <a:graphic xmlns:a="http://schemas.openxmlformats.org/drawingml/2006/main">
                  <a:graphicData uri="http://schemas.microsoft.com/office/word/2010/wordprocessingGroup">
                    <wpg:wgp>
                      <wpg:cNvGrpSpPr/>
                      <wpg:grpSpPr>
                        <a:xfrm>
                          <a:off x="0" y="0"/>
                          <a:ext cx="6344920" cy="5144770"/>
                          <a:chOff x="3508" y="36236"/>
                          <a:chExt cx="9992" cy="8102"/>
                        </a:xfrm>
                      </wpg:grpSpPr>
                      <wpg:grpSp>
                        <wpg:cNvPr id="52" name="组合 52"/>
                        <wpg:cNvGrpSpPr/>
                        <wpg:grpSpPr>
                          <a:xfrm>
                            <a:off x="3508" y="36236"/>
                            <a:ext cx="9992" cy="8103"/>
                            <a:chOff x="3582" y="38342"/>
                            <a:chExt cx="9992" cy="8103"/>
                          </a:xfrm>
                        </wpg:grpSpPr>
                        <wps:wsp>
                          <wps:cNvPr id="175" name="矩形 6"/>
                          <wps:cNvSpPr/>
                          <wps:spPr>
                            <a:xfrm>
                              <a:off x="5894" y="38342"/>
                              <a:ext cx="3682" cy="740"/>
                            </a:xfrm>
                            <a:prstGeom prst="rect">
                              <a:avLst/>
                            </a:prstGeom>
                            <a:solidFill>
                              <a:schemeClr val="accent1">
                                <a:lumMod val="40000"/>
                                <a:lumOff val="60000"/>
                              </a:schemeClr>
                            </a:solidFill>
                          </wps:spPr>
                          <wps:style>
                            <a:lnRef idx="2">
                              <a:schemeClr val="accent1"/>
                            </a:lnRef>
                            <a:fillRef idx="2">
                              <a:schemeClr val="accent1"/>
                            </a:fillRef>
                            <a:effectRef idx="0">
                              <a:srgbClr val="FFFFFF"/>
                            </a:effectRef>
                            <a:fontRef idx="minor">
                              <a:schemeClr val="lt1"/>
                            </a:fontRef>
                          </wps:style>
                          <wps:txbx>
                            <w:txbxContent>
                              <w:p w14:paraId="1A8A8CEC">
                                <w:pPr>
                                  <w:keepNext w:val="0"/>
                                  <w:keepLines w:val="0"/>
                                  <w:pageBreakBefore w:val="0"/>
                                  <w:widowControl w:val="0"/>
                                  <w:kinsoku/>
                                  <w:wordWrap/>
                                  <w:overflowPunct/>
                                  <w:topLinePunct w:val="0"/>
                                  <w:bidi w:val="0"/>
                                  <w:adjustRightInd/>
                                  <w:snapToGrid/>
                                  <w:spacing w:line="240" w:lineRule="auto"/>
                                  <w:ind w:left="-105" w:leftChars="-50" w:right="-105" w:rightChars="-50" w:firstLine="0" w:firstLineChars="0"/>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Participants at baseline from CHARLS</w:t>
                                </w:r>
                              </w:p>
                              <w:p w14:paraId="59679447">
                                <w:pPr>
                                  <w:keepNext w:val="0"/>
                                  <w:keepLines w:val="0"/>
                                  <w:pageBreakBefore w:val="0"/>
                                  <w:widowControl w:val="0"/>
                                  <w:kinsoku/>
                                  <w:wordWrap/>
                                  <w:overflowPunct/>
                                  <w:topLinePunct w:val="0"/>
                                  <w:bidi w:val="0"/>
                                  <w:adjustRightInd/>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17708)</w:t>
                                </w:r>
                              </w:p>
                            </w:txbxContent>
                          </wps:txbx>
                          <wps:bodyPr vertOverflow="clip" horzOverflow="clip" vert="horz" wrap="square" numCol="1" spcCol="0" rtlCol="0" fromWordArt="0" anchor="ctr" anchorCtr="0" forceAA="0" compatLnSpc="1">
                            <a:noAutofit/>
                          </wps:bodyPr>
                        </wps:wsp>
                        <wps:wsp>
                          <wps:cNvPr id="184" name="直接箭头连接符 11"/>
                          <wps:cNvCnPr>
                            <a:stCxn id="175" idx="2"/>
                            <a:endCxn id="1" idx="0"/>
                          </wps:cNvCnPr>
                          <wps:spPr>
                            <a:xfrm>
                              <a:off x="7735" y="39082"/>
                              <a:ext cx="0" cy="2161"/>
                            </a:xfrm>
                            <a:prstGeom prst="straightConnector1">
                              <a:avLst/>
                            </a:prstGeom>
                            <a:noFill/>
                            <a:ln w="12700" cap="flat" cmpd="sng" algn="ctr">
                              <a:solidFill>
                                <a:srgbClr val="0070C0"/>
                              </a:solidFill>
                              <a:prstDash val="solid"/>
                              <a:miter lim="800000"/>
                              <a:tailEnd type="triangle" w="med" len="med"/>
                            </a:ln>
                            <a:effectLst/>
                          </wps:spPr>
                          <wps:bodyPr/>
                        </wps:wsp>
                        <wps:wsp>
                          <wps:cNvPr id="129" name="矩形 6"/>
                          <wps:cNvSpPr/>
                          <wps:spPr>
                            <a:xfrm>
                              <a:off x="9786" y="39128"/>
                              <a:ext cx="3788" cy="2038"/>
                            </a:xfrm>
                            <a:prstGeom prst="rect">
                              <a:avLst/>
                            </a:prstGeom>
                            <a:solidFill>
                              <a:schemeClr val="accent3">
                                <a:lumMod val="40000"/>
                                <a:lumOff val="60000"/>
                              </a:schemeClr>
                            </a:solidFill>
                          </wps:spPr>
                          <wps:style>
                            <a:lnRef idx="2">
                              <a:schemeClr val="accent3"/>
                            </a:lnRef>
                            <a:fillRef idx="0">
                              <a:srgbClr val="FFFFFF"/>
                            </a:fillRef>
                            <a:effectRef idx="0">
                              <a:srgbClr val="FFFFFF"/>
                            </a:effectRef>
                            <a:fontRef idx="minor">
                              <a:schemeClr val="tx1"/>
                            </a:fontRef>
                          </wps:style>
                          <wps:txbx>
                            <w:txbxContent>
                              <w:p w14:paraId="1A94921A">
                                <w:pPr>
                                  <w:keepNext w:val="0"/>
                                  <w:keepLines w:val="0"/>
                                  <w:pageBreakBefore w:val="0"/>
                                  <w:widowControl w:val="0"/>
                                  <w:kinsoku/>
                                  <w:wordWrap/>
                                  <w:overflowPunct/>
                                  <w:topLinePunct w:val="0"/>
                                  <w:bidi w:val="0"/>
                                  <w:adjustRightInd/>
                                  <w:snapToGrid/>
                                  <w:spacing w:line="240" w:lineRule="auto"/>
                                  <w:ind w:left="-63" w:leftChars="-30" w:right="-63" w:rightChars="-30" w:firstLine="0" w:firstLineChars="0"/>
                                  <w:jc w:val="left"/>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 xml:space="preserve">Participants with exclusion criteria </w:t>
                                </w:r>
                              </w:p>
                              <w:p w14:paraId="60D00155">
                                <w:pPr>
                                  <w:keepNext w:val="0"/>
                                  <w:keepLines w:val="0"/>
                                  <w:pageBreakBefore w:val="0"/>
                                  <w:widowControl w:val="0"/>
                                  <w:kinsoku/>
                                  <w:wordWrap/>
                                  <w:overflowPunct/>
                                  <w:topLinePunct w:val="0"/>
                                  <w:bidi w:val="0"/>
                                  <w:adjustRightInd/>
                                  <w:snapToGrid/>
                                  <w:spacing w:line="240" w:lineRule="auto"/>
                                  <w:ind w:left="-63" w:leftChars="-30" w:right="-63" w:rightChars="-30" w:firstLine="0" w:firstLineChars="0"/>
                                  <w:jc w:val="left"/>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were excluded (N = 6648)</w:t>
                                </w:r>
                              </w:p>
                              <w:p w14:paraId="1101754F">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Man (N = 2357)</w:t>
                                </w:r>
                              </w:p>
                              <w:p w14:paraId="78BD8CC1">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Not yet menopausal (N = 593)</w:t>
                                </w:r>
                              </w:p>
                              <w:p w14:paraId="452F3929">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Presence of tumor or cancer (N = 401)</w:t>
                                </w:r>
                              </w:p>
                              <w:p w14:paraId="1E9E5CE1">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C-reactive protein &gt; 20 mg/L (N = 3297)</w:t>
                                </w:r>
                              </w:p>
                            </w:txbxContent>
                          </wps:txbx>
                          <wps:bodyPr vertOverflow="clip" horzOverflow="clip" vert="horz" wrap="square" numCol="1" spcCol="0" rtlCol="0" fromWordArt="0" anchor="ctr" anchorCtr="0" forceAA="0" compatLnSpc="1">
                            <a:noAutofit/>
                          </wps:bodyPr>
                        </wps:wsp>
                        <wps:wsp>
                          <wps:cNvPr id="160" name="直接箭头连接符 11"/>
                          <wps:cNvCnPr>
                            <a:stCxn id="129" idx="1"/>
                          </wps:cNvCnPr>
                          <wps:spPr>
                            <a:xfrm flipH="1">
                              <a:off x="7726" y="40147"/>
                              <a:ext cx="2060" cy="8"/>
                            </a:xfrm>
                            <a:prstGeom prst="straightConnector1">
                              <a:avLst/>
                            </a:prstGeom>
                            <a:noFill/>
                            <a:ln w="12700" cap="flat" cmpd="sng" algn="ctr">
                              <a:solidFill>
                                <a:srgbClr val="0070C0"/>
                              </a:solidFill>
                              <a:prstDash val="solid"/>
                              <a:miter lim="800000"/>
                              <a:headEnd type="triangle"/>
                              <a:tailEnd type="none" w="med" len="med"/>
                            </a:ln>
                            <a:effectLst/>
                          </wps:spPr>
                          <wps:bodyPr/>
                        </wps:wsp>
                        <wps:wsp>
                          <wps:cNvPr id="1" name="矩形 6"/>
                          <wps:cNvSpPr/>
                          <wps:spPr>
                            <a:xfrm>
                              <a:off x="5894" y="41243"/>
                              <a:ext cx="3682" cy="740"/>
                            </a:xfrm>
                            <a:prstGeom prst="rect">
                              <a:avLst/>
                            </a:prstGeom>
                            <a:solidFill>
                              <a:schemeClr val="accent1">
                                <a:lumMod val="40000"/>
                                <a:lumOff val="60000"/>
                              </a:schemeClr>
                            </a:solidFill>
                          </wps:spPr>
                          <wps:style>
                            <a:lnRef idx="2">
                              <a:schemeClr val="accent1"/>
                            </a:lnRef>
                            <a:fillRef idx="2">
                              <a:schemeClr val="accent1"/>
                            </a:fillRef>
                            <a:effectRef idx="0">
                              <a:srgbClr val="FFFFFF"/>
                            </a:effectRef>
                            <a:fontRef idx="minor">
                              <a:schemeClr val="lt1"/>
                            </a:fontRef>
                          </wps:style>
                          <wps:txbx>
                            <w:txbxContent>
                              <w:p w14:paraId="541AB41D">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Initially eligible participants</w:t>
                                </w:r>
                              </w:p>
                              <w:p w14:paraId="1AA4FFC4">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11060)</w:t>
                                </w:r>
                              </w:p>
                            </w:txbxContent>
                          </wps:txbx>
                          <wps:bodyPr vertOverflow="clip" horzOverflow="clip" vert="horz" wrap="square" numCol="1" spcCol="0" rtlCol="0" fromWordArt="0" anchor="ctr" anchorCtr="0" forceAA="0" compatLnSpc="1">
                            <a:noAutofit/>
                          </wps:bodyPr>
                        </wps:wsp>
                        <wps:wsp>
                          <wps:cNvPr id="2" name="矩形 6"/>
                          <wps:cNvSpPr/>
                          <wps:spPr>
                            <a:xfrm>
                              <a:off x="5894" y="44162"/>
                              <a:ext cx="3682" cy="740"/>
                            </a:xfrm>
                            <a:prstGeom prst="rect">
                              <a:avLst/>
                            </a:prstGeom>
                            <a:solidFill>
                              <a:schemeClr val="accent1">
                                <a:lumMod val="40000"/>
                                <a:lumOff val="60000"/>
                              </a:schemeClr>
                            </a:solidFill>
                          </wps:spPr>
                          <wps:style>
                            <a:lnRef idx="2">
                              <a:schemeClr val="accent1"/>
                            </a:lnRef>
                            <a:fillRef idx="2">
                              <a:schemeClr val="accent1"/>
                            </a:fillRef>
                            <a:effectRef idx="0">
                              <a:srgbClr val="FFFFFF"/>
                            </a:effectRef>
                            <a:fontRef idx="minor">
                              <a:schemeClr val="lt1"/>
                            </a:fontRef>
                          </wps:style>
                          <wps:txbx>
                            <w:txbxContent>
                              <w:p w14:paraId="01531B5D">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Finally included participants</w:t>
                                </w:r>
                              </w:p>
                              <w:p w14:paraId="59ADBAA3">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6337)</w:t>
                                </w:r>
                              </w:p>
                            </w:txbxContent>
                          </wps:txbx>
                          <wps:bodyPr vertOverflow="clip" horzOverflow="clip" vert="horz" wrap="square" numCol="1" spcCol="0" rtlCol="0" fromWordArt="0" anchor="ctr" anchorCtr="0" forceAA="0" compatLnSpc="1">
                            <a:noAutofit/>
                          </wps:bodyPr>
                        </wps:wsp>
                        <wps:wsp>
                          <wps:cNvPr id="3" name="矩形 6"/>
                          <wps:cNvSpPr/>
                          <wps:spPr>
                            <a:xfrm>
                              <a:off x="9786" y="42064"/>
                              <a:ext cx="3788" cy="2017"/>
                            </a:xfrm>
                            <a:prstGeom prst="rect">
                              <a:avLst/>
                            </a:prstGeom>
                            <a:solidFill>
                              <a:schemeClr val="accent3">
                                <a:lumMod val="40000"/>
                                <a:lumOff val="60000"/>
                              </a:schemeClr>
                            </a:solidFill>
                          </wps:spPr>
                          <wps:style>
                            <a:lnRef idx="2">
                              <a:schemeClr val="accent3"/>
                            </a:lnRef>
                            <a:fillRef idx="0">
                              <a:srgbClr val="FFFFFF"/>
                            </a:fillRef>
                            <a:effectRef idx="0">
                              <a:srgbClr val="FFFFFF"/>
                            </a:effectRef>
                            <a:fontRef idx="minor">
                              <a:schemeClr val="tx1"/>
                            </a:fontRef>
                          </wps:style>
                          <wps:txbx>
                            <w:txbxContent>
                              <w:p w14:paraId="6D18288A">
                                <w:pPr>
                                  <w:keepNext w:val="0"/>
                                  <w:keepLines w:val="0"/>
                                  <w:pageBreakBefore w:val="0"/>
                                  <w:widowControl w:val="0"/>
                                  <w:kinsoku/>
                                  <w:wordWrap/>
                                  <w:overflowPunct/>
                                  <w:topLinePunct w:val="0"/>
                                  <w:bidi w:val="0"/>
                                  <w:adjustRightInd/>
                                  <w:snapToGrid/>
                                  <w:spacing w:line="240" w:lineRule="auto"/>
                                  <w:ind w:left="-63" w:leftChars="-30" w:right="-63" w:rightChars="-30" w:firstLine="0" w:firstLineChars="0"/>
                                  <w:jc w:val="left"/>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Participants with missing essential data were excluded (N = 6485)</w:t>
                                </w:r>
                              </w:p>
                              <w:p w14:paraId="01760E0E">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Missing age data (N = 234)</w:t>
                                </w:r>
                              </w:p>
                              <w:p w14:paraId="4BB0DCBD">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Missing CESD-10 scores (N = 764)</w:t>
                                </w:r>
                              </w:p>
                              <w:p w14:paraId="6AD2E241">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Missing chronic disease data (N = 2615)</w:t>
                                </w:r>
                              </w:p>
                              <w:p w14:paraId="26B7FA19">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default" w:cs="Times New Roman"/>
                                    <w:kern w:val="2"/>
                                    <w:sz w:val="21"/>
                                    <w:szCs w:val="21"/>
                                    <w:lang w:val="en-US" w:eastAsia="zh-CN" w:bidi="ar-SA"/>
                                  </w:rPr>
                                  <w:t>Missing</w:t>
                                </w:r>
                                <w:r>
                                  <w:rPr>
                                    <w:rFonts w:hint="eastAsia" w:cs="Times New Roman"/>
                                    <w:kern w:val="2"/>
                                    <w:sz w:val="21"/>
                                    <w:szCs w:val="21"/>
                                    <w:lang w:val="en-US" w:eastAsia="zh-CN" w:bidi="ar-SA"/>
                                  </w:rPr>
                                  <w:t xml:space="preserve"> </w:t>
                                </w:r>
                                <w:r>
                                  <w:rPr>
                                    <w:rFonts w:hint="default" w:cs="Times New Roman"/>
                                    <w:kern w:val="2"/>
                                    <w:sz w:val="21"/>
                                    <w:szCs w:val="21"/>
                                    <w:lang w:val="en-US" w:eastAsia="zh-CN" w:bidi="ar-SA"/>
                                  </w:rPr>
                                  <w:t>other variables data</w:t>
                                </w:r>
                                <w:r>
                                  <w:rPr>
                                    <w:rFonts w:hint="eastAsia" w:cs="Times New Roman"/>
                                    <w:kern w:val="2"/>
                                    <w:sz w:val="21"/>
                                    <w:szCs w:val="21"/>
                                    <w:lang w:val="en-US" w:eastAsia="zh-CN" w:bidi="ar-SA"/>
                                  </w:rPr>
                                  <w:t xml:space="preserve"> (N = 2872)</w:t>
                                </w:r>
                              </w:p>
                            </w:txbxContent>
                          </wps:txbx>
                          <wps:bodyPr vertOverflow="clip" horzOverflow="clip" vert="horz" wrap="square" numCol="1" spcCol="0" rtlCol="0" fromWordArt="0" anchor="ctr" anchorCtr="0" forceAA="0" compatLnSpc="1">
                            <a:noAutofit/>
                          </wps:bodyPr>
                        </wps:wsp>
                        <wps:wsp>
                          <wps:cNvPr id="8" name="矩形 8"/>
                          <wps:cNvSpPr/>
                          <wps:spPr>
                            <a:xfrm>
                              <a:off x="5739" y="45705"/>
                              <a:ext cx="1820" cy="740"/>
                            </a:xfrm>
                            <a:prstGeom prst="rect">
                              <a:avLst/>
                            </a:prstGeom>
                            <a:solidFill>
                              <a:schemeClr val="accent1">
                                <a:lumMod val="40000"/>
                                <a:lumOff val="60000"/>
                              </a:schemeClr>
                            </a:solidFill>
                          </wps:spPr>
                          <wps:style>
                            <a:lnRef idx="2">
                              <a:schemeClr val="accent1"/>
                            </a:lnRef>
                            <a:fillRef idx="2">
                              <a:schemeClr val="accent1"/>
                            </a:fillRef>
                            <a:effectRef idx="0">
                              <a:srgbClr val="FFFFFF"/>
                            </a:effectRef>
                            <a:fontRef idx="minor">
                              <a:schemeClr val="lt1"/>
                            </a:fontRef>
                          </wps:style>
                          <wps:txbx>
                            <w:txbxContent>
                              <w:p w14:paraId="62B37CA5">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IDS</w:t>
                                </w:r>
                              </w:p>
                              <w:p w14:paraId="1FDA8ADA">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1250)</w:t>
                                </w:r>
                              </w:p>
                            </w:txbxContent>
                          </wps:txbx>
                          <wps:bodyPr vertOverflow="clip" horzOverflow="clip" vert="horz" wrap="square" numCol="1" spcCol="0" rtlCol="0" fromWordArt="0" anchor="ctr" anchorCtr="0" forceAA="0" compatLnSpc="1">
                            <a:noAutofit/>
                          </wps:bodyPr>
                        </wps:wsp>
                        <wps:wsp>
                          <wps:cNvPr id="16" name="直接箭头连接符 11"/>
                          <wps:cNvCnPr/>
                          <wps:spPr>
                            <a:xfrm>
                              <a:off x="7735" y="41998"/>
                              <a:ext cx="0" cy="2175"/>
                            </a:xfrm>
                            <a:prstGeom prst="straightConnector1">
                              <a:avLst/>
                            </a:prstGeom>
                            <a:noFill/>
                            <a:ln w="12700" cap="flat" cmpd="sng" algn="ctr">
                              <a:solidFill>
                                <a:srgbClr val="0070C0"/>
                              </a:solidFill>
                              <a:prstDash val="solid"/>
                              <a:miter lim="800000"/>
                              <a:tailEnd type="triangle" w="med" len="med"/>
                            </a:ln>
                            <a:effectLst/>
                          </wps:spPr>
                          <wps:bodyPr/>
                        </wps:wsp>
                        <wps:wsp>
                          <wps:cNvPr id="14" name="直接箭头连接符 11"/>
                          <wps:cNvCnPr/>
                          <wps:spPr>
                            <a:xfrm flipH="1">
                              <a:off x="7726" y="43078"/>
                              <a:ext cx="2060" cy="8"/>
                            </a:xfrm>
                            <a:prstGeom prst="straightConnector1">
                              <a:avLst/>
                            </a:prstGeom>
                            <a:noFill/>
                            <a:ln w="12700" cap="flat" cmpd="sng" algn="ctr">
                              <a:solidFill>
                                <a:srgbClr val="0070C0"/>
                              </a:solidFill>
                              <a:prstDash val="solid"/>
                              <a:miter lim="800000"/>
                              <a:headEnd type="triangle"/>
                              <a:tailEnd type="none" w="med" len="med"/>
                            </a:ln>
                            <a:effectLst/>
                          </wps:spPr>
                          <wps:bodyPr/>
                        </wps:wsp>
                        <wps:wsp>
                          <wps:cNvPr id="197" name="直接箭头连接符 11"/>
                          <wps:cNvCnPr/>
                          <wps:spPr>
                            <a:xfrm flipH="1" flipV="1">
                              <a:off x="4491" y="45322"/>
                              <a:ext cx="6467" cy="2"/>
                            </a:xfrm>
                            <a:prstGeom prst="straightConnector1">
                              <a:avLst/>
                            </a:prstGeom>
                            <a:noFill/>
                            <a:ln w="12700" cap="flat" cmpd="sng" algn="ctr">
                              <a:solidFill>
                                <a:srgbClr val="0070C0"/>
                              </a:solidFill>
                              <a:prstDash val="solid"/>
                              <a:miter lim="800000"/>
                              <a:tailEnd type="none" w="med" len="med"/>
                            </a:ln>
                            <a:effectLst/>
                          </wps:spPr>
                          <wps:bodyPr/>
                        </wps:wsp>
                        <wps:wsp>
                          <wps:cNvPr id="22" name="直接箭头连接符 11"/>
                          <wps:cNvCnPr/>
                          <wps:spPr>
                            <a:xfrm>
                              <a:off x="4491" y="45320"/>
                              <a:ext cx="2" cy="393"/>
                            </a:xfrm>
                            <a:prstGeom prst="straightConnector1">
                              <a:avLst/>
                            </a:prstGeom>
                            <a:noFill/>
                            <a:ln w="12700" cap="flat" cmpd="sng" algn="ctr">
                              <a:solidFill>
                                <a:srgbClr val="0070C0"/>
                              </a:solidFill>
                              <a:prstDash val="solid"/>
                              <a:miter lim="800000"/>
                              <a:tailEnd type="triangle" w="med" len="med"/>
                            </a:ln>
                            <a:effectLst/>
                          </wps:spPr>
                          <wps:bodyPr/>
                        </wps:wsp>
                        <wps:wsp>
                          <wps:cNvPr id="28" name="直接箭头连接符 11"/>
                          <wps:cNvCnPr/>
                          <wps:spPr>
                            <a:xfrm>
                              <a:off x="8805" y="45325"/>
                              <a:ext cx="2" cy="393"/>
                            </a:xfrm>
                            <a:prstGeom prst="straightConnector1">
                              <a:avLst/>
                            </a:prstGeom>
                            <a:noFill/>
                            <a:ln w="12700" cap="flat" cmpd="sng" algn="ctr">
                              <a:solidFill>
                                <a:srgbClr val="0070C0"/>
                              </a:solidFill>
                              <a:prstDash val="solid"/>
                              <a:miter lim="800000"/>
                              <a:tailEnd type="triangle" w="med" len="med"/>
                            </a:ln>
                            <a:effectLst/>
                          </wps:spPr>
                          <wps:bodyPr/>
                        </wps:wsp>
                        <wps:wsp>
                          <wps:cNvPr id="29" name="直接箭头连接符 11"/>
                          <wps:cNvCnPr/>
                          <wps:spPr>
                            <a:xfrm>
                              <a:off x="6648" y="45326"/>
                              <a:ext cx="2" cy="393"/>
                            </a:xfrm>
                            <a:prstGeom prst="straightConnector1">
                              <a:avLst/>
                            </a:prstGeom>
                            <a:noFill/>
                            <a:ln w="12700" cap="flat" cmpd="sng" algn="ctr">
                              <a:solidFill>
                                <a:srgbClr val="0070C0"/>
                              </a:solidFill>
                              <a:prstDash val="solid"/>
                              <a:miter lim="800000"/>
                              <a:tailEnd type="triangle" w="med" len="med"/>
                            </a:ln>
                            <a:effectLst/>
                          </wps:spPr>
                          <wps:bodyPr/>
                        </wps:wsp>
                        <wps:wsp>
                          <wps:cNvPr id="30" name="直接箭头连接符 11"/>
                          <wps:cNvCnPr/>
                          <wps:spPr>
                            <a:xfrm>
                              <a:off x="10964" y="45323"/>
                              <a:ext cx="1" cy="387"/>
                            </a:xfrm>
                            <a:prstGeom prst="straightConnector1">
                              <a:avLst/>
                            </a:prstGeom>
                            <a:noFill/>
                            <a:ln w="12700" cap="flat" cmpd="sng" algn="ctr">
                              <a:solidFill>
                                <a:srgbClr val="0070C0"/>
                              </a:solidFill>
                              <a:prstDash val="solid"/>
                              <a:miter lim="800000"/>
                              <a:tailEnd type="triangle" w="med" len="med"/>
                            </a:ln>
                            <a:effectLst/>
                          </wps:spPr>
                          <wps:bodyPr/>
                        </wps:wsp>
                        <wps:wsp>
                          <wps:cNvPr id="19" name="矩形 19"/>
                          <wps:cNvSpPr/>
                          <wps:spPr>
                            <a:xfrm>
                              <a:off x="3582" y="45705"/>
                              <a:ext cx="1820" cy="740"/>
                            </a:xfrm>
                            <a:prstGeom prst="rect">
                              <a:avLst/>
                            </a:prstGeom>
                            <a:solidFill>
                              <a:schemeClr val="accent1">
                                <a:lumMod val="40000"/>
                                <a:lumOff val="60000"/>
                              </a:schemeClr>
                            </a:solidFill>
                          </wps:spPr>
                          <wps:style>
                            <a:lnRef idx="2">
                              <a:schemeClr val="accent1"/>
                            </a:lnRef>
                            <a:fillRef idx="2">
                              <a:schemeClr val="accent1"/>
                            </a:fillRef>
                            <a:effectRef idx="0">
                              <a:srgbClr val="FFFFFF"/>
                            </a:effectRef>
                            <a:fontRef idx="minor">
                              <a:schemeClr val="lt1"/>
                            </a:fontRef>
                          </wps:style>
                          <wps:txbx>
                            <w:txbxContent>
                              <w:p w14:paraId="06891008">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NDS</w:t>
                                </w:r>
                              </w:p>
                              <w:p w14:paraId="57C6BE6F">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3939)</w:t>
                                </w:r>
                              </w:p>
                            </w:txbxContent>
                          </wps:txbx>
                          <wps:bodyPr vertOverflow="clip" horzOverflow="clip" vert="horz" wrap="square" numCol="1" spcCol="0" rtlCol="0" fromWordArt="0" anchor="ctr" anchorCtr="0" forceAA="0" compatLnSpc="1">
                            <a:noAutofit/>
                          </wps:bodyPr>
                        </wps:wsp>
                        <wps:wsp>
                          <wps:cNvPr id="20" name="矩形 20"/>
                          <wps:cNvSpPr/>
                          <wps:spPr>
                            <a:xfrm>
                              <a:off x="10053" y="45705"/>
                              <a:ext cx="1820" cy="740"/>
                            </a:xfrm>
                            <a:prstGeom prst="rect">
                              <a:avLst/>
                            </a:prstGeom>
                            <a:solidFill>
                              <a:schemeClr val="accent1">
                                <a:lumMod val="40000"/>
                                <a:lumOff val="60000"/>
                              </a:schemeClr>
                            </a:solidFill>
                          </wps:spPr>
                          <wps:style>
                            <a:lnRef idx="2">
                              <a:schemeClr val="accent1"/>
                            </a:lnRef>
                            <a:fillRef idx="2">
                              <a:schemeClr val="accent1"/>
                            </a:fillRef>
                            <a:effectRef idx="0">
                              <a:srgbClr val="FFFFFF"/>
                            </a:effectRef>
                            <a:fontRef idx="minor">
                              <a:schemeClr val="lt1"/>
                            </a:fontRef>
                          </wps:style>
                          <wps:txbx>
                            <w:txbxContent>
                              <w:p w14:paraId="1495D7D3">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PDS</w:t>
                                </w:r>
                              </w:p>
                              <w:p w14:paraId="52EA9633">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517)</w:t>
                                </w:r>
                              </w:p>
                            </w:txbxContent>
                          </wps:txbx>
                          <wps:bodyPr vertOverflow="clip" horzOverflow="clip" vert="horz" wrap="square" numCol="1" spcCol="0" rtlCol="0" fromWordArt="0" anchor="ctr" anchorCtr="0" forceAA="0" compatLnSpc="1">
                            <a:noAutofit/>
                          </wps:bodyPr>
                        </wps:wsp>
                        <wps:wsp>
                          <wps:cNvPr id="21" name="矩形 21"/>
                          <wps:cNvSpPr/>
                          <wps:spPr>
                            <a:xfrm>
                              <a:off x="7896" y="45705"/>
                              <a:ext cx="1820" cy="740"/>
                            </a:xfrm>
                            <a:prstGeom prst="rect">
                              <a:avLst/>
                            </a:prstGeom>
                            <a:solidFill>
                              <a:schemeClr val="accent1">
                                <a:lumMod val="40000"/>
                                <a:lumOff val="60000"/>
                              </a:schemeClr>
                            </a:solidFill>
                          </wps:spPr>
                          <wps:style>
                            <a:lnRef idx="2">
                              <a:schemeClr val="accent1"/>
                            </a:lnRef>
                            <a:fillRef idx="2">
                              <a:schemeClr val="accent1"/>
                            </a:fillRef>
                            <a:effectRef idx="0">
                              <a:srgbClr val="FFFFFF"/>
                            </a:effectRef>
                            <a:fontRef idx="minor">
                              <a:schemeClr val="lt1"/>
                            </a:fontRef>
                          </wps:style>
                          <wps:txbx>
                            <w:txbxContent>
                              <w:p w14:paraId="7A332753">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RDS</w:t>
                                </w:r>
                              </w:p>
                              <w:p w14:paraId="62EF2CB0">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631)</w:t>
                                </w:r>
                              </w:p>
                            </w:txbxContent>
                          </wps:txbx>
                          <wps:bodyPr vertOverflow="clip" horzOverflow="clip" vert="horz" wrap="square" numCol="1" spcCol="0" rtlCol="0" fromWordArt="0" anchor="ctr" anchorCtr="0" forceAA="0" compatLnSpc="1">
                            <a:noAutofit/>
                          </wps:bodyPr>
                        </wps:wsp>
                      </wpg:grpSp>
                      <wps:wsp>
                        <wps:cNvPr id="196" name="直接箭头连接符 11"/>
                        <wps:cNvCnPr/>
                        <wps:spPr>
                          <a:xfrm flipH="1">
                            <a:off x="7688" y="42798"/>
                            <a:ext cx="7" cy="433"/>
                          </a:xfrm>
                          <a:prstGeom prst="straightConnector1">
                            <a:avLst/>
                          </a:prstGeom>
                          <a:noFill/>
                          <a:ln w="12700" cap="flat" cmpd="sng" algn="ctr">
                            <a:solidFill>
                              <a:srgbClr val="0070C0"/>
                            </a:solidFill>
                            <a:prstDash val="solid"/>
                            <a:miter lim="800000"/>
                            <a:tailEnd type="none" w="med" len="med"/>
                          </a:ln>
                          <a:effectLst/>
                        </wps:spPr>
                        <wps:bodyPr/>
                      </wps:wsp>
                    </wpg:wgp>
                  </a:graphicData>
                </a:graphic>
              </wp:inline>
            </w:drawing>
          </mc:Choice>
          <mc:Fallback>
            <w:pict>
              <v:group id="_x0000_s1026" o:spid="_x0000_s1026" o:spt="203" style="height:405.1pt;width:499.6pt;" coordorigin="3508,36236" coordsize="9992,8102" o:gfxdata="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">
                <o:lock v:ext="edit" aspectratio="f"/>
                <v:group id="_x0000_s1026" o:spid="_x0000_s1026" o:spt="203" style="position:absolute;left:3508;top:36236;height:8103;width:9992;" coordorigin="3582,38342" coordsize="9992,8103"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rect id="矩形 6" o:spid="_x0000_s1026" o:spt="1" style="position:absolute;left:5894;top:38342;height:740;width:3682;v-text-anchor:middle;" fillcolor="#BDD7EE [1300]" filled="t" stroked="t" coordsize="21600,21600" o:gfxdata="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QZJ7sAAADc&#10;AAAADwAAAAAAAAABACAAAAAiAAAAZHJzL2Rvd25yZXYueG1sUEsBAhQAFAAAAAgAh07iQDMvBZ47&#10;AAAAOQAAABAAAAAAAAAAAQAgAAAACgEAAGRycy9zaGFwZXhtbC54bWxQSwUGAAAAAAYABgBbAQAA&#10;tAMAAAAA&#10;">
                    <v:fill on="t" focussize="0,0"/>
                    <v:stroke weight="1pt" color="#5B9BD5 [3204]" miterlimit="8" joinstyle="miter"/>
                    <v:imagedata o:title=""/>
                    <o:lock v:ext="edit" aspectratio="f"/>
                    <v:textbox>
                      <w:txbxContent>
                        <w:p w14:paraId="1A8A8CEC">
                          <w:pPr>
                            <w:keepNext w:val="0"/>
                            <w:keepLines w:val="0"/>
                            <w:pageBreakBefore w:val="0"/>
                            <w:widowControl w:val="0"/>
                            <w:kinsoku/>
                            <w:wordWrap/>
                            <w:overflowPunct/>
                            <w:topLinePunct w:val="0"/>
                            <w:bidi w:val="0"/>
                            <w:adjustRightInd/>
                            <w:snapToGrid/>
                            <w:spacing w:line="240" w:lineRule="auto"/>
                            <w:ind w:left="-105" w:leftChars="-50" w:right="-105" w:rightChars="-50" w:firstLine="0" w:firstLineChars="0"/>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Participants at baseline from CHARLS</w:t>
                          </w:r>
                        </w:p>
                        <w:p w14:paraId="59679447">
                          <w:pPr>
                            <w:keepNext w:val="0"/>
                            <w:keepLines w:val="0"/>
                            <w:pageBreakBefore w:val="0"/>
                            <w:widowControl w:val="0"/>
                            <w:kinsoku/>
                            <w:wordWrap/>
                            <w:overflowPunct/>
                            <w:topLinePunct w:val="0"/>
                            <w:bidi w:val="0"/>
                            <w:adjustRightInd/>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17708)</w:t>
                          </w:r>
                        </w:p>
                      </w:txbxContent>
                    </v:textbox>
                  </v:rect>
                  <v:shape id="直接箭头连接符 11" o:spid="_x0000_s1026" o:spt="32" type="#_x0000_t32" style="position:absolute;left:7735;top:39082;height:2161;width:0;" filled="f" stroked="t" coordsize="21600,21600" o:gfxdata="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vSjvugAAANwA&#10;AAAPAAAAAAAAAAEAIAAAACIAAABkcnMvZG93bnJldi54bWxQSwECFAAUAAAACACHTuJAMy8FnjsA&#10;AAA5AAAAEAAAAAAAAAABACAAAAAJAQAAZHJzL3NoYXBleG1sLnhtbFBLBQYAAAAABgAGAFsBAACz&#10;AwAAAAA=&#10;">
                    <v:fill on="f" focussize="0,0"/>
                    <v:stroke weight="1pt" color="#0070C0" miterlimit="8" joinstyle="miter" endarrow="block"/>
                    <v:imagedata o:title=""/>
                    <o:lock v:ext="edit" aspectratio="f"/>
                  </v:shape>
                  <v:rect id="矩形 6" o:spid="_x0000_s1026" o:spt="1" style="position:absolute;left:9786;top:39128;height:2038;width:3788;v-text-anchor:middle;" fillcolor="#DBDBDB [1302]" filled="t" stroked="t" coordsize="21600,21600" o:gfxdata="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LCXugAAANwA&#10;AAAPAAAAAAAAAAEAIAAAACIAAABkcnMvZG93bnJldi54bWxQSwECFAAUAAAACACHTuJAMy8FnjsA&#10;AAA5AAAAEAAAAAAAAAABACAAAAAJAQAAZHJzL3NoYXBleG1sLnhtbFBLBQYAAAAABgAGAFsBAACz&#10;AwAAAAA=&#10;">
                    <v:fill on="t" focussize="0,0"/>
                    <v:stroke weight="1pt" color="#A5A5A5 [3206]" miterlimit="8" joinstyle="miter"/>
                    <v:imagedata o:title=""/>
                    <o:lock v:ext="edit" aspectratio="f"/>
                    <v:textbox>
                      <w:txbxContent>
                        <w:p w14:paraId="1A94921A">
                          <w:pPr>
                            <w:keepNext w:val="0"/>
                            <w:keepLines w:val="0"/>
                            <w:pageBreakBefore w:val="0"/>
                            <w:widowControl w:val="0"/>
                            <w:kinsoku/>
                            <w:wordWrap/>
                            <w:overflowPunct/>
                            <w:topLinePunct w:val="0"/>
                            <w:bidi w:val="0"/>
                            <w:adjustRightInd/>
                            <w:snapToGrid/>
                            <w:spacing w:line="240" w:lineRule="auto"/>
                            <w:ind w:left="-63" w:leftChars="-30" w:right="-63" w:rightChars="-30" w:firstLine="0" w:firstLineChars="0"/>
                            <w:jc w:val="left"/>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 xml:space="preserve">Participants with exclusion criteria </w:t>
                          </w:r>
                        </w:p>
                        <w:p w14:paraId="60D00155">
                          <w:pPr>
                            <w:keepNext w:val="0"/>
                            <w:keepLines w:val="0"/>
                            <w:pageBreakBefore w:val="0"/>
                            <w:widowControl w:val="0"/>
                            <w:kinsoku/>
                            <w:wordWrap/>
                            <w:overflowPunct/>
                            <w:topLinePunct w:val="0"/>
                            <w:bidi w:val="0"/>
                            <w:adjustRightInd/>
                            <w:snapToGrid/>
                            <w:spacing w:line="240" w:lineRule="auto"/>
                            <w:ind w:left="-63" w:leftChars="-30" w:right="-63" w:rightChars="-30" w:firstLine="0" w:firstLineChars="0"/>
                            <w:jc w:val="left"/>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were excluded (N = 6648)</w:t>
                          </w:r>
                        </w:p>
                        <w:p w14:paraId="1101754F">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Man (N = 2357)</w:t>
                          </w:r>
                        </w:p>
                        <w:p w14:paraId="78BD8CC1">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Not yet menopausal (N = 593)</w:t>
                          </w:r>
                        </w:p>
                        <w:p w14:paraId="452F3929">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Presence of tumor or cancer (N = 401)</w:t>
                          </w:r>
                        </w:p>
                        <w:p w14:paraId="1E9E5CE1">
                          <w:pPr>
                            <w:keepNext w:val="0"/>
                            <w:keepLines w:val="0"/>
                            <w:pageBreakBefore w:val="0"/>
                            <w:widowControl/>
                            <w:kinsoku/>
                            <w:wordWrap/>
                            <w:overflowPunct/>
                            <w:topLinePunct w:val="0"/>
                            <w:bidi w:val="0"/>
                            <w:adjustRightInd/>
                            <w:snapToGrid/>
                            <w:spacing w:line="240" w:lineRule="auto"/>
                            <w:ind w:left="-63" w:leftChars="-30" w:right="-63" w:rightChars="-30" w:firstLine="105" w:firstLineChars="50"/>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C-reactive protein &gt; 20 mg/L (N = 3297)</w:t>
                          </w:r>
                        </w:p>
                      </w:txbxContent>
                    </v:textbox>
                  </v:rect>
                  <v:shape id="直接箭头连接符 11" o:spid="_x0000_s1026" o:spt="32" type="#_x0000_t32" style="position:absolute;left:7726;top:40147;flip:x;height:8;width:2060;" filled="f" stroked="t" coordsize="21600,21600" o:gfxdata="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Xic74A&#10;AADcAAAADwAAAAAAAAABACAAAAAiAAAAZHJzL2Rvd25yZXYueG1sUEsBAhQAFAAAAAgAh07iQDMv&#10;BZ47AAAAOQAAABAAAAAAAAAAAQAgAAAADQEAAGRycy9zaGFwZXhtbC54bWxQSwUGAAAAAAYABgBb&#10;AQAAtwMAAAAA&#10;">
                    <v:fill on="f" focussize="0,0"/>
                    <v:stroke weight="1pt" color="#0070C0" miterlimit="8" joinstyle="miter" startarrow="block"/>
                    <v:imagedata o:title=""/>
                    <o:lock v:ext="edit" aspectratio="f"/>
                  </v:shape>
                  <v:rect id="矩形 6" o:spid="_x0000_s1026" o:spt="1" style="position:absolute;left:5894;top:41243;height:740;width:3682;v-text-anchor:middle;" fillcolor="#BDD7EE [1300]" filled="t" stroked="t" coordsize="21600,21600" o:gfxdata="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RWTx7gAAADaAAAA&#10;DwAAAAAAAAABACAAAAAiAAAAZHJzL2Rvd25yZXYueG1sUEsBAhQAFAAAAAgAh07iQDMvBZ47AAAA&#10;OQAAABAAAAAAAAAAAQAgAAAABwEAAGRycy9zaGFwZXhtbC54bWxQSwUGAAAAAAYABgBbAQAAsQMA&#10;AAAA&#10;">
                    <v:fill on="t" focussize="0,0"/>
                    <v:stroke weight="1pt" color="#5B9BD5 [3204]" miterlimit="8" joinstyle="miter"/>
                    <v:imagedata o:title=""/>
                    <o:lock v:ext="edit" aspectratio="f"/>
                    <v:textbox>
                      <w:txbxContent>
                        <w:p w14:paraId="541AB41D">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Initially eligible participants</w:t>
                          </w:r>
                        </w:p>
                        <w:p w14:paraId="1AA4FFC4">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11060)</w:t>
                          </w:r>
                        </w:p>
                      </w:txbxContent>
                    </v:textbox>
                  </v:rect>
                  <v:rect id="矩形 6" o:spid="_x0000_s1026" o:spt="1" style="position:absolute;left:5894;top:44162;height:740;width:3682;v-text-anchor:middle;" fillcolor="#BDD7EE [1300]" filled="t" stroked="t" coordsize="21600,21600" o:gfxdata="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ccNsLgAAADaAAAA&#10;DwAAAAAAAAABACAAAAAiAAAAZHJzL2Rvd25yZXYueG1sUEsBAhQAFAAAAAgAh07iQDMvBZ47AAAA&#10;OQAAABAAAAAAAAAAAQAgAAAABwEAAGRycy9zaGFwZXhtbC54bWxQSwUGAAAAAAYABgBbAQAAsQMA&#10;AAAA&#10;">
                    <v:fill on="t" focussize="0,0"/>
                    <v:stroke weight="1pt" color="#5B9BD5 [3204]" miterlimit="8" joinstyle="miter"/>
                    <v:imagedata o:title=""/>
                    <o:lock v:ext="edit" aspectratio="f"/>
                    <v:textbox>
                      <w:txbxContent>
                        <w:p w14:paraId="01531B5D">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Finally included participants</w:t>
                          </w:r>
                        </w:p>
                        <w:p w14:paraId="59ADBAA3">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6337)</w:t>
                          </w:r>
                        </w:p>
                      </w:txbxContent>
                    </v:textbox>
                  </v:rect>
                  <v:rect id="矩形 6" o:spid="_x0000_s1026" o:spt="1" style="position:absolute;left:9786;top:42064;height:2017;width:3788;v-text-anchor:middle;" fillcolor="#DBDBDB [1302]" filled="t" stroked="t" coordsize="21600,21600" o:gfxdata="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MZ3+y5AAAA2gAA&#10;AA8AAAAAAAAAAQAgAAAAIgAAAGRycy9kb3ducmV2LnhtbFBLAQIUABQAAAAIAIdO4kAzLwWeOwAA&#10;ADkAAAAQAAAAAAAAAAEAIAAAAAgBAABkcnMvc2hhcGV4bWwueG1sUEsFBgAAAAAGAAYAWwEAALID&#10;AAAAAA==&#10;">
                    <v:fill on="t" focussize="0,0"/>
                    <v:stroke weight="1pt" color="#A5A5A5 [3206]" miterlimit="8" joinstyle="miter"/>
                    <v:imagedata o:title=""/>
                    <o:lock v:ext="edit" aspectratio="f"/>
                    <v:textbox>
                      <w:txbxContent>
                        <w:p w14:paraId="6D18288A">
                          <w:pPr>
                            <w:keepNext w:val="0"/>
                            <w:keepLines w:val="0"/>
                            <w:pageBreakBefore w:val="0"/>
                            <w:widowControl w:val="0"/>
                            <w:kinsoku/>
                            <w:wordWrap/>
                            <w:overflowPunct/>
                            <w:topLinePunct w:val="0"/>
                            <w:bidi w:val="0"/>
                            <w:adjustRightInd/>
                            <w:snapToGrid/>
                            <w:spacing w:line="240" w:lineRule="auto"/>
                            <w:ind w:left="-63" w:leftChars="-30" w:right="-63" w:rightChars="-30" w:firstLine="0" w:firstLineChars="0"/>
                            <w:jc w:val="left"/>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Participants with missing essential data were excluded (N = 6485)</w:t>
                          </w:r>
                        </w:p>
                        <w:p w14:paraId="01760E0E">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eastAsia" w:cs="Times New Roman"/>
                              <w:kern w:val="2"/>
                              <w:sz w:val="21"/>
                              <w:szCs w:val="21"/>
                              <w:lang w:val="en-US" w:eastAsia="zh-CN" w:bidi="ar-SA"/>
                            </w:rPr>
                          </w:pPr>
                          <w:r>
                            <w:rPr>
                              <w:rFonts w:hint="eastAsia" w:cs="Times New Roman"/>
                              <w:kern w:val="2"/>
                              <w:sz w:val="21"/>
                              <w:szCs w:val="21"/>
                              <w:lang w:val="en-US" w:eastAsia="zh-CN" w:bidi="ar-SA"/>
                            </w:rPr>
                            <w:t>Missing age data (N = 234)</w:t>
                          </w:r>
                        </w:p>
                        <w:p w14:paraId="4BB0DCBD">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Missing CESD-10 scores (N = 764)</w:t>
                          </w:r>
                        </w:p>
                        <w:p w14:paraId="6AD2E241">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eastAsia" w:cs="Times New Roman"/>
                              <w:kern w:val="2"/>
                              <w:sz w:val="21"/>
                              <w:szCs w:val="21"/>
                              <w:lang w:val="en-US" w:eastAsia="zh-CN" w:bidi="ar-SA"/>
                            </w:rPr>
                            <w:t>Missing chronic disease data (N = 2615)</w:t>
                          </w:r>
                        </w:p>
                        <w:p w14:paraId="26B7FA19">
                          <w:pPr>
                            <w:keepNext w:val="0"/>
                            <w:keepLines w:val="0"/>
                            <w:pageBreakBefore w:val="0"/>
                            <w:widowControl w:val="0"/>
                            <w:kinsoku/>
                            <w:wordWrap/>
                            <w:overflowPunct/>
                            <w:topLinePunct w:val="0"/>
                            <w:bidi w:val="0"/>
                            <w:adjustRightInd/>
                            <w:snapToGrid/>
                            <w:spacing w:line="240" w:lineRule="auto"/>
                            <w:ind w:left="-63" w:leftChars="-30" w:right="-63" w:rightChars="-30" w:firstLine="105" w:firstLineChars="50"/>
                            <w:textAlignment w:val="auto"/>
                            <w:rPr>
                              <w:rFonts w:hint="default" w:cs="Times New Roman"/>
                              <w:kern w:val="2"/>
                              <w:sz w:val="21"/>
                              <w:szCs w:val="21"/>
                              <w:lang w:val="en-US" w:eastAsia="zh-CN" w:bidi="ar-SA"/>
                            </w:rPr>
                          </w:pPr>
                          <w:r>
                            <w:rPr>
                              <w:rFonts w:hint="default" w:cs="Times New Roman"/>
                              <w:kern w:val="2"/>
                              <w:sz w:val="21"/>
                              <w:szCs w:val="21"/>
                              <w:lang w:val="en-US" w:eastAsia="zh-CN" w:bidi="ar-SA"/>
                            </w:rPr>
                            <w:t>Missing</w:t>
                          </w:r>
                          <w:r>
                            <w:rPr>
                              <w:rFonts w:hint="eastAsia" w:cs="Times New Roman"/>
                              <w:kern w:val="2"/>
                              <w:sz w:val="21"/>
                              <w:szCs w:val="21"/>
                              <w:lang w:val="en-US" w:eastAsia="zh-CN" w:bidi="ar-SA"/>
                            </w:rPr>
                            <w:t xml:space="preserve"> </w:t>
                          </w:r>
                          <w:r>
                            <w:rPr>
                              <w:rFonts w:hint="default" w:cs="Times New Roman"/>
                              <w:kern w:val="2"/>
                              <w:sz w:val="21"/>
                              <w:szCs w:val="21"/>
                              <w:lang w:val="en-US" w:eastAsia="zh-CN" w:bidi="ar-SA"/>
                            </w:rPr>
                            <w:t>other variables data</w:t>
                          </w:r>
                          <w:r>
                            <w:rPr>
                              <w:rFonts w:hint="eastAsia" w:cs="Times New Roman"/>
                              <w:kern w:val="2"/>
                              <w:sz w:val="21"/>
                              <w:szCs w:val="21"/>
                              <w:lang w:val="en-US" w:eastAsia="zh-CN" w:bidi="ar-SA"/>
                            </w:rPr>
                            <w:t xml:space="preserve"> (N = 2872)</w:t>
                          </w:r>
                        </w:p>
                      </w:txbxContent>
                    </v:textbox>
                  </v:rect>
                  <v:rect id="_x0000_s1026" o:spid="_x0000_s1026" o:spt="1" style="position:absolute;left:5739;top:45705;height:740;width:1820;v-text-anchor:middle;" fillcolor="#BDD7EE [1300]" filled="t" stroked="t" coordsize="21600,21600" o:gfxdata="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C86WrgAAADaAAAA&#10;DwAAAAAAAAABACAAAAAiAAAAZHJzL2Rvd25yZXYueG1sUEsBAhQAFAAAAAgAh07iQDMvBZ47AAAA&#10;OQAAABAAAAAAAAAAAQAgAAAABwEAAGRycy9zaGFwZXhtbC54bWxQSwUGAAAAAAYABgBbAQAAsQMA&#10;AAAA&#10;">
                    <v:fill on="t" focussize="0,0"/>
                    <v:stroke weight="1pt" color="#5B9BD5 [3204]" miterlimit="8" joinstyle="miter"/>
                    <v:imagedata o:title=""/>
                    <o:lock v:ext="edit" aspectratio="f"/>
                    <v:textbox>
                      <w:txbxContent>
                        <w:p w14:paraId="62B37CA5">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IDS</w:t>
                          </w:r>
                        </w:p>
                        <w:p w14:paraId="1FDA8ADA">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1250)</w:t>
                          </w:r>
                        </w:p>
                      </w:txbxContent>
                    </v:textbox>
                  </v:rect>
                  <v:shape id="直接箭头连接符 11" o:spid="_x0000_s1026" o:spt="32" type="#_x0000_t32" style="position:absolute;left:7735;top:41998;height:2175;width:0;" filled="f" stroked="t" coordsize="21600,21600" o:gfxdata="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n1KZe5AAAA2wAA&#10;AA8AAAAAAAAAAQAgAAAAIgAAAGRycy9kb3ducmV2LnhtbFBLAQIUABQAAAAIAIdO4kAzLwWeOwAA&#10;ADkAAAAQAAAAAAAAAAEAIAAAAAgBAABkcnMvc2hhcGV4bWwueG1sUEsFBgAAAAAGAAYAWwEAALID&#10;AAAAAA==&#10;">
                    <v:fill on="f" focussize="0,0"/>
                    <v:stroke weight="1pt" color="#0070C0" miterlimit="8" joinstyle="miter" endarrow="block"/>
                    <v:imagedata o:title=""/>
                    <o:lock v:ext="edit" aspectratio="f"/>
                  </v:shape>
                  <v:shape id="直接箭头连接符 11" o:spid="_x0000_s1026" o:spt="32" type="#_x0000_t32" style="position:absolute;left:7726;top:43078;flip:x;height:8;width:2060;" filled="f" stroked="t" coordsize="21600,21600" o:gfxdata="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SaThugAAANsA&#10;AAAPAAAAAAAAAAEAIAAAACIAAABkcnMvZG93bnJldi54bWxQSwECFAAUAAAACACHTuJAMy8FnjsA&#10;AAA5AAAAEAAAAAAAAAABACAAAAAJAQAAZHJzL3NoYXBleG1sLnhtbFBLBQYAAAAABgAGAFsBAACz&#10;AwAAAAA=&#10;">
                    <v:fill on="f" focussize="0,0"/>
                    <v:stroke weight="1pt" color="#0070C0" miterlimit="8" joinstyle="miter" startarrow="block"/>
                    <v:imagedata o:title=""/>
                    <o:lock v:ext="edit" aspectratio="f"/>
                  </v:shape>
                  <v:shape id="直接箭头连接符 11" o:spid="_x0000_s1026" o:spt="32" type="#_x0000_t32" style="position:absolute;left:4491;top:45322;flip:x y;height:2;width:6467;" filled="f" stroked="t" coordsize="21600,21600" o:gfxdata="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p+xVbsAAADc&#10;AAAADwAAAAAAAAABACAAAAAiAAAAZHJzL2Rvd25yZXYueG1sUEsBAhQAFAAAAAgAh07iQDMvBZ47&#10;AAAAOQAAABAAAAAAAAAAAQAgAAAACgEAAGRycy9zaGFwZXhtbC54bWxQSwUGAAAAAAYABgBbAQAA&#10;tAMAAAAA&#10;">
                    <v:fill on="f" focussize="0,0"/>
                    <v:stroke weight="1pt" color="#0070C0" miterlimit="8" joinstyle="miter"/>
                    <v:imagedata o:title=""/>
                    <o:lock v:ext="edit" aspectratio="f"/>
                  </v:shape>
                  <v:shape id="直接箭头连接符 11" o:spid="_x0000_s1026" o:spt="32" type="#_x0000_t32" style="position:absolute;left:4491;top:45320;height:393;width:2;" filled="f" stroked="t" coordsize="21600,21600" o:gfxdata="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i5Sm8AAAA&#10;2wAAAA8AAAAAAAAAAQAgAAAAIgAAAGRycy9kb3ducmV2LnhtbFBLAQIUABQAAAAIAIdO4kAzLwWe&#10;OwAAADkAAAAQAAAAAAAAAAEAIAAAAAsBAABkcnMvc2hhcGV4bWwueG1sUEsFBgAAAAAGAAYAWwEA&#10;ALUDAAAAAA==&#10;">
                    <v:fill on="f" focussize="0,0"/>
                    <v:stroke weight="1pt" color="#0070C0" miterlimit="8" joinstyle="miter" endarrow="block"/>
                    <v:imagedata o:title=""/>
                    <o:lock v:ext="edit" aspectratio="f"/>
                  </v:shape>
                  <v:shape id="直接箭头连接符 11" o:spid="_x0000_s1026" o:spt="32" type="#_x0000_t32" style="position:absolute;left:8805;top:45325;height:393;width:2;" filled="f" stroked="t" coordsize="21600,21600" o:gfxdata="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rSw7sAAADb&#10;AAAADwAAAAAAAAABACAAAAAiAAAAZHJzL2Rvd25yZXYueG1sUEsBAhQAFAAAAAgAh07iQDMvBZ47&#10;AAAAOQAAABAAAAAAAAAAAQAgAAAACgEAAGRycy9zaGFwZXhtbC54bWxQSwUGAAAAAAYABgBbAQAA&#10;tAMAAAAA&#10;">
                    <v:fill on="f" focussize="0,0"/>
                    <v:stroke weight="1pt" color="#0070C0" miterlimit="8" joinstyle="miter" endarrow="block"/>
                    <v:imagedata o:title=""/>
                    <o:lock v:ext="edit" aspectratio="f"/>
                  </v:shape>
                  <v:shape id="直接箭头连接符 11" o:spid="_x0000_s1026" o:spt="32" type="#_x0000_t32" style="position:absolute;left:6648;top:45326;height:393;width:2;" filled="f" stroked="t" coordsize="21600,21600" o:gfxdata="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gZ3WL4A&#10;AADbAAAADwAAAAAAAAABACAAAAAiAAAAZHJzL2Rvd25yZXYueG1sUEsBAhQAFAAAAAgAh07iQDMv&#10;BZ47AAAAOQAAABAAAAAAAAAAAQAgAAAADQEAAGRycy9zaGFwZXhtbC54bWxQSwUGAAAAAAYABgBb&#10;AQAAtwMAAAAA&#10;">
                    <v:fill on="f" focussize="0,0"/>
                    <v:stroke weight="1pt" color="#0070C0" miterlimit="8" joinstyle="miter" endarrow="block"/>
                    <v:imagedata o:title=""/>
                    <o:lock v:ext="edit" aspectratio="f"/>
                  </v:shape>
                  <v:shape id="直接箭头连接符 11" o:spid="_x0000_s1026" o:spt="32" type="#_x0000_t32" style="position:absolute;left:10964;top:45323;height:387;width:1;" filled="f" stroked="t" coordsize="21600,21600" o:gfxdata="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LlSBi5AAAA2wAA&#10;AA8AAAAAAAAAAQAgAAAAIgAAAGRycy9kb3ducmV2LnhtbFBLAQIUABQAAAAIAIdO4kAzLwWeOwAA&#10;ADkAAAAQAAAAAAAAAAEAIAAAAAgBAABkcnMvc2hhcGV4bWwueG1sUEsFBgAAAAAGAAYAWwEAALID&#10;AAAAAA==&#10;">
                    <v:fill on="f" focussize="0,0"/>
                    <v:stroke weight="1pt" color="#0070C0" miterlimit="8" joinstyle="miter" endarrow="block"/>
                    <v:imagedata o:title=""/>
                    <o:lock v:ext="edit" aspectratio="f"/>
                  </v:shape>
                  <v:rect id="_x0000_s1026" o:spid="_x0000_s1026" o:spt="1" style="position:absolute;left:3582;top:45705;height:740;width:1820;v-text-anchor:middle;" fillcolor="#BDD7EE [1300]" filled="t" stroked="t" coordsize="21600,21600" o:gfxdata="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7Kl+wugAAANsA&#10;AAAPAAAAAAAAAAEAIAAAACIAAABkcnMvZG93bnJldi54bWxQSwECFAAUAAAACACHTuJAMy8FnjsA&#10;AAA5AAAAEAAAAAAAAAABACAAAAAJAQAAZHJzL3NoYXBleG1sLnhtbFBLBQYAAAAABgAGAFsBAACz&#10;AwAAAAA=&#10;">
                    <v:fill on="t" focussize="0,0"/>
                    <v:stroke weight="1pt" color="#5B9BD5 [3204]" miterlimit="8" joinstyle="miter"/>
                    <v:imagedata o:title=""/>
                    <o:lock v:ext="edit" aspectratio="f"/>
                    <v:textbox>
                      <w:txbxContent>
                        <w:p w14:paraId="06891008">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NDS</w:t>
                          </w:r>
                        </w:p>
                        <w:p w14:paraId="57C6BE6F">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3939)</w:t>
                          </w:r>
                        </w:p>
                      </w:txbxContent>
                    </v:textbox>
                  </v:rect>
                  <v:rect id="_x0000_s1026" o:spid="_x0000_s1026" o:spt="1" style="position:absolute;left:10053;top:45705;height:740;width:1820;v-text-anchor:middle;" fillcolor="#BDD7EE [1300]" filled="t" stroked="t" coordsize="21600,21600" o:gfxdata="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Hw8kL4A&#10;AADbAAAADwAAAAAAAAABACAAAAAiAAAAZHJzL2Rvd25yZXYueG1sUEsBAhQAFAAAAAgAh07iQDMv&#10;BZ47AAAAOQAAABAAAAAAAAAAAQAgAAAADQEAAGRycy9zaGFwZXhtbC54bWxQSwUGAAAAAAYABgBb&#10;AQAAtwMAAAAA&#10;">
                    <v:fill on="t" focussize="0,0"/>
                    <v:stroke weight="1pt" color="#5B9BD5 [3204]" miterlimit="8" joinstyle="miter"/>
                    <v:imagedata o:title=""/>
                    <o:lock v:ext="edit" aspectratio="f"/>
                    <v:textbox>
                      <w:txbxContent>
                        <w:p w14:paraId="1495D7D3">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PDS</w:t>
                          </w:r>
                        </w:p>
                        <w:p w14:paraId="52EA9633">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517)</w:t>
                          </w:r>
                        </w:p>
                      </w:txbxContent>
                    </v:textbox>
                  </v:rect>
                  <v:rect id="_x0000_s1026" o:spid="_x0000_s1026" o:spt="1" style="position:absolute;left:7896;top:45705;height:740;width:1820;v-text-anchor:middle;" fillcolor="#BDD7EE [1300]" filled="t" stroked="t" coordsize="21600,21600" o:gfxdata="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swmQu5AAAA2wAA&#10;AA8AAAAAAAAAAQAgAAAAIgAAAGRycy9kb3ducmV2LnhtbFBLAQIUABQAAAAIAIdO4kAzLwWeOwAA&#10;ADkAAAAQAAAAAAAAAAEAIAAAAAgBAABkcnMvc2hhcGV4bWwueG1sUEsFBgAAAAAGAAYAWwEAALID&#10;AAAAAA==&#10;">
                    <v:fill on="t" focussize="0,0"/>
                    <v:stroke weight="1pt" color="#5B9BD5 [3204]" miterlimit="8" joinstyle="miter"/>
                    <v:imagedata o:title=""/>
                    <o:lock v:ext="edit" aspectratio="f"/>
                    <v:textbox>
                      <w:txbxContent>
                        <w:p w14:paraId="7A332753">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RDS</w:t>
                          </w:r>
                        </w:p>
                        <w:p w14:paraId="62EF2CB0">
                          <w:pPr>
                            <w:keepNext w:val="0"/>
                            <w:keepLines w:val="0"/>
                            <w:pageBreakBefore w:val="0"/>
                            <w:widowControl w:val="0"/>
                            <w:kinsoku/>
                            <w:wordWrap/>
                            <w:overflowPunct/>
                            <w:topLinePunct w:val="0"/>
                            <w:bidi w:val="0"/>
                            <w:adjustRightInd w:val="0"/>
                            <w:snapToGrid/>
                            <w:spacing w:line="240" w:lineRule="auto"/>
                            <w:ind w:left="-105" w:leftChars="-50" w:right="-105" w:rightChars="-50" w:firstLine="0" w:firstLineChars="0"/>
                            <w:jc w:val="center"/>
                            <w:textAlignment w:val="auto"/>
                            <w:rPr>
                              <w:rFonts w:hint="eastAsia"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(N = 631)</w:t>
                          </w:r>
                        </w:p>
                      </w:txbxContent>
                    </v:textbox>
                  </v:rect>
                </v:group>
                <v:shape id="直接箭头连接符 11" o:spid="_x0000_s1026" o:spt="32" type="#_x0000_t32" style="position:absolute;left:7688;top:42798;flip:x;height:433;width:7;" filled="f" stroked="t" coordsize="21600,21600" o:gfxdata="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9AAUvQAA&#10;ANwAAAAPAAAAAAAAAAEAIAAAACIAAABkcnMvZG93bnJldi54bWxQSwECFAAUAAAACACHTuJAMy8F&#10;njsAAAA5AAAAEAAAAAAAAAABACAAAAAMAQAAZHJzL3NoYXBleG1sLnhtbFBLBQYAAAAABgAGAFsB&#10;AAC2AwAAAAA=&#10;">
                  <v:fill on="f" focussize="0,0"/>
                  <v:stroke weight="1pt" color="#0070C0" miterlimit="8" joinstyle="miter"/>
                  <v:imagedata o:title=""/>
                  <o:lock v:ext="edit" aspectratio="f"/>
                </v:shape>
                <w10:wrap type="none"/>
                <w10:anchorlock/>
              </v:group>
            </w:pict>
          </mc:Fallback>
        </mc:AlternateContent>
      </w:r>
    </w:p>
    <w:p w14:paraId="7F309EDE">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2023E650">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 w:name="_Toc31204"/>
      <w:r>
        <w:rPr>
          <w:rFonts w:hint="default" w:ascii="Arial" w:hAnsi="Arial" w:cs="Arial"/>
          <w:color w:val="auto"/>
          <w:sz w:val="24"/>
          <w:szCs w:val="24"/>
          <w:lang w:val="en-US" w:eastAsia="zh-CN"/>
        </w:rPr>
        <w:t>eFigure 1. Flowchart of participant selection in CHARLS</w:t>
      </w:r>
      <w:bookmarkEnd w:id="1"/>
    </w:p>
    <w:p w14:paraId="07081387">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020241F5">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Abbreviations: BMI, Body Mass Index; CESD-10, 10-item Center for Epidemiologic Studies Depression Scale; IDS, Increasing depressive symptoms; NDS, No depressive symptoms; PDS, Persistently severe depressive symptoms; RDS, Remitting depressive symptoms.</w:t>
      </w:r>
    </w:p>
    <w:p w14:paraId="46B3AEA9">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5A6CDF89">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474621C9">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3B2C40F4">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540EDB9F">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5E2F1EF8">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2" w:name="_Toc31027"/>
      <w:r>
        <w:rPr>
          <w:rFonts w:hint="default" w:ascii="Arial" w:hAnsi="Arial" w:cs="Arial"/>
          <w:color w:val="auto"/>
          <w:sz w:val="24"/>
          <w:szCs w:val="24"/>
          <w:lang w:val="en-US" w:eastAsia="zh-CN"/>
        </w:rPr>
        <w:t>eTable 1. Model fit statistics for group-based trajectory modeling</w:t>
      </w:r>
      <w:bookmarkEnd w:id="2"/>
    </w:p>
    <w:tbl>
      <w:tblPr>
        <w:tblStyle w:val="10"/>
        <w:tblW w:w="110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4"/>
        <w:gridCol w:w="1117"/>
        <w:gridCol w:w="984"/>
        <w:gridCol w:w="1051"/>
        <w:gridCol w:w="1062"/>
        <w:gridCol w:w="1062"/>
        <w:gridCol w:w="1062"/>
        <w:gridCol w:w="1147"/>
        <w:gridCol w:w="1147"/>
        <w:gridCol w:w="1062"/>
        <w:gridCol w:w="1062"/>
      </w:tblGrid>
      <w:tr w14:paraId="2350D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84" w:type="dxa"/>
            <w:tcBorders>
              <w:top w:val="single" w:color="auto" w:sz="4" w:space="0"/>
              <w:left w:val="nil"/>
              <w:bottom w:val="single" w:color="auto" w:sz="4" w:space="0"/>
              <w:right w:val="nil"/>
            </w:tcBorders>
            <w:shd w:val="clear" w:color="auto" w:fill="auto"/>
            <w:noWrap/>
            <w:vAlign w:val="center"/>
          </w:tcPr>
          <w:p w14:paraId="265F2AA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G</w:t>
            </w:r>
          </w:p>
        </w:tc>
        <w:tc>
          <w:tcPr>
            <w:tcW w:w="1031" w:type="dxa"/>
            <w:tcBorders>
              <w:top w:val="single" w:color="auto" w:sz="4" w:space="0"/>
              <w:left w:val="nil"/>
              <w:bottom w:val="single" w:color="auto" w:sz="4" w:space="0"/>
              <w:right w:val="nil"/>
            </w:tcBorders>
            <w:shd w:val="clear" w:color="auto" w:fill="auto"/>
            <w:noWrap/>
            <w:vAlign w:val="center"/>
          </w:tcPr>
          <w:p w14:paraId="3DBA21B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loglik</w:t>
            </w:r>
          </w:p>
        </w:tc>
        <w:tc>
          <w:tcPr>
            <w:tcW w:w="984" w:type="dxa"/>
            <w:tcBorders>
              <w:top w:val="single" w:color="auto" w:sz="4" w:space="0"/>
              <w:left w:val="nil"/>
              <w:bottom w:val="single" w:color="auto" w:sz="4" w:space="0"/>
              <w:right w:val="nil"/>
            </w:tcBorders>
            <w:shd w:val="clear" w:color="auto" w:fill="auto"/>
            <w:noWrap/>
            <w:vAlign w:val="center"/>
          </w:tcPr>
          <w:p w14:paraId="4DED9E8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npm</w:t>
            </w:r>
          </w:p>
        </w:tc>
        <w:tc>
          <w:tcPr>
            <w:tcW w:w="984" w:type="dxa"/>
            <w:tcBorders>
              <w:top w:val="single" w:color="auto" w:sz="4" w:space="0"/>
              <w:left w:val="nil"/>
              <w:bottom w:val="single" w:color="auto" w:sz="4" w:space="0"/>
              <w:right w:val="nil"/>
            </w:tcBorders>
            <w:shd w:val="clear" w:color="auto" w:fill="auto"/>
            <w:noWrap/>
            <w:vAlign w:val="center"/>
          </w:tcPr>
          <w:p w14:paraId="087CD05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BIC</w:t>
            </w:r>
          </w:p>
        </w:tc>
        <w:tc>
          <w:tcPr>
            <w:tcW w:w="984" w:type="dxa"/>
            <w:tcBorders>
              <w:top w:val="single" w:color="auto" w:sz="4" w:space="0"/>
              <w:left w:val="nil"/>
              <w:bottom w:val="single" w:color="auto" w:sz="4" w:space="0"/>
              <w:right w:val="nil"/>
            </w:tcBorders>
            <w:shd w:val="clear" w:color="auto" w:fill="auto"/>
            <w:noWrap/>
            <w:vAlign w:val="center"/>
          </w:tcPr>
          <w:p w14:paraId="09E8F40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%.class1</w:t>
            </w:r>
          </w:p>
        </w:tc>
        <w:tc>
          <w:tcPr>
            <w:tcW w:w="984" w:type="dxa"/>
            <w:tcBorders>
              <w:top w:val="single" w:color="auto" w:sz="4" w:space="0"/>
              <w:left w:val="nil"/>
              <w:bottom w:val="single" w:color="auto" w:sz="4" w:space="0"/>
              <w:right w:val="nil"/>
            </w:tcBorders>
            <w:shd w:val="clear" w:color="auto" w:fill="auto"/>
            <w:noWrap/>
            <w:vAlign w:val="center"/>
          </w:tcPr>
          <w:p w14:paraId="7560382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%.class2</w:t>
            </w:r>
          </w:p>
        </w:tc>
        <w:tc>
          <w:tcPr>
            <w:tcW w:w="984" w:type="dxa"/>
            <w:tcBorders>
              <w:top w:val="single" w:color="auto" w:sz="4" w:space="0"/>
              <w:left w:val="nil"/>
              <w:bottom w:val="single" w:color="auto" w:sz="4" w:space="0"/>
              <w:right w:val="nil"/>
            </w:tcBorders>
            <w:shd w:val="clear" w:color="auto" w:fill="auto"/>
            <w:noWrap/>
            <w:vAlign w:val="center"/>
          </w:tcPr>
          <w:p w14:paraId="295B1D0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%.class3</w:t>
            </w:r>
          </w:p>
        </w:tc>
        <w:tc>
          <w:tcPr>
            <w:tcW w:w="1057" w:type="dxa"/>
            <w:tcBorders>
              <w:top w:val="single" w:color="auto" w:sz="4" w:space="0"/>
              <w:left w:val="nil"/>
              <w:bottom w:val="single" w:color="auto" w:sz="4" w:space="0"/>
              <w:right w:val="nil"/>
            </w:tcBorders>
            <w:shd w:val="clear" w:color="auto" w:fill="auto"/>
            <w:noWrap/>
            <w:vAlign w:val="center"/>
          </w:tcPr>
          <w:p w14:paraId="530B05E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%.class4</w:t>
            </w:r>
          </w:p>
        </w:tc>
        <w:tc>
          <w:tcPr>
            <w:tcW w:w="1057" w:type="dxa"/>
            <w:tcBorders>
              <w:top w:val="single" w:color="auto" w:sz="4" w:space="0"/>
              <w:left w:val="nil"/>
              <w:bottom w:val="single" w:color="auto" w:sz="4" w:space="0"/>
              <w:right w:val="nil"/>
            </w:tcBorders>
            <w:shd w:val="clear" w:color="auto" w:fill="auto"/>
            <w:noWrap/>
            <w:vAlign w:val="center"/>
          </w:tcPr>
          <w:p w14:paraId="78A2B38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%.class5</w:t>
            </w:r>
          </w:p>
        </w:tc>
        <w:tc>
          <w:tcPr>
            <w:tcW w:w="984" w:type="dxa"/>
            <w:tcBorders>
              <w:top w:val="single" w:color="auto" w:sz="4" w:space="0"/>
              <w:left w:val="nil"/>
              <w:bottom w:val="single" w:color="auto" w:sz="4" w:space="0"/>
              <w:right w:val="nil"/>
            </w:tcBorders>
            <w:shd w:val="clear" w:color="auto" w:fill="auto"/>
            <w:noWrap/>
            <w:vAlign w:val="center"/>
          </w:tcPr>
          <w:p w14:paraId="2868EA2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%.class6</w:t>
            </w:r>
          </w:p>
        </w:tc>
        <w:tc>
          <w:tcPr>
            <w:tcW w:w="984" w:type="dxa"/>
            <w:tcBorders>
              <w:top w:val="single" w:color="auto" w:sz="4" w:space="0"/>
              <w:left w:val="nil"/>
              <w:bottom w:val="single" w:color="auto" w:sz="4" w:space="0"/>
              <w:right w:val="nil"/>
            </w:tcBorders>
            <w:shd w:val="clear" w:color="auto" w:fill="auto"/>
            <w:noWrap/>
            <w:vAlign w:val="center"/>
          </w:tcPr>
          <w:p w14:paraId="1276D5B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bCs/>
                <w:color w:val="auto"/>
                <w:sz w:val="20"/>
                <w:szCs w:val="20"/>
                <w:lang w:val="en-US" w:eastAsia="zh-CN"/>
              </w:rPr>
            </w:pPr>
            <w:r>
              <w:rPr>
                <w:rFonts w:hint="default" w:ascii="Arial" w:hAnsi="Arial" w:cs="Arial"/>
                <w:b/>
                <w:bCs/>
                <w:color w:val="auto"/>
                <w:sz w:val="20"/>
                <w:szCs w:val="20"/>
                <w:lang w:val="en-US" w:eastAsia="zh-CN"/>
              </w:rPr>
              <w:t>%.class7</w:t>
            </w:r>
          </w:p>
        </w:tc>
      </w:tr>
      <w:tr w14:paraId="10DFC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984" w:type="dxa"/>
            <w:tcBorders>
              <w:top w:val="single" w:color="auto" w:sz="4" w:space="0"/>
              <w:left w:val="nil"/>
              <w:bottom w:val="nil"/>
              <w:right w:val="nil"/>
            </w:tcBorders>
            <w:shd w:val="clear" w:color="auto" w:fill="auto"/>
            <w:noWrap/>
            <w:vAlign w:val="center"/>
          </w:tcPr>
          <w:p w14:paraId="395CB5A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model1</w:t>
            </w:r>
          </w:p>
        </w:tc>
        <w:tc>
          <w:tcPr>
            <w:tcW w:w="1031" w:type="dxa"/>
            <w:tcBorders>
              <w:top w:val="single" w:color="auto" w:sz="4" w:space="0"/>
              <w:left w:val="nil"/>
              <w:bottom w:val="nil"/>
              <w:right w:val="nil"/>
            </w:tcBorders>
            <w:shd w:val="clear" w:color="auto" w:fill="auto"/>
            <w:noWrap/>
            <w:vAlign w:val="center"/>
          </w:tcPr>
          <w:p w14:paraId="53D9A88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-63495.47</w:t>
            </w:r>
          </w:p>
        </w:tc>
        <w:tc>
          <w:tcPr>
            <w:tcW w:w="984" w:type="dxa"/>
            <w:tcBorders>
              <w:top w:val="single" w:color="auto" w:sz="4" w:space="0"/>
              <w:left w:val="nil"/>
              <w:bottom w:val="nil"/>
              <w:right w:val="nil"/>
            </w:tcBorders>
            <w:shd w:val="clear" w:color="auto" w:fill="auto"/>
            <w:noWrap/>
            <w:vAlign w:val="center"/>
          </w:tcPr>
          <w:p w14:paraId="346D810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5</w:t>
            </w:r>
          </w:p>
        </w:tc>
        <w:tc>
          <w:tcPr>
            <w:tcW w:w="984" w:type="dxa"/>
            <w:tcBorders>
              <w:top w:val="single" w:color="auto" w:sz="4" w:space="0"/>
              <w:left w:val="nil"/>
              <w:bottom w:val="nil"/>
              <w:right w:val="nil"/>
            </w:tcBorders>
            <w:shd w:val="clear" w:color="auto" w:fill="auto"/>
            <w:noWrap/>
            <w:vAlign w:val="center"/>
          </w:tcPr>
          <w:p w14:paraId="2D889CB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127033.7</w:t>
            </w:r>
          </w:p>
        </w:tc>
        <w:tc>
          <w:tcPr>
            <w:tcW w:w="0" w:type="auto"/>
            <w:tcBorders>
              <w:top w:val="single" w:color="auto" w:sz="4" w:space="0"/>
              <w:left w:val="nil"/>
              <w:bottom w:val="nil"/>
              <w:right w:val="nil"/>
            </w:tcBorders>
            <w:shd w:val="clear" w:color="auto" w:fill="auto"/>
            <w:noWrap/>
            <w:vAlign w:val="center"/>
          </w:tcPr>
          <w:p w14:paraId="1F031E4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100</w:t>
            </w:r>
          </w:p>
        </w:tc>
        <w:tc>
          <w:tcPr>
            <w:tcW w:w="0" w:type="auto"/>
            <w:tcBorders>
              <w:top w:val="single" w:color="auto" w:sz="4" w:space="0"/>
              <w:left w:val="nil"/>
              <w:bottom w:val="nil"/>
              <w:right w:val="nil"/>
            </w:tcBorders>
            <w:shd w:val="clear" w:color="auto" w:fill="auto"/>
            <w:noWrap/>
            <w:vAlign w:val="center"/>
          </w:tcPr>
          <w:p w14:paraId="2840F6C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single" w:color="auto" w:sz="4" w:space="0"/>
              <w:left w:val="nil"/>
              <w:bottom w:val="nil"/>
              <w:right w:val="nil"/>
            </w:tcBorders>
            <w:shd w:val="clear" w:color="auto" w:fill="auto"/>
            <w:noWrap/>
            <w:vAlign w:val="center"/>
          </w:tcPr>
          <w:p w14:paraId="4BE606E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single" w:color="auto" w:sz="4" w:space="0"/>
              <w:left w:val="nil"/>
              <w:bottom w:val="nil"/>
              <w:right w:val="nil"/>
            </w:tcBorders>
            <w:shd w:val="clear" w:color="auto" w:fill="auto"/>
            <w:noWrap/>
            <w:vAlign w:val="center"/>
          </w:tcPr>
          <w:p w14:paraId="15EFE45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single" w:color="auto" w:sz="4" w:space="0"/>
              <w:left w:val="nil"/>
              <w:bottom w:val="nil"/>
              <w:right w:val="nil"/>
            </w:tcBorders>
            <w:shd w:val="clear" w:color="auto" w:fill="auto"/>
            <w:noWrap/>
            <w:vAlign w:val="center"/>
          </w:tcPr>
          <w:p w14:paraId="66931FB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single" w:color="auto" w:sz="4" w:space="0"/>
              <w:left w:val="nil"/>
              <w:bottom w:val="nil"/>
              <w:right w:val="nil"/>
            </w:tcBorders>
            <w:shd w:val="clear" w:color="auto" w:fill="auto"/>
            <w:noWrap/>
            <w:vAlign w:val="center"/>
          </w:tcPr>
          <w:p w14:paraId="2220DFE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single" w:color="auto" w:sz="4" w:space="0"/>
              <w:left w:val="nil"/>
              <w:bottom w:val="nil"/>
              <w:right w:val="nil"/>
            </w:tcBorders>
            <w:shd w:val="clear" w:color="auto" w:fill="auto"/>
            <w:noWrap/>
            <w:vAlign w:val="center"/>
          </w:tcPr>
          <w:p w14:paraId="73C1AEB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r>
      <w:tr w14:paraId="4AE8E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84" w:type="dxa"/>
            <w:tcBorders>
              <w:top w:val="nil"/>
              <w:left w:val="nil"/>
              <w:bottom w:val="nil"/>
              <w:right w:val="nil"/>
            </w:tcBorders>
            <w:shd w:val="clear" w:color="auto" w:fill="auto"/>
            <w:noWrap/>
            <w:vAlign w:val="center"/>
          </w:tcPr>
          <w:p w14:paraId="7F0468C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model2</w:t>
            </w:r>
          </w:p>
        </w:tc>
        <w:tc>
          <w:tcPr>
            <w:tcW w:w="1031" w:type="dxa"/>
            <w:tcBorders>
              <w:top w:val="nil"/>
              <w:left w:val="nil"/>
              <w:bottom w:val="nil"/>
              <w:right w:val="nil"/>
            </w:tcBorders>
            <w:shd w:val="clear" w:color="auto" w:fill="auto"/>
            <w:noWrap/>
            <w:vAlign w:val="center"/>
          </w:tcPr>
          <w:p w14:paraId="273DA53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-63270.16</w:t>
            </w:r>
          </w:p>
        </w:tc>
        <w:tc>
          <w:tcPr>
            <w:tcW w:w="984" w:type="dxa"/>
            <w:tcBorders>
              <w:top w:val="nil"/>
              <w:left w:val="nil"/>
              <w:bottom w:val="nil"/>
              <w:right w:val="nil"/>
            </w:tcBorders>
            <w:shd w:val="clear" w:color="auto" w:fill="auto"/>
            <w:noWrap/>
            <w:vAlign w:val="center"/>
          </w:tcPr>
          <w:p w14:paraId="1B75C04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9</w:t>
            </w:r>
          </w:p>
        </w:tc>
        <w:tc>
          <w:tcPr>
            <w:tcW w:w="984" w:type="dxa"/>
            <w:tcBorders>
              <w:top w:val="nil"/>
              <w:left w:val="nil"/>
              <w:bottom w:val="nil"/>
              <w:right w:val="nil"/>
            </w:tcBorders>
            <w:shd w:val="clear" w:color="auto" w:fill="auto"/>
            <w:noWrap/>
            <w:vAlign w:val="center"/>
          </w:tcPr>
          <w:p w14:paraId="04A9C0C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126617.2</w:t>
            </w:r>
          </w:p>
        </w:tc>
        <w:tc>
          <w:tcPr>
            <w:tcW w:w="0" w:type="auto"/>
            <w:tcBorders>
              <w:top w:val="nil"/>
              <w:left w:val="nil"/>
              <w:bottom w:val="nil"/>
              <w:right w:val="nil"/>
            </w:tcBorders>
            <w:shd w:val="clear" w:color="auto" w:fill="auto"/>
            <w:noWrap/>
            <w:vAlign w:val="center"/>
          </w:tcPr>
          <w:p w14:paraId="006BBB3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77.37934</w:t>
            </w:r>
          </w:p>
        </w:tc>
        <w:tc>
          <w:tcPr>
            <w:tcW w:w="0" w:type="auto"/>
            <w:tcBorders>
              <w:top w:val="nil"/>
              <w:left w:val="nil"/>
              <w:bottom w:val="nil"/>
              <w:right w:val="nil"/>
            </w:tcBorders>
            <w:shd w:val="clear" w:color="auto" w:fill="auto"/>
            <w:noWrap/>
            <w:vAlign w:val="center"/>
          </w:tcPr>
          <w:p w14:paraId="16BE3F4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22.62066</w:t>
            </w:r>
          </w:p>
        </w:tc>
        <w:tc>
          <w:tcPr>
            <w:tcW w:w="0" w:type="auto"/>
            <w:tcBorders>
              <w:top w:val="nil"/>
              <w:left w:val="nil"/>
              <w:bottom w:val="nil"/>
              <w:right w:val="nil"/>
            </w:tcBorders>
            <w:shd w:val="clear" w:color="auto" w:fill="auto"/>
            <w:noWrap/>
            <w:vAlign w:val="center"/>
          </w:tcPr>
          <w:p w14:paraId="60A338A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485CD44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7E92444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4B050EE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3B1CA29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r>
      <w:tr w14:paraId="58869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84" w:type="dxa"/>
            <w:tcBorders>
              <w:top w:val="nil"/>
              <w:left w:val="nil"/>
              <w:bottom w:val="nil"/>
              <w:right w:val="nil"/>
            </w:tcBorders>
            <w:shd w:val="clear" w:color="auto" w:fill="auto"/>
            <w:noWrap/>
            <w:vAlign w:val="center"/>
          </w:tcPr>
          <w:p w14:paraId="56A8098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model3</w:t>
            </w:r>
          </w:p>
        </w:tc>
        <w:tc>
          <w:tcPr>
            <w:tcW w:w="1031" w:type="dxa"/>
            <w:tcBorders>
              <w:top w:val="nil"/>
              <w:left w:val="nil"/>
              <w:bottom w:val="nil"/>
              <w:right w:val="nil"/>
            </w:tcBorders>
            <w:shd w:val="clear" w:color="auto" w:fill="auto"/>
            <w:noWrap/>
            <w:vAlign w:val="center"/>
          </w:tcPr>
          <w:p w14:paraId="7E01F14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-63094.29</w:t>
            </w:r>
          </w:p>
        </w:tc>
        <w:tc>
          <w:tcPr>
            <w:tcW w:w="984" w:type="dxa"/>
            <w:tcBorders>
              <w:top w:val="nil"/>
              <w:left w:val="nil"/>
              <w:bottom w:val="nil"/>
              <w:right w:val="nil"/>
            </w:tcBorders>
            <w:shd w:val="clear" w:color="auto" w:fill="auto"/>
            <w:noWrap/>
            <w:vAlign w:val="center"/>
          </w:tcPr>
          <w:p w14:paraId="5202E6E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13</w:t>
            </w:r>
          </w:p>
        </w:tc>
        <w:tc>
          <w:tcPr>
            <w:tcW w:w="984" w:type="dxa"/>
            <w:tcBorders>
              <w:top w:val="nil"/>
              <w:left w:val="nil"/>
              <w:bottom w:val="nil"/>
              <w:right w:val="nil"/>
            </w:tcBorders>
            <w:shd w:val="clear" w:color="auto" w:fill="auto"/>
            <w:noWrap/>
            <w:vAlign w:val="center"/>
          </w:tcPr>
          <w:p w14:paraId="4C12B50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126299.7</w:t>
            </w:r>
          </w:p>
        </w:tc>
        <w:tc>
          <w:tcPr>
            <w:tcW w:w="0" w:type="auto"/>
            <w:tcBorders>
              <w:top w:val="nil"/>
              <w:left w:val="nil"/>
              <w:bottom w:val="nil"/>
              <w:right w:val="nil"/>
            </w:tcBorders>
            <w:shd w:val="clear" w:color="auto" w:fill="auto"/>
            <w:noWrap/>
            <w:vAlign w:val="center"/>
          </w:tcPr>
          <w:p w14:paraId="36BAEA3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73.94844</w:t>
            </w:r>
          </w:p>
        </w:tc>
        <w:tc>
          <w:tcPr>
            <w:tcW w:w="0" w:type="auto"/>
            <w:tcBorders>
              <w:top w:val="nil"/>
              <w:left w:val="nil"/>
              <w:bottom w:val="nil"/>
              <w:right w:val="nil"/>
            </w:tcBorders>
            <w:shd w:val="clear" w:color="auto" w:fill="auto"/>
            <w:noWrap/>
            <w:vAlign w:val="center"/>
          </w:tcPr>
          <w:p w14:paraId="2F80E0D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13.99496</w:t>
            </w:r>
          </w:p>
        </w:tc>
        <w:tc>
          <w:tcPr>
            <w:tcW w:w="0" w:type="auto"/>
            <w:tcBorders>
              <w:top w:val="nil"/>
              <w:left w:val="nil"/>
              <w:bottom w:val="nil"/>
              <w:right w:val="nil"/>
            </w:tcBorders>
            <w:shd w:val="clear" w:color="auto" w:fill="auto"/>
            <w:noWrap/>
            <w:vAlign w:val="center"/>
          </w:tcPr>
          <w:p w14:paraId="7B0519F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12.0566</w:t>
            </w:r>
          </w:p>
        </w:tc>
        <w:tc>
          <w:tcPr>
            <w:tcW w:w="0" w:type="auto"/>
            <w:tcBorders>
              <w:top w:val="nil"/>
              <w:left w:val="nil"/>
              <w:bottom w:val="nil"/>
              <w:right w:val="nil"/>
            </w:tcBorders>
            <w:shd w:val="clear" w:color="auto" w:fill="auto"/>
            <w:noWrap/>
            <w:vAlign w:val="center"/>
          </w:tcPr>
          <w:p w14:paraId="58F0002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28B58C8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7217D31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12E0F9D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r>
      <w:tr w14:paraId="64B3B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84" w:type="dxa"/>
            <w:tcBorders>
              <w:top w:val="nil"/>
              <w:left w:val="nil"/>
              <w:bottom w:val="nil"/>
              <w:right w:val="nil"/>
            </w:tcBorders>
            <w:shd w:val="clear" w:color="auto" w:fill="auto"/>
            <w:noWrap/>
            <w:vAlign w:val="center"/>
          </w:tcPr>
          <w:p w14:paraId="2C09665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model4</w:t>
            </w:r>
          </w:p>
        </w:tc>
        <w:tc>
          <w:tcPr>
            <w:tcW w:w="1031" w:type="dxa"/>
            <w:tcBorders>
              <w:top w:val="nil"/>
              <w:left w:val="nil"/>
              <w:bottom w:val="nil"/>
              <w:right w:val="nil"/>
            </w:tcBorders>
            <w:shd w:val="clear" w:color="auto" w:fill="auto"/>
            <w:noWrap/>
            <w:vAlign w:val="center"/>
          </w:tcPr>
          <w:p w14:paraId="1C3C4E8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-62957.55</w:t>
            </w:r>
          </w:p>
        </w:tc>
        <w:tc>
          <w:tcPr>
            <w:tcW w:w="984" w:type="dxa"/>
            <w:tcBorders>
              <w:top w:val="nil"/>
              <w:left w:val="nil"/>
              <w:bottom w:val="nil"/>
              <w:right w:val="nil"/>
            </w:tcBorders>
            <w:shd w:val="clear" w:color="auto" w:fill="auto"/>
            <w:noWrap/>
            <w:vAlign w:val="center"/>
          </w:tcPr>
          <w:p w14:paraId="3E72D91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17</w:t>
            </w:r>
          </w:p>
        </w:tc>
        <w:tc>
          <w:tcPr>
            <w:tcW w:w="984" w:type="dxa"/>
            <w:tcBorders>
              <w:top w:val="nil"/>
              <w:left w:val="nil"/>
              <w:bottom w:val="nil"/>
              <w:right w:val="nil"/>
            </w:tcBorders>
            <w:shd w:val="clear" w:color="auto" w:fill="auto"/>
            <w:noWrap/>
            <w:vAlign w:val="center"/>
          </w:tcPr>
          <w:p w14:paraId="36901F6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126060.4</w:t>
            </w:r>
          </w:p>
        </w:tc>
        <w:tc>
          <w:tcPr>
            <w:tcW w:w="0" w:type="auto"/>
            <w:tcBorders>
              <w:top w:val="nil"/>
              <w:left w:val="nil"/>
              <w:bottom w:val="nil"/>
              <w:right w:val="nil"/>
            </w:tcBorders>
            <w:shd w:val="clear" w:color="auto" w:fill="auto"/>
            <w:noWrap/>
            <w:vAlign w:val="center"/>
          </w:tcPr>
          <w:p w14:paraId="5E15B20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16.10777</w:t>
            </w:r>
          </w:p>
        </w:tc>
        <w:tc>
          <w:tcPr>
            <w:tcW w:w="0" w:type="auto"/>
            <w:tcBorders>
              <w:top w:val="nil"/>
              <w:left w:val="nil"/>
              <w:bottom w:val="nil"/>
              <w:right w:val="nil"/>
            </w:tcBorders>
            <w:shd w:val="clear" w:color="auto" w:fill="auto"/>
            <w:noWrap/>
            <w:vAlign w:val="center"/>
          </w:tcPr>
          <w:p w14:paraId="75DB108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65.0126</w:t>
            </w:r>
          </w:p>
        </w:tc>
        <w:tc>
          <w:tcPr>
            <w:tcW w:w="0" w:type="auto"/>
            <w:tcBorders>
              <w:top w:val="nil"/>
              <w:left w:val="nil"/>
              <w:bottom w:val="nil"/>
              <w:right w:val="nil"/>
            </w:tcBorders>
            <w:shd w:val="clear" w:color="auto" w:fill="auto"/>
            <w:noWrap/>
            <w:vAlign w:val="center"/>
          </w:tcPr>
          <w:p w14:paraId="21AD633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10.73852</w:t>
            </w:r>
          </w:p>
        </w:tc>
        <w:tc>
          <w:tcPr>
            <w:tcW w:w="0" w:type="auto"/>
            <w:tcBorders>
              <w:top w:val="nil"/>
              <w:left w:val="nil"/>
              <w:bottom w:val="nil"/>
              <w:right w:val="nil"/>
            </w:tcBorders>
            <w:shd w:val="clear" w:color="auto" w:fill="auto"/>
            <w:noWrap/>
            <w:vAlign w:val="center"/>
          </w:tcPr>
          <w:p w14:paraId="033A09E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8.141113</w:t>
            </w:r>
          </w:p>
        </w:tc>
        <w:tc>
          <w:tcPr>
            <w:tcW w:w="0" w:type="auto"/>
            <w:tcBorders>
              <w:top w:val="nil"/>
              <w:left w:val="nil"/>
              <w:bottom w:val="nil"/>
              <w:right w:val="nil"/>
            </w:tcBorders>
            <w:shd w:val="clear" w:color="auto" w:fill="auto"/>
            <w:noWrap/>
            <w:vAlign w:val="center"/>
          </w:tcPr>
          <w:p w14:paraId="0E958FD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5187026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6011A8C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r>
      <w:tr w14:paraId="799CF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84" w:type="dxa"/>
            <w:tcBorders>
              <w:top w:val="nil"/>
              <w:left w:val="nil"/>
              <w:bottom w:val="nil"/>
              <w:right w:val="nil"/>
            </w:tcBorders>
            <w:shd w:val="clear" w:color="auto" w:fill="auto"/>
            <w:noWrap/>
            <w:vAlign w:val="center"/>
          </w:tcPr>
          <w:p w14:paraId="258A3FC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model5</w:t>
            </w:r>
          </w:p>
        </w:tc>
        <w:tc>
          <w:tcPr>
            <w:tcW w:w="1031" w:type="dxa"/>
            <w:tcBorders>
              <w:top w:val="nil"/>
              <w:left w:val="nil"/>
              <w:bottom w:val="nil"/>
              <w:right w:val="nil"/>
            </w:tcBorders>
            <w:shd w:val="clear" w:color="auto" w:fill="auto"/>
            <w:noWrap/>
            <w:vAlign w:val="center"/>
          </w:tcPr>
          <w:p w14:paraId="06BAE7F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-62957.55</w:t>
            </w:r>
          </w:p>
        </w:tc>
        <w:tc>
          <w:tcPr>
            <w:tcW w:w="984" w:type="dxa"/>
            <w:tcBorders>
              <w:top w:val="nil"/>
              <w:left w:val="nil"/>
              <w:bottom w:val="nil"/>
              <w:right w:val="nil"/>
            </w:tcBorders>
            <w:shd w:val="clear" w:color="auto" w:fill="auto"/>
            <w:noWrap/>
            <w:vAlign w:val="center"/>
          </w:tcPr>
          <w:p w14:paraId="63844A3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21</w:t>
            </w:r>
          </w:p>
        </w:tc>
        <w:tc>
          <w:tcPr>
            <w:tcW w:w="984" w:type="dxa"/>
            <w:tcBorders>
              <w:top w:val="nil"/>
              <w:left w:val="nil"/>
              <w:bottom w:val="nil"/>
              <w:right w:val="nil"/>
            </w:tcBorders>
            <w:shd w:val="clear" w:color="auto" w:fill="auto"/>
            <w:noWrap/>
            <w:vAlign w:val="center"/>
          </w:tcPr>
          <w:p w14:paraId="7AEEFDF4">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126094.6</w:t>
            </w:r>
          </w:p>
        </w:tc>
        <w:tc>
          <w:tcPr>
            <w:tcW w:w="0" w:type="auto"/>
            <w:tcBorders>
              <w:top w:val="nil"/>
              <w:left w:val="nil"/>
              <w:bottom w:val="nil"/>
              <w:right w:val="nil"/>
            </w:tcBorders>
            <w:shd w:val="clear" w:color="auto" w:fill="auto"/>
            <w:noWrap/>
            <w:vAlign w:val="center"/>
          </w:tcPr>
          <w:p w14:paraId="0017EF9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63.67513</w:t>
            </w:r>
          </w:p>
        </w:tc>
        <w:tc>
          <w:tcPr>
            <w:tcW w:w="0" w:type="auto"/>
            <w:tcBorders>
              <w:top w:val="nil"/>
              <w:left w:val="nil"/>
              <w:bottom w:val="nil"/>
              <w:right w:val="nil"/>
            </w:tcBorders>
            <w:shd w:val="clear" w:color="auto" w:fill="auto"/>
            <w:noWrap/>
            <w:vAlign w:val="center"/>
          </w:tcPr>
          <w:p w14:paraId="15FB857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16.99942</w:t>
            </w:r>
          </w:p>
        </w:tc>
        <w:tc>
          <w:tcPr>
            <w:tcW w:w="0" w:type="auto"/>
            <w:tcBorders>
              <w:top w:val="nil"/>
              <w:left w:val="nil"/>
              <w:bottom w:val="nil"/>
              <w:right w:val="nil"/>
            </w:tcBorders>
            <w:shd w:val="clear" w:color="auto" w:fill="auto"/>
            <w:noWrap/>
            <w:vAlign w:val="center"/>
          </w:tcPr>
          <w:p w14:paraId="118461D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w:t>
            </w:r>
          </w:p>
        </w:tc>
        <w:tc>
          <w:tcPr>
            <w:tcW w:w="0" w:type="auto"/>
            <w:tcBorders>
              <w:top w:val="nil"/>
              <w:left w:val="nil"/>
              <w:bottom w:val="nil"/>
              <w:right w:val="nil"/>
            </w:tcBorders>
            <w:shd w:val="clear" w:color="auto" w:fill="auto"/>
            <w:noWrap/>
            <w:vAlign w:val="center"/>
          </w:tcPr>
          <w:p w14:paraId="177C043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11.164954</w:t>
            </w:r>
          </w:p>
        </w:tc>
        <w:tc>
          <w:tcPr>
            <w:tcW w:w="0" w:type="auto"/>
            <w:tcBorders>
              <w:top w:val="nil"/>
              <w:left w:val="nil"/>
              <w:bottom w:val="nil"/>
              <w:right w:val="nil"/>
            </w:tcBorders>
            <w:shd w:val="clear" w:color="auto" w:fill="auto"/>
            <w:noWrap/>
            <w:vAlign w:val="center"/>
          </w:tcPr>
          <w:p w14:paraId="790346C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8.160496</w:t>
            </w:r>
          </w:p>
        </w:tc>
        <w:tc>
          <w:tcPr>
            <w:tcW w:w="0" w:type="auto"/>
            <w:tcBorders>
              <w:top w:val="nil"/>
              <w:left w:val="nil"/>
              <w:bottom w:val="nil"/>
              <w:right w:val="nil"/>
            </w:tcBorders>
            <w:shd w:val="clear" w:color="auto" w:fill="auto"/>
            <w:noWrap/>
            <w:vAlign w:val="center"/>
          </w:tcPr>
          <w:p w14:paraId="651F36A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c>
          <w:tcPr>
            <w:tcW w:w="0" w:type="auto"/>
            <w:tcBorders>
              <w:top w:val="nil"/>
              <w:left w:val="nil"/>
              <w:bottom w:val="nil"/>
              <w:right w:val="nil"/>
            </w:tcBorders>
            <w:shd w:val="clear" w:color="auto" w:fill="auto"/>
            <w:noWrap/>
            <w:vAlign w:val="center"/>
          </w:tcPr>
          <w:p w14:paraId="0F234A1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r>
      <w:tr w14:paraId="0D6B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84" w:type="dxa"/>
            <w:tcBorders>
              <w:top w:val="nil"/>
              <w:left w:val="nil"/>
              <w:bottom w:val="nil"/>
              <w:right w:val="nil"/>
            </w:tcBorders>
            <w:shd w:val="clear" w:color="auto" w:fill="auto"/>
            <w:noWrap/>
            <w:vAlign w:val="center"/>
          </w:tcPr>
          <w:p w14:paraId="58D6E0F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model6</w:t>
            </w:r>
          </w:p>
        </w:tc>
        <w:tc>
          <w:tcPr>
            <w:tcW w:w="1031" w:type="dxa"/>
            <w:tcBorders>
              <w:top w:val="nil"/>
              <w:left w:val="nil"/>
              <w:bottom w:val="nil"/>
              <w:right w:val="nil"/>
            </w:tcBorders>
            <w:shd w:val="clear" w:color="auto" w:fill="auto"/>
            <w:noWrap/>
            <w:vAlign w:val="center"/>
          </w:tcPr>
          <w:p w14:paraId="47E0B67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-62957.55</w:t>
            </w:r>
          </w:p>
        </w:tc>
        <w:tc>
          <w:tcPr>
            <w:tcW w:w="984" w:type="dxa"/>
            <w:tcBorders>
              <w:top w:val="nil"/>
              <w:left w:val="nil"/>
              <w:bottom w:val="nil"/>
              <w:right w:val="nil"/>
            </w:tcBorders>
            <w:shd w:val="clear" w:color="auto" w:fill="auto"/>
            <w:noWrap/>
            <w:vAlign w:val="center"/>
          </w:tcPr>
          <w:p w14:paraId="0BB9475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25</w:t>
            </w:r>
          </w:p>
        </w:tc>
        <w:tc>
          <w:tcPr>
            <w:tcW w:w="984" w:type="dxa"/>
            <w:tcBorders>
              <w:top w:val="nil"/>
              <w:left w:val="nil"/>
              <w:bottom w:val="nil"/>
              <w:right w:val="nil"/>
            </w:tcBorders>
            <w:shd w:val="clear" w:color="auto" w:fill="auto"/>
            <w:noWrap/>
            <w:vAlign w:val="center"/>
          </w:tcPr>
          <w:p w14:paraId="67807DA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126128.8</w:t>
            </w:r>
          </w:p>
        </w:tc>
        <w:tc>
          <w:tcPr>
            <w:tcW w:w="0" w:type="auto"/>
            <w:tcBorders>
              <w:top w:val="nil"/>
              <w:left w:val="nil"/>
              <w:bottom w:val="nil"/>
              <w:right w:val="nil"/>
            </w:tcBorders>
            <w:shd w:val="clear" w:color="auto" w:fill="auto"/>
            <w:noWrap/>
            <w:vAlign w:val="center"/>
          </w:tcPr>
          <w:p w14:paraId="16950EC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62.62842</w:t>
            </w:r>
          </w:p>
        </w:tc>
        <w:tc>
          <w:tcPr>
            <w:tcW w:w="0" w:type="auto"/>
            <w:tcBorders>
              <w:top w:val="nil"/>
              <w:left w:val="nil"/>
              <w:bottom w:val="nil"/>
              <w:right w:val="nil"/>
            </w:tcBorders>
            <w:shd w:val="clear" w:color="auto" w:fill="auto"/>
            <w:noWrap/>
            <w:vAlign w:val="center"/>
          </w:tcPr>
          <w:p w14:paraId="4BDD482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w:t>
            </w:r>
          </w:p>
        </w:tc>
        <w:tc>
          <w:tcPr>
            <w:tcW w:w="0" w:type="auto"/>
            <w:tcBorders>
              <w:top w:val="nil"/>
              <w:left w:val="nil"/>
              <w:bottom w:val="nil"/>
              <w:right w:val="nil"/>
            </w:tcBorders>
            <w:shd w:val="clear" w:color="auto" w:fill="auto"/>
            <w:noWrap/>
            <w:vAlign w:val="center"/>
          </w:tcPr>
          <w:p w14:paraId="11D8977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17.48401</w:t>
            </w:r>
          </w:p>
        </w:tc>
        <w:tc>
          <w:tcPr>
            <w:tcW w:w="0" w:type="auto"/>
            <w:tcBorders>
              <w:top w:val="nil"/>
              <w:left w:val="nil"/>
              <w:bottom w:val="nil"/>
              <w:right w:val="nil"/>
            </w:tcBorders>
            <w:shd w:val="clear" w:color="auto" w:fill="auto"/>
            <w:noWrap/>
            <w:vAlign w:val="center"/>
          </w:tcPr>
          <w:p w14:paraId="44D5EB2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w:t>
            </w:r>
          </w:p>
        </w:tc>
        <w:tc>
          <w:tcPr>
            <w:tcW w:w="0" w:type="auto"/>
            <w:tcBorders>
              <w:top w:val="nil"/>
              <w:left w:val="nil"/>
              <w:bottom w:val="nil"/>
              <w:right w:val="nil"/>
            </w:tcBorders>
            <w:shd w:val="clear" w:color="auto" w:fill="auto"/>
            <w:noWrap/>
            <w:vAlign w:val="center"/>
          </w:tcPr>
          <w:p w14:paraId="5FB3DD1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11.707695</w:t>
            </w:r>
          </w:p>
        </w:tc>
        <w:tc>
          <w:tcPr>
            <w:tcW w:w="0" w:type="auto"/>
            <w:tcBorders>
              <w:top w:val="nil"/>
              <w:left w:val="nil"/>
              <w:bottom w:val="nil"/>
              <w:right w:val="nil"/>
            </w:tcBorders>
            <w:shd w:val="clear" w:color="auto" w:fill="auto"/>
            <w:noWrap/>
            <w:vAlign w:val="center"/>
          </w:tcPr>
          <w:p w14:paraId="3781539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8.17988</w:t>
            </w:r>
          </w:p>
        </w:tc>
        <w:tc>
          <w:tcPr>
            <w:tcW w:w="0" w:type="auto"/>
            <w:tcBorders>
              <w:top w:val="nil"/>
              <w:left w:val="nil"/>
              <w:bottom w:val="nil"/>
              <w:right w:val="nil"/>
            </w:tcBorders>
            <w:shd w:val="clear" w:color="auto" w:fill="auto"/>
            <w:noWrap/>
            <w:vAlign w:val="center"/>
          </w:tcPr>
          <w:p w14:paraId="49CA28A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NA</w:t>
            </w:r>
          </w:p>
        </w:tc>
      </w:tr>
      <w:tr w14:paraId="7AEF8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jc w:val="center"/>
        </w:trPr>
        <w:tc>
          <w:tcPr>
            <w:tcW w:w="984" w:type="dxa"/>
            <w:tcBorders>
              <w:top w:val="nil"/>
              <w:left w:val="nil"/>
              <w:bottom w:val="single" w:color="auto" w:sz="4" w:space="0"/>
              <w:right w:val="nil"/>
            </w:tcBorders>
            <w:shd w:val="clear" w:color="auto" w:fill="auto"/>
            <w:noWrap/>
            <w:vAlign w:val="center"/>
          </w:tcPr>
          <w:p w14:paraId="03B0716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model7</w:t>
            </w:r>
          </w:p>
        </w:tc>
        <w:tc>
          <w:tcPr>
            <w:tcW w:w="1031" w:type="dxa"/>
            <w:tcBorders>
              <w:top w:val="nil"/>
              <w:left w:val="nil"/>
              <w:bottom w:val="single" w:color="auto" w:sz="4" w:space="0"/>
              <w:right w:val="nil"/>
            </w:tcBorders>
            <w:shd w:val="clear" w:color="auto" w:fill="auto"/>
            <w:noWrap/>
            <w:vAlign w:val="center"/>
          </w:tcPr>
          <w:p w14:paraId="696F2E1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-62957.55</w:t>
            </w:r>
          </w:p>
        </w:tc>
        <w:tc>
          <w:tcPr>
            <w:tcW w:w="984" w:type="dxa"/>
            <w:tcBorders>
              <w:top w:val="nil"/>
              <w:left w:val="nil"/>
              <w:bottom w:val="single" w:color="auto" w:sz="4" w:space="0"/>
              <w:right w:val="nil"/>
            </w:tcBorders>
            <w:shd w:val="clear" w:color="auto" w:fill="auto"/>
            <w:noWrap/>
            <w:vAlign w:val="center"/>
          </w:tcPr>
          <w:p w14:paraId="6E33018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29</w:t>
            </w:r>
          </w:p>
        </w:tc>
        <w:tc>
          <w:tcPr>
            <w:tcW w:w="984" w:type="dxa"/>
            <w:tcBorders>
              <w:top w:val="nil"/>
              <w:left w:val="nil"/>
              <w:bottom w:val="single" w:color="auto" w:sz="4" w:space="0"/>
              <w:right w:val="nil"/>
            </w:tcBorders>
            <w:shd w:val="clear" w:color="auto" w:fill="auto"/>
            <w:noWrap/>
            <w:vAlign w:val="center"/>
          </w:tcPr>
          <w:p w14:paraId="3E92207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126163</w:t>
            </w:r>
          </w:p>
        </w:tc>
        <w:tc>
          <w:tcPr>
            <w:tcW w:w="0" w:type="auto"/>
            <w:tcBorders>
              <w:top w:val="nil"/>
              <w:left w:val="nil"/>
              <w:bottom w:val="single" w:color="auto" w:sz="4" w:space="0"/>
              <w:right w:val="nil"/>
            </w:tcBorders>
            <w:shd w:val="clear" w:color="auto" w:fill="auto"/>
            <w:noWrap/>
            <w:vAlign w:val="center"/>
          </w:tcPr>
          <w:p w14:paraId="43A3D8A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57.10409</w:t>
            </w:r>
          </w:p>
        </w:tc>
        <w:tc>
          <w:tcPr>
            <w:tcW w:w="0" w:type="auto"/>
            <w:tcBorders>
              <w:top w:val="nil"/>
              <w:left w:val="nil"/>
              <w:bottom w:val="single" w:color="auto" w:sz="4" w:space="0"/>
              <w:right w:val="nil"/>
            </w:tcBorders>
            <w:shd w:val="clear" w:color="auto" w:fill="auto"/>
            <w:noWrap/>
            <w:vAlign w:val="center"/>
          </w:tcPr>
          <w:p w14:paraId="2F47219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w:t>
            </w:r>
          </w:p>
        </w:tc>
        <w:tc>
          <w:tcPr>
            <w:tcW w:w="0" w:type="auto"/>
            <w:tcBorders>
              <w:top w:val="nil"/>
              <w:left w:val="nil"/>
              <w:bottom w:val="single" w:color="auto" w:sz="4" w:space="0"/>
              <w:right w:val="nil"/>
            </w:tcBorders>
            <w:shd w:val="clear" w:color="auto" w:fill="auto"/>
            <w:noWrap/>
            <w:vAlign w:val="center"/>
          </w:tcPr>
          <w:p w14:paraId="504DD0C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w:t>
            </w:r>
          </w:p>
        </w:tc>
        <w:tc>
          <w:tcPr>
            <w:tcW w:w="0" w:type="auto"/>
            <w:tcBorders>
              <w:top w:val="nil"/>
              <w:left w:val="nil"/>
              <w:bottom w:val="single" w:color="auto" w:sz="4" w:space="0"/>
              <w:right w:val="nil"/>
            </w:tcBorders>
            <w:shd w:val="clear" w:color="auto" w:fill="auto"/>
            <w:noWrap/>
            <w:vAlign w:val="center"/>
          </w:tcPr>
          <w:p w14:paraId="2923248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w:t>
            </w:r>
          </w:p>
        </w:tc>
        <w:tc>
          <w:tcPr>
            <w:tcW w:w="0" w:type="auto"/>
            <w:tcBorders>
              <w:top w:val="nil"/>
              <w:left w:val="nil"/>
              <w:bottom w:val="single" w:color="auto" w:sz="4" w:space="0"/>
              <w:right w:val="nil"/>
            </w:tcBorders>
            <w:shd w:val="clear" w:color="auto" w:fill="auto"/>
            <w:noWrap/>
            <w:vAlign w:val="center"/>
          </w:tcPr>
          <w:p w14:paraId="48453C6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20.93429</w:t>
            </w:r>
          </w:p>
        </w:tc>
        <w:tc>
          <w:tcPr>
            <w:tcW w:w="0" w:type="auto"/>
            <w:tcBorders>
              <w:top w:val="nil"/>
              <w:left w:val="nil"/>
              <w:bottom w:val="single" w:color="auto" w:sz="4" w:space="0"/>
              <w:right w:val="nil"/>
            </w:tcBorders>
            <w:shd w:val="clear" w:color="auto" w:fill="auto"/>
            <w:noWrap/>
            <w:vAlign w:val="center"/>
          </w:tcPr>
          <w:p w14:paraId="2295454B">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13.76236</w:t>
            </w:r>
          </w:p>
        </w:tc>
        <w:tc>
          <w:tcPr>
            <w:tcW w:w="0" w:type="auto"/>
            <w:tcBorders>
              <w:top w:val="nil"/>
              <w:left w:val="nil"/>
              <w:bottom w:val="single" w:color="auto" w:sz="4" w:space="0"/>
              <w:right w:val="nil"/>
            </w:tcBorders>
            <w:shd w:val="clear" w:color="auto" w:fill="auto"/>
            <w:noWrap/>
            <w:vAlign w:val="center"/>
          </w:tcPr>
          <w:p w14:paraId="490DF28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8.199263</w:t>
            </w:r>
          </w:p>
        </w:tc>
      </w:tr>
    </w:tbl>
    <w:p w14:paraId="2A868932">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3214E19A">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Model fit statistics including log-likelihood values, number of parameters (npm), Bayesian Information Criterion (BIC), and proportional class sizes were evaluated for group-based trajectory modeling (GBTM) with 1 to 7 trajectory groups. With an increasing number of groups, the log-likelihood value gradually improved. The BIC value decreased continuously until the 4-group model (Model4) and began to increase afterward, indicating that model fit did not improve further with additional groups. Meanwhile, some trajectory classes in models with five or more groups showed extremely small or zero proportions, suggesting potential model overfitting. Based on the comprehensive consideration of model fit indices, interpretability, and class proportionality, the 4-group trajectory model (Model4) was determined as the optimal solution for subsequent analyses.</w:t>
      </w:r>
    </w:p>
    <w:p w14:paraId="452BFF1E">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54C4C7A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153025" cy="8185150"/>
            <wp:effectExtent l="0" t="0" r="3175" b="6350"/>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5"/>
                    <a:stretch>
                      <a:fillRect/>
                    </a:stretch>
                  </pic:blipFill>
                  <pic:spPr>
                    <a:xfrm>
                      <a:off x="0" y="0"/>
                      <a:ext cx="5153025" cy="8185150"/>
                    </a:xfrm>
                    <a:prstGeom prst="rect">
                      <a:avLst/>
                    </a:prstGeom>
                  </pic:spPr>
                </pic:pic>
              </a:graphicData>
            </a:graphic>
          </wp:inline>
        </w:drawing>
      </w:r>
    </w:p>
    <w:p w14:paraId="61D2FE4A">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b w:val="0"/>
          <w:bCs w:val="0"/>
          <w:color w:val="auto"/>
          <w:sz w:val="20"/>
          <w:szCs w:val="20"/>
          <w:lang w:val="en-US" w:eastAsia="zh-CN"/>
        </w:rPr>
      </w:pPr>
      <w:bookmarkStart w:id="3" w:name="_Toc25677"/>
      <w:r>
        <w:rPr>
          <w:rFonts w:hint="default" w:ascii="Arial" w:hAnsi="Arial" w:cs="Arial"/>
          <w:color w:val="auto"/>
          <w:sz w:val="24"/>
          <w:szCs w:val="24"/>
          <w:lang w:val="en-US" w:eastAsia="zh-CN"/>
        </w:rPr>
        <w:t>eFigure 2. Comparison of depression scores between patients with and without chronic diseases</w:t>
      </w:r>
      <w:bookmarkEnd w:id="3"/>
    </w:p>
    <w:p w14:paraId="51EBE22F">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68685A1F">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530822AE">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6865" cy="3308985"/>
            <wp:effectExtent l="0" t="0" r="635" b="5715"/>
            <wp:docPr id="10" name="图片 10"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未标题-1"/>
                    <pic:cNvPicPr>
                      <a:picLocks noChangeAspect="1"/>
                    </pic:cNvPicPr>
                  </pic:nvPicPr>
                  <pic:blipFill>
                    <a:blip r:embed="rId6"/>
                    <a:stretch>
                      <a:fillRect/>
                    </a:stretch>
                  </pic:blipFill>
                  <pic:spPr>
                    <a:xfrm>
                      <a:off x="0" y="0"/>
                      <a:ext cx="5396865" cy="3308985"/>
                    </a:xfrm>
                    <a:prstGeom prst="rect">
                      <a:avLst/>
                    </a:prstGeom>
                  </pic:spPr>
                </pic:pic>
              </a:graphicData>
            </a:graphic>
          </wp:inline>
        </w:drawing>
      </w:r>
    </w:p>
    <w:p w14:paraId="426D3FC2">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4" w:name="_Toc15386"/>
      <w:r>
        <w:rPr>
          <w:rFonts w:hint="default" w:ascii="Arial" w:hAnsi="Arial" w:cs="Arial"/>
          <w:color w:val="auto"/>
          <w:sz w:val="24"/>
          <w:szCs w:val="24"/>
          <w:lang w:val="en-US" w:eastAsia="zh-CN"/>
        </w:rPr>
        <w:t>eFigure 3. Kaplan-Meier estimates for depressive symptoms events with vs. without hypertension</w:t>
      </w:r>
      <w:bookmarkEnd w:id="4"/>
    </w:p>
    <w:p w14:paraId="4470DC88">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7DA9BBBE">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400040" cy="3278505"/>
            <wp:effectExtent l="0" t="0" r="10160" b="10795"/>
            <wp:docPr id="11" name="图片 11"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未标题-2"/>
                    <pic:cNvPicPr>
                      <a:picLocks noChangeAspect="1"/>
                    </pic:cNvPicPr>
                  </pic:nvPicPr>
                  <pic:blipFill>
                    <a:blip r:embed="rId7"/>
                    <a:stretch>
                      <a:fillRect/>
                    </a:stretch>
                  </pic:blipFill>
                  <pic:spPr>
                    <a:xfrm>
                      <a:off x="0" y="0"/>
                      <a:ext cx="5400040" cy="3278505"/>
                    </a:xfrm>
                    <a:prstGeom prst="rect">
                      <a:avLst/>
                    </a:prstGeom>
                  </pic:spPr>
                </pic:pic>
              </a:graphicData>
            </a:graphic>
          </wp:inline>
        </w:drawing>
      </w:r>
    </w:p>
    <w:p w14:paraId="42433846">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5" w:name="_Toc11478"/>
      <w:r>
        <w:rPr>
          <w:rFonts w:hint="default" w:ascii="Arial" w:hAnsi="Arial" w:cs="Arial"/>
          <w:color w:val="auto"/>
          <w:sz w:val="24"/>
          <w:szCs w:val="24"/>
          <w:lang w:val="en-US" w:eastAsia="zh-CN"/>
        </w:rPr>
        <w:t>eFigure 4. Kaplan-Meier estimates for depressive symptoms events with vs. without diabetes mellitus</w:t>
      </w:r>
      <w:bookmarkEnd w:id="5"/>
    </w:p>
    <w:p w14:paraId="2F3FBDDB">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15726758">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6CCE1BE0">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6230" cy="3319145"/>
            <wp:effectExtent l="0" t="0" r="1270" b="8255"/>
            <wp:docPr id="12" name="图片 12"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未标题-2"/>
                    <pic:cNvPicPr>
                      <a:picLocks noChangeAspect="1"/>
                    </pic:cNvPicPr>
                  </pic:nvPicPr>
                  <pic:blipFill>
                    <a:blip r:embed="rId8"/>
                    <a:stretch>
                      <a:fillRect/>
                    </a:stretch>
                  </pic:blipFill>
                  <pic:spPr>
                    <a:xfrm>
                      <a:off x="0" y="0"/>
                      <a:ext cx="5396230" cy="3319145"/>
                    </a:xfrm>
                    <a:prstGeom prst="rect">
                      <a:avLst/>
                    </a:prstGeom>
                  </pic:spPr>
                </pic:pic>
              </a:graphicData>
            </a:graphic>
          </wp:inline>
        </w:drawing>
      </w:r>
    </w:p>
    <w:p w14:paraId="3EB479B0">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6" w:name="_Toc26604"/>
      <w:r>
        <w:rPr>
          <w:rFonts w:hint="default" w:ascii="Arial" w:hAnsi="Arial" w:cs="Arial"/>
          <w:color w:val="auto"/>
          <w:sz w:val="24"/>
          <w:szCs w:val="24"/>
          <w:lang w:val="en-US" w:eastAsia="zh-CN"/>
        </w:rPr>
        <w:t>eFigure 5. Kaplan-Meier estimates for depressive symptoms events with vs. without dyslipidemia</w:t>
      </w:r>
      <w:bookmarkEnd w:id="6"/>
    </w:p>
    <w:p w14:paraId="391271E7">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49DE0658">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9405" cy="3302635"/>
            <wp:effectExtent l="0" t="0" r="10795" b="12065"/>
            <wp:docPr id="13" name="图片 13"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未标题-2"/>
                    <pic:cNvPicPr>
                      <a:picLocks noChangeAspect="1"/>
                    </pic:cNvPicPr>
                  </pic:nvPicPr>
                  <pic:blipFill>
                    <a:blip r:embed="rId9"/>
                    <a:stretch>
                      <a:fillRect/>
                    </a:stretch>
                  </pic:blipFill>
                  <pic:spPr>
                    <a:xfrm>
                      <a:off x="0" y="0"/>
                      <a:ext cx="5399405" cy="3302635"/>
                    </a:xfrm>
                    <a:prstGeom prst="rect">
                      <a:avLst/>
                    </a:prstGeom>
                  </pic:spPr>
                </pic:pic>
              </a:graphicData>
            </a:graphic>
          </wp:inline>
        </w:drawing>
      </w:r>
    </w:p>
    <w:p w14:paraId="04EB2476">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7" w:name="_Toc28090"/>
      <w:r>
        <w:rPr>
          <w:rFonts w:hint="default" w:ascii="Arial" w:hAnsi="Arial" w:cs="Arial"/>
          <w:color w:val="auto"/>
          <w:sz w:val="24"/>
          <w:szCs w:val="24"/>
          <w:lang w:val="en-US" w:eastAsia="zh-CN"/>
        </w:rPr>
        <w:t>eFigure 6. Kaplan-Meier estimates for depressive symptoms events with vs. without lung disease</w:t>
      </w:r>
      <w:bookmarkEnd w:id="7"/>
    </w:p>
    <w:p w14:paraId="03633897">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7809A7A2">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5960C952">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8135" cy="3389630"/>
            <wp:effectExtent l="0" t="0" r="12065" b="1270"/>
            <wp:docPr id="15" name="图片 15"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未标题-2"/>
                    <pic:cNvPicPr>
                      <a:picLocks noChangeAspect="1"/>
                    </pic:cNvPicPr>
                  </pic:nvPicPr>
                  <pic:blipFill>
                    <a:blip r:embed="rId10"/>
                    <a:stretch>
                      <a:fillRect/>
                    </a:stretch>
                  </pic:blipFill>
                  <pic:spPr>
                    <a:xfrm>
                      <a:off x="0" y="0"/>
                      <a:ext cx="5398135" cy="3389630"/>
                    </a:xfrm>
                    <a:prstGeom prst="rect">
                      <a:avLst/>
                    </a:prstGeom>
                  </pic:spPr>
                </pic:pic>
              </a:graphicData>
            </a:graphic>
          </wp:inline>
        </w:drawing>
      </w:r>
    </w:p>
    <w:p w14:paraId="124FD66B">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8" w:name="_Toc23121"/>
      <w:r>
        <w:rPr>
          <w:rFonts w:hint="default" w:ascii="Arial" w:hAnsi="Arial" w:cs="Arial"/>
          <w:color w:val="auto"/>
          <w:sz w:val="24"/>
          <w:szCs w:val="24"/>
          <w:lang w:val="en-US" w:eastAsia="zh-CN"/>
        </w:rPr>
        <w:t>eFigure 7. Kaplan-Meier estimates for depressive symptoms events with vs. without asthma</w:t>
      </w:r>
      <w:bookmarkEnd w:id="8"/>
    </w:p>
    <w:p w14:paraId="46785345">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1CD8DA3A">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4960" cy="3300095"/>
            <wp:effectExtent l="0" t="0" r="2540" b="1905"/>
            <wp:docPr id="26" name="图片 26"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未标题-2"/>
                    <pic:cNvPicPr>
                      <a:picLocks noChangeAspect="1"/>
                    </pic:cNvPicPr>
                  </pic:nvPicPr>
                  <pic:blipFill>
                    <a:blip r:embed="rId11"/>
                    <a:stretch>
                      <a:fillRect/>
                    </a:stretch>
                  </pic:blipFill>
                  <pic:spPr>
                    <a:xfrm>
                      <a:off x="0" y="0"/>
                      <a:ext cx="5394960" cy="3300095"/>
                    </a:xfrm>
                    <a:prstGeom prst="rect">
                      <a:avLst/>
                    </a:prstGeom>
                  </pic:spPr>
                </pic:pic>
              </a:graphicData>
            </a:graphic>
          </wp:inline>
        </w:drawing>
      </w:r>
    </w:p>
    <w:p w14:paraId="7D5DFB08">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9" w:name="_Toc28915"/>
      <w:r>
        <w:rPr>
          <w:rFonts w:hint="default" w:ascii="Arial" w:hAnsi="Arial" w:cs="Arial"/>
          <w:color w:val="auto"/>
          <w:sz w:val="24"/>
          <w:szCs w:val="24"/>
          <w:lang w:val="en-US" w:eastAsia="zh-CN"/>
        </w:rPr>
        <w:t>eFigure 8. Kaplan-Meier estimates for depressive symptoms events with vs. without liver disease</w:t>
      </w:r>
      <w:bookmarkEnd w:id="9"/>
    </w:p>
    <w:p w14:paraId="3CE88213">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74F7DB7D">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42245021">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4960" cy="3304540"/>
            <wp:effectExtent l="0" t="0" r="2540" b="10160"/>
            <wp:docPr id="18" name="图片 18"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未标题-2"/>
                    <pic:cNvPicPr>
                      <a:picLocks noChangeAspect="1"/>
                    </pic:cNvPicPr>
                  </pic:nvPicPr>
                  <pic:blipFill>
                    <a:blip r:embed="rId12"/>
                    <a:stretch>
                      <a:fillRect/>
                    </a:stretch>
                  </pic:blipFill>
                  <pic:spPr>
                    <a:xfrm>
                      <a:off x="0" y="0"/>
                      <a:ext cx="5394960" cy="3304540"/>
                    </a:xfrm>
                    <a:prstGeom prst="rect">
                      <a:avLst/>
                    </a:prstGeom>
                  </pic:spPr>
                </pic:pic>
              </a:graphicData>
            </a:graphic>
          </wp:inline>
        </w:drawing>
      </w:r>
    </w:p>
    <w:p w14:paraId="4E1FC5D4">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0" w:name="_Toc21640"/>
      <w:r>
        <w:rPr>
          <w:rFonts w:hint="default" w:ascii="Arial" w:hAnsi="Arial" w:cs="Arial"/>
          <w:color w:val="auto"/>
          <w:sz w:val="24"/>
          <w:szCs w:val="24"/>
          <w:lang w:val="en-US" w:eastAsia="zh-CN"/>
        </w:rPr>
        <w:t>eFigure 9. Kaplan-Meier estimates for depressive symptoms events with vs. without cardiovascular disease</w:t>
      </w:r>
      <w:bookmarkEnd w:id="10"/>
    </w:p>
    <w:p w14:paraId="4BCEB9C8">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6BAA072A">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8770" cy="3315970"/>
            <wp:effectExtent l="0" t="0" r="11430" b="11430"/>
            <wp:docPr id="24" name="图片 24"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未标题-2"/>
                    <pic:cNvPicPr>
                      <a:picLocks noChangeAspect="1"/>
                    </pic:cNvPicPr>
                  </pic:nvPicPr>
                  <pic:blipFill>
                    <a:blip r:embed="rId13"/>
                    <a:stretch>
                      <a:fillRect/>
                    </a:stretch>
                  </pic:blipFill>
                  <pic:spPr>
                    <a:xfrm>
                      <a:off x="0" y="0"/>
                      <a:ext cx="5398770" cy="3315970"/>
                    </a:xfrm>
                    <a:prstGeom prst="rect">
                      <a:avLst/>
                    </a:prstGeom>
                  </pic:spPr>
                </pic:pic>
              </a:graphicData>
            </a:graphic>
          </wp:inline>
        </w:drawing>
      </w:r>
    </w:p>
    <w:p w14:paraId="4AAEFEE0">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1" w:name="_Toc15693"/>
      <w:r>
        <w:rPr>
          <w:rFonts w:hint="default" w:ascii="Arial" w:hAnsi="Arial" w:cs="Arial"/>
          <w:color w:val="auto"/>
          <w:sz w:val="24"/>
          <w:szCs w:val="24"/>
          <w:lang w:val="en-US" w:eastAsia="zh-CN"/>
        </w:rPr>
        <w:t>eFigure 10. Kaplan-Meier estimates for depressive symptoms events with vs. without stroke</w:t>
      </w:r>
      <w:bookmarkEnd w:id="11"/>
    </w:p>
    <w:p w14:paraId="27C0CE87">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6942467D">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66E13252">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7500" cy="3305810"/>
            <wp:effectExtent l="0" t="0" r="0" b="8890"/>
            <wp:docPr id="27" name="图片 27"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未标题-2"/>
                    <pic:cNvPicPr>
                      <a:picLocks noChangeAspect="1"/>
                    </pic:cNvPicPr>
                  </pic:nvPicPr>
                  <pic:blipFill>
                    <a:blip r:embed="rId14"/>
                    <a:stretch>
                      <a:fillRect/>
                    </a:stretch>
                  </pic:blipFill>
                  <pic:spPr>
                    <a:xfrm>
                      <a:off x="0" y="0"/>
                      <a:ext cx="5397500" cy="3305810"/>
                    </a:xfrm>
                    <a:prstGeom prst="rect">
                      <a:avLst/>
                    </a:prstGeom>
                  </pic:spPr>
                </pic:pic>
              </a:graphicData>
            </a:graphic>
          </wp:inline>
        </w:drawing>
      </w:r>
    </w:p>
    <w:p w14:paraId="7E5E4BA7">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2" w:name="_Toc27301"/>
      <w:r>
        <w:rPr>
          <w:rFonts w:hint="default" w:ascii="Arial" w:hAnsi="Arial" w:cs="Arial"/>
          <w:color w:val="auto"/>
          <w:sz w:val="24"/>
          <w:szCs w:val="24"/>
          <w:lang w:val="en-US" w:eastAsia="zh-CN"/>
        </w:rPr>
        <w:t>eFigure 11. Kaplan-Meier estimates for depressive symptoms events with vs. without kidney disease</w:t>
      </w:r>
      <w:bookmarkEnd w:id="12"/>
    </w:p>
    <w:p w14:paraId="0B03839D">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4EDF6D76">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4960" cy="3365500"/>
            <wp:effectExtent l="0" t="0" r="2540" b="0"/>
            <wp:docPr id="31" name="图片 31"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未标题-2"/>
                    <pic:cNvPicPr>
                      <a:picLocks noChangeAspect="1"/>
                    </pic:cNvPicPr>
                  </pic:nvPicPr>
                  <pic:blipFill>
                    <a:blip r:embed="rId15"/>
                    <a:stretch>
                      <a:fillRect/>
                    </a:stretch>
                  </pic:blipFill>
                  <pic:spPr>
                    <a:xfrm>
                      <a:off x="0" y="0"/>
                      <a:ext cx="5394960" cy="3365500"/>
                    </a:xfrm>
                    <a:prstGeom prst="rect">
                      <a:avLst/>
                    </a:prstGeom>
                  </pic:spPr>
                </pic:pic>
              </a:graphicData>
            </a:graphic>
          </wp:inline>
        </w:drawing>
      </w:r>
    </w:p>
    <w:p w14:paraId="6AA6CD1B">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3" w:name="_Toc1302"/>
      <w:r>
        <w:rPr>
          <w:rFonts w:hint="default" w:ascii="Arial" w:hAnsi="Arial" w:cs="Arial"/>
          <w:color w:val="auto"/>
          <w:sz w:val="24"/>
          <w:szCs w:val="24"/>
          <w:lang w:val="en-US" w:eastAsia="zh-CN"/>
        </w:rPr>
        <w:t>eFigure 12. Kaplan-Meier estimates for depressive symptoms events with vs. without digestive disease</w:t>
      </w:r>
      <w:bookmarkEnd w:id="13"/>
    </w:p>
    <w:p w14:paraId="79EAB1F7">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5252D834">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55BE1A07">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8135" cy="3295015"/>
            <wp:effectExtent l="0" t="0" r="12065" b="6985"/>
            <wp:docPr id="32" name="图片 32"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未标题-2"/>
                    <pic:cNvPicPr>
                      <a:picLocks noChangeAspect="1"/>
                    </pic:cNvPicPr>
                  </pic:nvPicPr>
                  <pic:blipFill>
                    <a:blip r:embed="rId16"/>
                    <a:stretch>
                      <a:fillRect/>
                    </a:stretch>
                  </pic:blipFill>
                  <pic:spPr>
                    <a:xfrm>
                      <a:off x="0" y="0"/>
                      <a:ext cx="5398135" cy="3295015"/>
                    </a:xfrm>
                    <a:prstGeom prst="rect">
                      <a:avLst/>
                    </a:prstGeom>
                  </pic:spPr>
                </pic:pic>
              </a:graphicData>
            </a:graphic>
          </wp:inline>
        </w:drawing>
      </w:r>
    </w:p>
    <w:p w14:paraId="6CA75253">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4" w:name="_Toc520"/>
      <w:r>
        <w:rPr>
          <w:rFonts w:hint="default" w:ascii="Arial" w:hAnsi="Arial" w:cs="Arial"/>
          <w:color w:val="auto"/>
          <w:sz w:val="24"/>
          <w:szCs w:val="24"/>
          <w:lang w:val="en-US" w:eastAsia="zh-CN"/>
        </w:rPr>
        <w:t>eFigure 13. Kaplan-Meier estimates for depressive symptoms events with vs. without memory disease</w:t>
      </w:r>
      <w:bookmarkEnd w:id="14"/>
    </w:p>
    <w:p w14:paraId="1B716EB8">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42FE9F5C">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8135" cy="3336290"/>
            <wp:effectExtent l="0" t="0" r="12065" b="3810"/>
            <wp:docPr id="33" name="图片 33"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未标题-2"/>
                    <pic:cNvPicPr>
                      <a:picLocks noChangeAspect="1"/>
                    </pic:cNvPicPr>
                  </pic:nvPicPr>
                  <pic:blipFill>
                    <a:blip r:embed="rId17"/>
                    <a:stretch>
                      <a:fillRect/>
                    </a:stretch>
                  </pic:blipFill>
                  <pic:spPr>
                    <a:xfrm>
                      <a:off x="0" y="0"/>
                      <a:ext cx="5398135" cy="3336290"/>
                    </a:xfrm>
                    <a:prstGeom prst="rect">
                      <a:avLst/>
                    </a:prstGeom>
                  </pic:spPr>
                </pic:pic>
              </a:graphicData>
            </a:graphic>
          </wp:inline>
        </w:drawing>
      </w:r>
    </w:p>
    <w:p w14:paraId="2B4231E6">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5" w:name="_Toc19285"/>
      <w:r>
        <w:rPr>
          <w:rFonts w:hint="default" w:ascii="Arial" w:hAnsi="Arial" w:cs="Arial"/>
          <w:color w:val="auto"/>
          <w:sz w:val="24"/>
          <w:szCs w:val="24"/>
          <w:lang w:val="en-US" w:eastAsia="zh-CN"/>
        </w:rPr>
        <w:t>eFigure 14. Kaplan-Meier estimates for depressive symptoms events with vs. without rheumatism</w:t>
      </w:r>
      <w:bookmarkEnd w:id="15"/>
    </w:p>
    <w:p w14:paraId="66EFC11B">
      <w:pP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br w:type="page"/>
      </w:r>
    </w:p>
    <w:p w14:paraId="7C1369A6">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3811548F">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drawing>
          <wp:inline distT="0" distB="0" distL="114300" distR="114300">
            <wp:extent cx="5394325" cy="4853940"/>
            <wp:effectExtent l="0" t="0" r="3175" b="10160"/>
            <wp:docPr id="35" name="图片 35"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未标题-2"/>
                    <pic:cNvPicPr>
                      <a:picLocks noChangeAspect="1"/>
                    </pic:cNvPicPr>
                  </pic:nvPicPr>
                  <pic:blipFill>
                    <a:blip r:embed="rId18"/>
                    <a:stretch>
                      <a:fillRect/>
                    </a:stretch>
                  </pic:blipFill>
                  <pic:spPr>
                    <a:xfrm>
                      <a:off x="0" y="0"/>
                      <a:ext cx="5394325" cy="4853940"/>
                    </a:xfrm>
                    <a:prstGeom prst="rect">
                      <a:avLst/>
                    </a:prstGeom>
                  </pic:spPr>
                </pic:pic>
              </a:graphicData>
            </a:graphic>
          </wp:inline>
        </w:drawing>
      </w:r>
    </w:p>
    <w:p w14:paraId="1ECB1CC7">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6" w:name="_Toc53"/>
      <w:r>
        <w:rPr>
          <w:rFonts w:hint="default" w:ascii="Arial" w:hAnsi="Arial" w:cs="Arial"/>
          <w:color w:val="auto"/>
          <w:sz w:val="24"/>
          <w:szCs w:val="24"/>
          <w:lang w:val="en-US" w:eastAsia="zh-CN"/>
        </w:rPr>
        <w:t>eFigure 15. Kaplan-Meier estimates for depressive symptoms events with different disease model</w:t>
      </w:r>
      <w:bookmarkEnd w:id="16"/>
    </w:p>
    <w:p w14:paraId="2C5F2517">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sectPr>
          <w:footerReference r:id="rId3" w:type="default"/>
          <w:pgSz w:w="11906" w:h="16838"/>
          <w:pgMar w:top="1247" w:right="1701" w:bottom="1247" w:left="1701"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1F96BD51">
      <w:pPr>
        <w:pStyle w:val="4"/>
        <w:keepNext/>
        <w:keepLines/>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auto"/>
          <w:sz w:val="24"/>
          <w:szCs w:val="24"/>
          <w:lang w:val="en-US" w:eastAsia="zh-CN"/>
        </w:rPr>
      </w:pPr>
      <w:bookmarkStart w:id="17" w:name="_Toc31660"/>
      <w:r>
        <w:rPr>
          <w:rFonts w:hint="default" w:ascii="Arial" w:hAnsi="Arial" w:cs="Arial"/>
          <w:color w:val="auto"/>
          <w:sz w:val="24"/>
          <w:szCs w:val="24"/>
          <w:lang w:val="en-US" w:eastAsia="zh-CN"/>
        </w:rPr>
        <w:t>eTable 2. Mediation analysis of sleep duration and cognition in the association between chronic diseases and depressive symptoms</w:t>
      </w:r>
      <w:bookmarkEnd w:id="17"/>
    </w:p>
    <w:tbl>
      <w:tblPr>
        <w:tblStyle w:val="10"/>
        <w:tblW w:w="147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32"/>
        <w:gridCol w:w="2377"/>
        <w:gridCol w:w="873"/>
        <w:gridCol w:w="2377"/>
        <w:gridCol w:w="873"/>
        <w:gridCol w:w="2202"/>
        <w:gridCol w:w="808"/>
        <w:gridCol w:w="1239"/>
      </w:tblGrid>
      <w:tr w14:paraId="53F0F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4132" w:type="dxa"/>
            <w:vMerge w:val="restart"/>
            <w:tcBorders>
              <w:top w:val="single" w:color="000000" w:sz="4" w:space="0"/>
              <w:left w:val="nil"/>
              <w:bottom w:val="single" w:color="000000" w:sz="4" w:space="0"/>
              <w:right w:val="nil"/>
            </w:tcBorders>
            <w:shd w:val="clear" w:color="auto" w:fill="auto"/>
            <w:noWrap/>
            <w:vAlign w:val="center"/>
          </w:tcPr>
          <w:p w14:paraId="632852B4">
            <w:pPr>
              <w:ind w:left="0" w:leftChars="0" w:right="0" w:rightChars="0" w:firstLine="0" w:firstLineChars="0"/>
              <w:jc w:val="center"/>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Path</w:t>
            </w:r>
          </w:p>
        </w:tc>
        <w:tc>
          <w:tcPr>
            <w:tcW w:w="3250" w:type="dxa"/>
            <w:gridSpan w:val="2"/>
            <w:tcBorders>
              <w:top w:val="single" w:color="000000" w:sz="4" w:space="0"/>
              <w:left w:val="nil"/>
              <w:bottom w:val="nil"/>
              <w:right w:val="nil"/>
            </w:tcBorders>
            <w:shd w:val="clear" w:color="auto" w:fill="auto"/>
            <w:noWrap/>
            <w:vAlign w:val="center"/>
          </w:tcPr>
          <w:p w14:paraId="0B744789">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Indirect effect</w:t>
            </w:r>
          </w:p>
        </w:tc>
        <w:tc>
          <w:tcPr>
            <w:tcW w:w="3250" w:type="dxa"/>
            <w:gridSpan w:val="2"/>
            <w:tcBorders>
              <w:top w:val="single" w:color="000000" w:sz="4" w:space="0"/>
              <w:left w:val="nil"/>
              <w:bottom w:val="nil"/>
              <w:right w:val="nil"/>
            </w:tcBorders>
            <w:shd w:val="clear" w:color="auto" w:fill="auto"/>
            <w:noWrap/>
            <w:vAlign w:val="center"/>
          </w:tcPr>
          <w:p w14:paraId="70A05CA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Direct effect</w:t>
            </w:r>
          </w:p>
        </w:tc>
        <w:tc>
          <w:tcPr>
            <w:tcW w:w="3010" w:type="dxa"/>
            <w:gridSpan w:val="2"/>
            <w:tcBorders>
              <w:top w:val="single" w:color="000000" w:sz="4" w:space="0"/>
              <w:left w:val="nil"/>
              <w:bottom w:val="nil"/>
              <w:right w:val="nil"/>
            </w:tcBorders>
            <w:shd w:val="clear" w:color="auto" w:fill="auto"/>
            <w:noWrap/>
            <w:vAlign w:val="center"/>
          </w:tcPr>
          <w:p w14:paraId="4798A6A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Total effect</w:t>
            </w:r>
          </w:p>
        </w:tc>
        <w:tc>
          <w:tcPr>
            <w:tcW w:w="1094" w:type="dxa"/>
            <w:vMerge w:val="restart"/>
            <w:tcBorders>
              <w:top w:val="single" w:color="000000" w:sz="4" w:space="0"/>
              <w:left w:val="nil"/>
              <w:bottom w:val="single" w:color="000000" w:sz="4" w:space="0"/>
              <w:right w:val="nil"/>
            </w:tcBorders>
            <w:shd w:val="clear" w:color="auto" w:fill="auto"/>
            <w:vAlign w:val="center"/>
          </w:tcPr>
          <w:p w14:paraId="524B0A7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Percentage of indirect effect (%)</w:t>
            </w:r>
          </w:p>
        </w:tc>
      </w:tr>
      <w:tr w14:paraId="2F79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4132" w:type="dxa"/>
            <w:vMerge w:val="continue"/>
            <w:tcBorders>
              <w:top w:val="single" w:color="000000" w:sz="4" w:space="0"/>
              <w:left w:val="nil"/>
              <w:bottom w:val="single" w:color="000000" w:sz="4" w:space="0"/>
              <w:right w:val="nil"/>
            </w:tcBorders>
            <w:shd w:val="clear" w:color="auto" w:fill="auto"/>
            <w:noWrap/>
            <w:vAlign w:val="center"/>
          </w:tcPr>
          <w:p w14:paraId="63897500">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tc>
        <w:tc>
          <w:tcPr>
            <w:tcW w:w="2377" w:type="dxa"/>
            <w:tcBorders>
              <w:top w:val="nil"/>
              <w:left w:val="nil"/>
              <w:bottom w:val="single" w:color="000000" w:sz="4" w:space="0"/>
              <w:right w:val="nil"/>
            </w:tcBorders>
            <w:shd w:val="clear" w:color="auto" w:fill="auto"/>
            <w:noWrap/>
            <w:vAlign w:val="center"/>
          </w:tcPr>
          <w:p w14:paraId="57D28632">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Effect (95 % CI)</w:t>
            </w:r>
          </w:p>
        </w:tc>
        <w:tc>
          <w:tcPr>
            <w:tcW w:w="873" w:type="dxa"/>
            <w:tcBorders>
              <w:top w:val="nil"/>
              <w:left w:val="nil"/>
              <w:bottom w:val="single" w:color="000000" w:sz="4" w:space="0"/>
              <w:right w:val="nil"/>
            </w:tcBorders>
            <w:shd w:val="clear" w:color="auto" w:fill="auto"/>
            <w:noWrap/>
            <w:vAlign w:val="center"/>
          </w:tcPr>
          <w:p w14:paraId="4B13E60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i/>
                <w:iCs/>
                <w:color w:val="auto"/>
                <w:sz w:val="20"/>
                <w:szCs w:val="20"/>
                <w:lang w:val="en-US" w:eastAsia="zh-CN"/>
              </w:rPr>
              <w:t>P</w:t>
            </w:r>
          </w:p>
        </w:tc>
        <w:tc>
          <w:tcPr>
            <w:tcW w:w="2377" w:type="dxa"/>
            <w:tcBorders>
              <w:top w:val="nil"/>
              <w:left w:val="nil"/>
              <w:bottom w:val="single" w:color="000000" w:sz="4" w:space="0"/>
              <w:right w:val="nil"/>
            </w:tcBorders>
            <w:shd w:val="clear" w:color="auto" w:fill="auto"/>
            <w:noWrap/>
            <w:vAlign w:val="center"/>
          </w:tcPr>
          <w:p w14:paraId="559ADA9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Effect (95 % CI)</w:t>
            </w:r>
          </w:p>
        </w:tc>
        <w:tc>
          <w:tcPr>
            <w:tcW w:w="873" w:type="dxa"/>
            <w:tcBorders>
              <w:top w:val="nil"/>
              <w:left w:val="nil"/>
              <w:bottom w:val="single" w:color="000000" w:sz="4" w:space="0"/>
              <w:right w:val="nil"/>
            </w:tcBorders>
            <w:shd w:val="clear" w:color="auto" w:fill="auto"/>
            <w:noWrap/>
            <w:vAlign w:val="center"/>
          </w:tcPr>
          <w:p w14:paraId="5107A77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i/>
                <w:iCs/>
                <w:color w:val="auto"/>
                <w:sz w:val="20"/>
                <w:szCs w:val="20"/>
                <w:lang w:val="en-US" w:eastAsia="zh-CN"/>
              </w:rPr>
              <w:t>P</w:t>
            </w:r>
          </w:p>
        </w:tc>
        <w:tc>
          <w:tcPr>
            <w:tcW w:w="2202" w:type="dxa"/>
            <w:tcBorders>
              <w:top w:val="nil"/>
              <w:left w:val="nil"/>
              <w:bottom w:val="single" w:color="000000" w:sz="4" w:space="0"/>
              <w:right w:val="nil"/>
            </w:tcBorders>
            <w:shd w:val="clear" w:color="auto" w:fill="auto"/>
            <w:noWrap/>
            <w:vAlign w:val="center"/>
          </w:tcPr>
          <w:p w14:paraId="7B8C0917">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Effect (95 % CI)</w:t>
            </w:r>
          </w:p>
        </w:tc>
        <w:tc>
          <w:tcPr>
            <w:tcW w:w="808" w:type="dxa"/>
            <w:tcBorders>
              <w:top w:val="nil"/>
              <w:left w:val="nil"/>
              <w:bottom w:val="single" w:color="000000" w:sz="4" w:space="0"/>
              <w:right w:val="nil"/>
            </w:tcBorders>
            <w:shd w:val="clear" w:color="auto" w:fill="auto"/>
            <w:noWrap/>
            <w:vAlign w:val="center"/>
          </w:tcPr>
          <w:p w14:paraId="1A15142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i/>
                <w:iCs/>
                <w:color w:val="auto"/>
                <w:sz w:val="20"/>
                <w:szCs w:val="20"/>
                <w:lang w:val="en-US" w:eastAsia="zh-CN"/>
              </w:rPr>
              <w:t>P</w:t>
            </w:r>
          </w:p>
        </w:tc>
        <w:tc>
          <w:tcPr>
            <w:tcW w:w="1094" w:type="dxa"/>
            <w:vMerge w:val="continue"/>
            <w:tcBorders>
              <w:top w:val="single" w:color="000000" w:sz="4" w:space="0"/>
              <w:left w:val="nil"/>
              <w:bottom w:val="single" w:color="000000" w:sz="4" w:space="0"/>
              <w:right w:val="nil"/>
            </w:tcBorders>
            <w:shd w:val="clear" w:color="auto" w:fill="auto"/>
            <w:vAlign w:val="center"/>
          </w:tcPr>
          <w:p w14:paraId="5FD963BB">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tc>
      </w:tr>
      <w:tr w14:paraId="5BCE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4132" w:type="dxa"/>
            <w:tcBorders>
              <w:top w:val="nil"/>
              <w:left w:val="nil"/>
              <w:bottom w:val="nil"/>
              <w:right w:val="nil"/>
            </w:tcBorders>
            <w:shd w:val="clear" w:color="auto" w:fill="auto"/>
            <w:vAlign w:val="center"/>
          </w:tcPr>
          <w:p w14:paraId="539A02FF">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right"/>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Chronic diseases → Sleep duration → CESD-10</w:t>
            </w:r>
          </w:p>
        </w:tc>
        <w:tc>
          <w:tcPr>
            <w:tcW w:w="2377" w:type="dxa"/>
            <w:tcBorders>
              <w:top w:val="nil"/>
              <w:left w:val="nil"/>
              <w:bottom w:val="nil"/>
              <w:right w:val="nil"/>
            </w:tcBorders>
            <w:shd w:val="clear" w:color="auto" w:fill="auto"/>
            <w:noWrap/>
            <w:vAlign w:val="center"/>
          </w:tcPr>
          <w:p w14:paraId="2C4A4AE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0.209 (0.171, 0.245)</w:t>
            </w:r>
          </w:p>
        </w:tc>
        <w:tc>
          <w:tcPr>
            <w:tcW w:w="873" w:type="dxa"/>
            <w:tcBorders>
              <w:top w:val="nil"/>
              <w:left w:val="nil"/>
              <w:bottom w:val="nil"/>
              <w:right w:val="nil"/>
            </w:tcBorders>
            <w:shd w:val="clear" w:color="auto" w:fill="auto"/>
            <w:noWrap/>
            <w:vAlign w:val="center"/>
          </w:tcPr>
          <w:p w14:paraId="6016604A">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&lt;.001</w:t>
            </w:r>
          </w:p>
        </w:tc>
        <w:tc>
          <w:tcPr>
            <w:tcW w:w="2377" w:type="dxa"/>
            <w:tcBorders>
              <w:top w:val="nil"/>
              <w:left w:val="nil"/>
              <w:bottom w:val="nil"/>
              <w:right w:val="nil"/>
            </w:tcBorders>
            <w:shd w:val="clear" w:color="auto" w:fill="auto"/>
            <w:noWrap/>
            <w:vAlign w:val="center"/>
          </w:tcPr>
          <w:p w14:paraId="71997CA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1.079 (0.963, 1.199)</w:t>
            </w:r>
          </w:p>
        </w:tc>
        <w:tc>
          <w:tcPr>
            <w:tcW w:w="873" w:type="dxa"/>
            <w:tcBorders>
              <w:top w:val="nil"/>
              <w:left w:val="nil"/>
              <w:bottom w:val="nil"/>
              <w:right w:val="nil"/>
            </w:tcBorders>
            <w:shd w:val="clear" w:color="auto" w:fill="auto"/>
            <w:noWrap/>
            <w:vAlign w:val="center"/>
          </w:tcPr>
          <w:p w14:paraId="3101005C">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&lt;.001</w:t>
            </w:r>
          </w:p>
        </w:tc>
        <w:tc>
          <w:tcPr>
            <w:tcW w:w="2202" w:type="dxa"/>
            <w:tcBorders>
              <w:top w:val="nil"/>
              <w:left w:val="nil"/>
              <w:bottom w:val="nil"/>
              <w:right w:val="nil"/>
            </w:tcBorders>
            <w:shd w:val="clear" w:color="auto" w:fill="auto"/>
            <w:noWrap/>
            <w:vAlign w:val="center"/>
          </w:tcPr>
          <w:p w14:paraId="1EF0500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1.288 (1.172, 1.4)</w:t>
            </w:r>
          </w:p>
        </w:tc>
        <w:tc>
          <w:tcPr>
            <w:tcW w:w="808" w:type="dxa"/>
            <w:tcBorders>
              <w:top w:val="nil"/>
              <w:left w:val="nil"/>
              <w:bottom w:val="nil"/>
              <w:right w:val="nil"/>
            </w:tcBorders>
            <w:shd w:val="clear" w:color="auto" w:fill="auto"/>
            <w:noWrap/>
            <w:vAlign w:val="center"/>
          </w:tcPr>
          <w:p w14:paraId="3EF9E5D1">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&lt;.001</w:t>
            </w:r>
          </w:p>
        </w:tc>
        <w:tc>
          <w:tcPr>
            <w:tcW w:w="1094" w:type="dxa"/>
            <w:tcBorders>
              <w:top w:val="nil"/>
              <w:left w:val="nil"/>
              <w:bottom w:val="nil"/>
              <w:right w:val="nil"/>
            </w:tcBorders>
            <w:shd w:val="clear" w:color="auto" w:fill="auto"/>
            <w:noWrap/>
            <w:vAlign w:val="center"/>
          </w:tcPr>
          <w:p w14:paraId="5793CBE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16.221</w:t>
            </w:r>
          </w:p>
        </w:tc>
      </w:tr>
      <w:tr w14:paraId="69BCC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4132" w:type="dxa"/>
            <w:tcBorders>
              <w:top w:val="nil"/>
              <w:left w:val="nil"/>
              <w:bottom w:val="single" w:color="000000" w:sz="4" w:space="0"/>
              <w:right w:val="nil"/>
            </w:tcBorders>
            <w:shd w:val="clear" w:color="auto" w:fill="auto"/>
            <w:vAlign w:val="center"/>
          </w:tcPr>
          <w:p w14:paraId="3543F6A6">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right"/>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Chronic diseases → Congnition → CESD-10</w:t>
            </w:r>
          </w:p>
        </w:tc>
        <w:tc>
          <w:tcPr>
            <w:tcW w:w="2377" w:type="dxa"/>
            <w:tcBorders>
              <w:top w:val="nil"/>
              <w:left w:val="nil"/>
              <w:bottom w:val="single" w:color="000000" w:sz="4" w:space="0"/>
              <w:right w:val="nil"/>
            </w:tcBorders>
            <w:shd w:val="clear" w:color="auto" w:fill="auto"/>
            <w:noWrap/>
            <w:vAlign w:val="center"/>
          </w:tcPr>
          <w:p w14:paraId="1AF19110">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0.097 (0.064, 0.129)</w:t>
            </w:r>
          </w:p>
        </w:tc>
        <w:tc>
          <w:tcPr>
            <w:tcW w:w="873" w:type="dxa"/>
            <w:tcBorders>
              <w:top w:val="nil"/>
              <w:left w:val="nil"/>
              <w:bottom w:val="single" w:color="000000" w:sz="4" w:space="0"/>
              <w:right w:val="nil"/>
            </w:tcBorders>
            <w:shd w:val="clear" w:color="auto" w:fill="auto"/>
            <w:noWrap/>
            <w:vAlign w:val="center"/>
          </w:tcPr>
          <w:p w14:paraId="07627903">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&lt;.001</w:t>
            </w:r>
          </w:p>
        </w:tc>
        <w:tc>
          <w:tcPr>
            <w:tcW w:w="2377" w:type="dxa"/>
            <w:tcBorders>
              <w:top w:val="nil"/>
              <w:left w:val="nil"/>
              <w:bottom w:val="single" w:color="000000" w:sz="4" w:space="0"/>
              <w:right w:val="nil"/>
            </w:tcBorders>
            <w:shd w:val="clear" w:color="auto" w:fill="auto"/>
            <w:noWrap/>
            <w:vAlign w:val="center"/>
          </w:tcPr>
          <w:p w14:paraId="10C3B8A5">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1.191 (1.086, 1.304)</w:t>
            </w:r>
          </w:p>
        </w:tc>
        <w:tc>
          <w:tcPr>
            <w:tcW w:w="873" w:type="dxa"/>
            <w:tcBorders>
              <w:top w:val="nil"/>
              <w:left w:val="nil"/>
              <w:bottom w:val="single" w:color="000000" w:sz="4" w:space="0"/>
              <w:right w:val="nil"/>
            </w:tcBorders>
            <w:shd w:val="clear" w:color="auto" w:fill="auto"/>
            <w:noWrap/>
            <w:vAlign w:val="center"/>
          </w:tcPr>
          <w:p w14:paraId="3A8FE99E">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&lt;.001</w:t>
            </w:r>
          </w:p>
        </w:tc>
        <w:tc>
          <w:tcPr>
            <w:tcW w:w="2202" w:type="dxa"/>
            <w:tcBorders>
              <w:top w:val="nil"/>
              <w:left w:val="nil"/>
              <w:bottom w:val="single" w:color="000000" w:sz="4" w:space="0"/>
              <w:right w:val="nil"/>
            </w:tcBorders>
            <w:shd w:val="clear" w:color="auto" w:fill="auto"/>
            <w:noWrap/>
            <w:vAlign w:val="center"/>
          </w:tcPr>
          <w:p w14:paraId="7689702D">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1.288 (1.183, 1.403)</w:t>
            </w:r>
          </w:p>
        </w:tc>
        <w:tc>
          <w:tcPr>
            <w:tcW w:w="808" w:type="dxa"/>
            <w:tcBorders>
              <w:top w:val="nil"/>
              <w:left w:val="nil"/>
              <w:bottom w:val="single" w:color="000000" w:sz="4" w:space="0"/>
              <w:right w:val="nil"/>
            </w:tcBorders>
            <w:shd w:val="clear" w:color="auto" w:fill="auto"/>
            <w:noWrap/>
            <w:vAlign w:val="center"/>
          </w:tcPr>
          <w:p w14:paraId="26BADE9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&lt;.001</w:t>
            </w:r>
          </w:p>
        </w:tc>
        <w:tc>
          <w:tcPr>
            <w:tcW w:w="1094" w:type="dxa"/>
            <w:tcBorders>
              <w:top w:val="nil"/>
              <w:left w:val="nil"/>
              <w:bottom w:val="single" w:color="000000" w:sz="4" w:space="0"/>
              <w:right w:val="nil"/>
            </w:tcBorders>
            <w:shd w:val="clear" w:color="auto" w:fill="auto"/>
            <w:noWrap/>
            <w:vAlign w:val="center"/>
          </w:tcPr>
          <w:p w14:paraId="6F34FDD8">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7.55</w:t>
            </w:r>
          </w:p>
        </w:tc>
      </w:tr>
    </w:tbl>
    <w:p w14:paraId="5AA5AC65">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p>
    <w:p w14:paraId="42D439D2">
      <w:pPr>
        <w:keepNext w:val="0"/>
        <w:keepLines w:val="0"/>
        <w:pageBreakBefore w:val="0"/>
        <w:widowControl w:val="0"/>
        <w:kinsoku/>
        <w:wordWrap/>
        <w:overflowPunct/>
        <w:topLinePunct w:val="0"/>
        <w:autoSpaceDE/>
        <w:autoSpaceDN/>
        <w:bidi w:val="0"/>
        <w:adjustRightInd/>
        <w:snapToGrid/>
        <w:textAlignment w:val="auto"/>
        <w:rPr>
          <w:rFonts w:hint="default" w:ascii="Arial" w:hAnsi="Arial" w:cs="Arial"/>
          <w:b w:val="0"/>
          <w:bCs w:val="0"/>
          <w:color w:val="auto"/>
          <w:sz w:val="20"/>
          <w:szCs w:val="20"/>
          <w:lang w:val="en-US" w:eastAsia="zh-CN"/>
        </w:rPr>
      </w:pPr>
      <w:r>
        <w:rPr>
          <w:rFonts w:hint="default" w:ascii="Arial" w:hAnsi="Arial" w:cs="Arial"/>
          <w:b w:val="0"/>
          <w:bCs w:val="0"/>
          <w:color w:val="auto"/>
          <w:sz w:val="20"/>
          <w:szCs w:val="20"/>
          <w:lang w:val="en-US" w:eastAsia="zh-CN"/>
        </w:rPr>
        <w:t xml:space="preserve">This table presents the mediation analysis examining whether sleep duration and cognitive function mediate the association between chronic diseases and depressive symptoms measured by the </w:t>
      </w:r>
      <w:bookmarkStart w:id="18" w:name="_GoBack"/>
      <w:r>
        <w:rPr>
          <w:rFonts w:hint="default" w:ascii="Arial" w:hAnsi="Arial" w:cs="Arial"/>
          <w:b w:val="0"/>
          <w:bCs w:val="0"/>
          <w:color w:val="auto"/>
          <w:sz w:val="20"/>
          <w:szCs w:val="20"/>
          <w:lang w:val="en-US" w:eastAsia="zh-CN"/>
        </w:rPr>
        <w:t>CES</w:t>
      </w:r>
      <w:bookmarkEnd w:id="18"/>
      <w:r>
        <w:rPr>
          <w:rFonts w:hint="default" w:ascii="Arial" w:hAnsi="Arial" w:cs="Arial"/>
          <w:b w:val="0"/>
          <w:bCs w:val="0"/>
          <w:color w:val="auto"/>
          <w:sz w:val="20"/>
          <w:szCs w:val="20"/>
          <w:lang w:val="en-US" w:eastAsia="zh-CN"/>
        </w:rPr>
        <w:t xml:space="preserve">D-10 scale. The indirect effect, direct effect, total effect, and the percentage of indirect effect are reported with 95% confidence intervals (CI) and </w:t>
      </w:r>
      <w:r>
        <w:rPr>
          <w:rFonts w:hint="default" w:ascii="Arial" w:hAnsi="Arial" w:cs="Arial"/>
          <w:b w:val="0"/>
          <w:bCs w:val="0"/>
          <w:i/>
          <w:iCs/>
          <w:color w:val="auto"/>
          <w:sz w:val="20"/>
          <w:szCs w:val="20"/>
          <w:lang w:val="en-US" w:eastAsia="zh-CN"/>
        </w:rPr>
        <w:t>P</w:t>
      </w:r>
      <w:r>
        <w:rPr>
          <w:rFonts w:hint="default" w:ascii="Arial" w:hAnsi="Arial" w:cs="Arial"/>
          <w:b w:val="0"/>
          <w:bCs w:val="0"/>
          <w:color w:val="auto"/>
          <w:sz w:val="20"/>
          <w:szCs w:val="20"/>
          <w:lang w:val="en-US" w:eastAsia="zh-CN"/>
        </w:rPr>
        <w:t>-values.</w:t>
      </w:r>
    </w:p>
    <w:sectPr>
      <w:pgSz w:w="16838" w:h="11906" w:orient="landscape"/>
      <w:pgMar w:top="1701" w:right="1247" w:bottom="1701" w:left="124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Uni">
    <w:altName w:val="宋体"/>
    <w:panose1 w:val="02020603050405020304"/>
    <w:charset w:val="86"/>
    <w:family w:val="auto"/>
    <w:pitch w:val="default"/>
    <w:sig w:usb0="00000000" w:usb1="00000000" w:usb2="0000003E" w:usb3="00000000" w:csb0="601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15B1B">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991637">
                          <w:pPr>
                            <w:pStyle w:val="7"/>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F991637">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hMDgzNzU1MzFlZTEyYzBmZWM3NWY3MDFmNGNjNzUifQ=="/>
    <w:docVar w:name="KY_MEDREF_DOCUID" w:val="{721539B7-C4B5-4FC4-A393-9DE223C46BBE}"/>
    <w:docVar w:name="KY_MEDREF_VERSION" w:val="3"/>
    <w:docVar w:name="NE.Data.1{4D6E0A2C-5CF2-43CB-9A58-EFEC36858251}" w:val=" ADDIN NE.Ref.{4D6E0A2C-5CF2-43CB-9A58-EFEC36858251}&lt;Citation&gt;&lt;Group&gt;&lt;References&gt;&lt;Item&gt;&lt;ID&gt;123971&lt;/ID&gt;&lt;UID&gt;{C42BE336-A3D6-41AC-97EF-652508E540FE}&lt;/UID&gt;&lt;Title&gt;Effects of a Cereal Bar with a Combination of Phytoestrogens on the Climacteric  Symptoms: A Placebo-Controlled, Randomized Trial&lt;/Title&gt;&lt;Template&gt;Journal Article&lt;/Template&gt;&lt;Star&gt;0&lt;/Star&gt;&lt;Tag&gt;0&lt;/Tag&gt;&lt;Author&gt;Frigo, M; de Barros, E; Dos, Santos PCB; Peres, G L; Weber, J; Zanelatto, C; Koehnlein, E A&lt;/Author&gt;&lt;Year&gt;2022&lt;/Year&gt;&lt;Details&gt;&lt;_created&gt;65270792&lt;/_created&gt;&lt;_modified&gt;65270795&lt;/_modified&gt;&lt;_url&gt;http://www.ncbi.nlm.nih.gov/entrez/query.fcgi?cmd=Retrieve&amp;amp;db=pubmed&amp;amp;dopt=Abstract&amp;amp;list_uids=33734035&amp;amp;query_hl=1&lt;/_url&gt;&lt;_journal&gt;J Am Nutr Assoc&lt;/_journal&gt;&lt;_volume&gt;41&lt;/_volume&gt;&lt;_issue&gt;3&lt;/_issue&gt;&lt;_pages&gt;325-332&lt;/_pages&gt;&lt;_tertiary_title&gt;Journal of the American Nutrition Association&lt;/_tertiary_title&gt;&lt;_doi&gt;10.1080/07315724.2021.1884143&lt;/_doi&gt;&lt;_date_display&gt;2022 Mar-Apr&lt;/_date_display&gt;&lt;_date&gt;64251360&lt;/_date&gt;&lt;_type_work&gt;Journal Article; Randomized Controlled Trial; Research Support, Non-U.S. Gov&amp;apos;t&lt;/_type_work&gt;&lt;_isbn&gt;2769-707X (Electronic); 2769-7061 (Linking)&lt;/_isbn&gt;&lt;_accession_num&gt;33734035&lt;/_accession_num&gt;&lt;_keywords&gt;Menopause; climacteric syndrome; flaxseed; isoflavones; lignans; soybean&lt;/_keywords&gt;&lt;_subject_headings&gt;*Climacteric; Edible Grain; Female; Humans; *Isoflavones/pharmacology; Phytoestrogens/therapeutic use; Polyesters/pharmacology; Prospective Studies&lt;/_subject_headings&gt;&lt;_author_adr&gt;Post Graduate Program in Food Science and Technology, Federal University of  Fronteira Sul, Laranjeiras do Sul, Brazil.; Course of Nutrition, Federal University of Fronteira Sul, Realeza, Brazil.; Course of Nutrition, Federal University of Fronteira Sul, Realeza, Brazil.; Course of Chemistry, Federal University of Fronteira Sul, Realeza, Brazil.; Course of Nutrition, Federal University of Fronteira Sul, Realeza, Brazil.; Course of Nutrition, Federal University of Fronteira Sul, Realeza, Brazil.; Post Graduate Program in Food Science and Technology, Federal University of  Fronteira Sul, Laranjeiras do Sul, Brazil.; Course of Nutrition, Federal University of Fronteira Sul, Realeza, Brazil.&lt;/_author_adr&gt;&lt;_language&gt;eng&lt;/_language&gt;&lt;_accessed&gt;65270795&lt;/_accessed&gt;&lt;_db_updated&gt;PubMed&lt;/_db_updated&gt;&lt;/Details&gt;&lt;Extra&gt;&lt;DBUID&gt;{B8A3A9EF-6025-4DFB-A35A-6562ACE07897}&lt;/DBUID&gt;&lt;/Extra&gt;&lt;/Item&gt;&lt;/References&gt;&lt;/Group&gt;&lt;Group&gt;&lt;References&gt;&lt;Item&gt;&lt;ID&gt;123959&lt;/ID&gt;&lt;UID&gt;{01833765-E710-47AB-B2A1-6D2FC7B26A0D}&lt;/UID&gt;&lt;Title&gt;A Clinical Study of the Effect of Estradiol Valerate on Sleep Disorders, Negative Emotions, and Quality of Life in Perimenopausal Women&lt;/Title&gt;&lt;Template&gt;Journal Article&lt;/Template&gt;&lt;Star&gt;0&lt;/Star&gt;&lt;Tag&gt;0&lt;/Tag&gt;&lt;Author&gt;Zhang, Jianfu; Shao, Shurong; Ye, Chaohui; Jiang, Bengui&lt;/Author&gt;&lt;Year&gt;2021&lt;/Year&gt;&lt;Details&gt;&lt;_doi&gt;10.1155/2021/8037459&lt;/_doi&gt;&lt;_created&gt;65270792&lt;/_created&gt;&lt;_modified&gt;65270795&lt;/_modified&gt;&lt;_url&gt;https://www.hindawi.com/journals/ecam/2021/8037459/_x000d__x000a_http://downloads.hindawi.com/journals/ecam/2021/8037459.pdf&lt;/_url&gt;&lt;_journal&gt;Evidence-Based Complementary and Alternative Medicine&lt;/_journal&gt;&lt;_volume&gt;2021&lt;/_volume&gt;&lt;_pages&gt;1-7&lt;/_pages&gt;&lt;_tertiary_title&gt;Evidence-Based Complementary and Alternative Medicine&lt;/_tertiary_title&gt;&lt;_date&gt;64055520&lt;/_date&gt;&lt;_isbn&gt;1741-427X&lt;/_isbn&gt;&lt;_accessed&gt;65270795&lt;/_accessed&gt;&lt;_db_updated&gt;CrossRef&lt;/_db_updated&gt;&lt;_social_category&gt;全科医学与补充医学(4)&lt;/_social_category&gt;&lt;_collection_scope&gt;SCIE&lt;/_collection_scope&gt;&lt;/Details&gt;&lt;Extra&gt;&lt;DBUID&gt;{B8A3A9EF-6025-4DFB-A35A-6562ACE07897}&lt;/DBUID&gt;&lt;/Extra&gt;&lt;/Item&gt;&lt;/References&gt;&lt;/Group&gt;&lt;Group&gt;&lt;References&gt;&lt;Item&gt;&lt;ID&gt;108683&lt;/ID&gt;&lt;UID&gt;{1ADE63CC-E36C-4CE8-B650-056120324ABC}&lt;/UID&gt;&lt;Title&gt;The short-term effects of estradiol, raloxifene, and a phytoestrogen in women  with perimenopausal depression&lt;/Title&gt;&lt;Template&gt;Journal Article&lt;/Template&gt;&lt;Star&gt;0&lt;/Star&gt;&lt;Tag&gt;0&lt;/Tag&gt;&lt;Author&gt;Schmidt, P J; Wei, S M; Martinez, P E; Dor, RRB; Guerrieri, G M; Palladino, P P; Harsh, V L; Li, H J; Wakim, P; Nieman, L K; Rubinow, D R&lt;/Author&gt;&lt;Year&gt;2021&lt;/Year&gt;&lt;Details&gt;&lt;_accessed&gt;65270822&lt;/_accessed&gt;&lt;_accession_num&gt;33470755&lt;/_accession_num&gt;&lt;_author_adr&gt;Section on Behavioral Endocrinology, National Institute of Mental Health, NIH,  DHHS, Bethesda, MD.; Section on Behavioral Endocrinology, National Institute of Mental Health, NIH,  DHHS, Bethesda, MD.; Section on Behavioral Endocrinology, National Institute of Mental Health, NIH,  DHHS, Bethesda, MD.; Section on Behavioral Endocrinology, National Institute of Mental Health, NIH,  DHHS, Bethesda, MD.; Section on Behavioral Endocrinology, National Institute of Mental Health, NIH,  DHHS, Bethesda, MD.; Section on Behavioral Endocrinology, National Institute of Mental Health, NIH,  DHHS, Bethesda, MD.; Section on Behavioral Endocrinology, National Institute of Mental Health, NIH,  DHHS, Bethesda, MD.; Section on Behavioral Endocrinology, National Institute of Mental Health, NIH,  DHHS, Bethesda, MD.; Biostatistics and Clinical Epidemiology Service, Clinical Center, National  Institutes of Health, Bethesda, MD.; Intramural Research Program on Reproductive and Adult Endocrinology, The Eunice  Kennedy Shriver National Institute of Child Health and Human Development, NIH,  DHHS, Bethesda, MD.; Department of Psychiatry, University of North Carolina, Chapel Hill, NC.&lt;/_author_adr&gt;&lt;_collection_scope&gt;SCIE&lt;/_collection_scope&gt;&lt;_created&gt;64964026&lt;/_created&gt;&lt;_custom1&gt;50&lt;/_custom1&gt;&lt;_date&gt;2021-01-15&lt;/_date&gt;&lt;_date_display&gt;2021 Jan 15&lt;/_date_display&gt;&lt;_doi&gt;10.1097/GME.0000000000001724&lt;/_doi&gt;&lt;_impact_factor&gt;   2.700&lt;/_impact_factor&gt;&lt;_isbn&gt;1530-0374 (Electronic); 1072-3714 (Print); 1072-3714 (Linking)&lt;/_isbn&gt;&lt;_issue&gt;4&lt;/_issue&gt;&lt;_journal&gt;Menopause&lt;/_journal&gt;&lt;_language&gt;eng&lt;/_language&gt;&lt;_modified&gt;65270822&lt;/_modified&gt;&lt;_ori_publication&gt;Copyright ? 2021 by The North American Menopause Society.&lt;/_ori_publication&gt;&lt;_pages&gt;369-383&lt;/_pages&gt;&lt;_social_category&gt;医学(3)&lt;/_social_category&gt;&lt;_subject_headings&gt;Depression/drug therapy; Double-Blind Method; Estradiol; Estrogens; Female; Humans; *Perimenopause; Phytoestrogens; *Raloxifene Hydrochloride/therapeutic use; Treatment Outcome&lt;/_subject_headings&gt;&lt;_tertiary_title&gt;Menopause (New York, N.Y.)&lt;/_tertiary_title&gt;&lt;_type_work&gt;Journal Article; Randomized Controlled Trial; Research Support, N.I.H., Intramural&lt;/_type_work&gt;&lt;_url&gt;http://www.ncbi.nlm.nih.gov/entrez/query.fcgi?cmd=Retrieve&amp;amp;db=pubmed&amp;amp;dopt=Abstract&amp;amp;list_uids=33470755&amp;amp;query_hl=1&lt;/_url&gt;&lt;_volume&gt;28&lt;/_volume&gt;&lt;/Details&gt;&lt;Extra&gt;&lt;DBUID&gt;{B8A3A9EF-6025-4DFB-A35A-6562ACE07897}&lt;/DBUID&gt;&lt;/Extra&gt;&lt;/Item&gt;&lt;/References&gt;&lt;/Group&gt;&lt;Group&gt;&lt;References&gt;&lt;Item&gt;&lt;ID&gt;123947&lt;/ID&gt;&lt;UID&gt;{977315E7-C3D7-4F88-AB6D-E142CFC50F3A}&lt;/UID&gt;&lt;Title&gt;Efficacy of a novel extract of fenugreek seeds in alleviating vasomotor symptoms and depression in perimenopausal women: A randomized, double‐blinded, placebo‐controlled study&lt;/Title&gt;&lt;Template&gt;Journal Article&lt;/Template&gt;&lt;Star&gt;0&lt;/Star&gt;&lt;Tag&gt;0&lt;/Tag&gt;&lt;Author&gt;Khanna, Aman; John, Febi; Das, Syam; Thomas, Jestin; Rao, Jyoti; Maliakel, Balu; IM, Krishnakumar&lt;/Author&gt;&lt;Year&gt;2020&lt;/Year&gt;&lt;Details&gt;&lt;_doi&gt;10.1111/jfbc.13507&lt;/_doi&gt;&lt;_created&gt;65270792&lt;/_created&gt;&lt;_modified&gt;65270794&lt;/_modified&gt;&lt;_url&gt;https://onlinelibrary.wiley.com/doi/10.1111/jfbc.13507_x000d__x000a_https://onlinelibrary.wiley.com/doi/pdf/10.1111/jfbc.13507&lt;/_url&gt;&lt;_journal&gt;Journal of Food Biochemistry&lt;/_journal&gt;&lt;_volume&gt;44&lt;/_volume&gt;&lt;_issue&gt;12&lt;/_issue&gt;&lt;_tertiary_title&gt;J. Food Biochem.&lt;/_tertiary_title&gt;&lt;_isbn&gt;0145-8884&lt;/_isbn&gt;&lt;_accessed&gt;65270794&lt;/_accessed&gt;&lt;_db_updated&gt;CrossRef&lt;/_db_updated&gt;&lt;_impact_factor&gt;   4.000&lt;/_impact_factor&gt;&lt;_social_category&gt;生化与分子生物学(4) &amp;amp; 食品科技(4)&lt;/_social_category&gt;&lt;_collection_scope&gt;SCIE;EI&lt;/_collection_scope&gt;&lt;/Details&gt;&lt;Extra&gt;&lt;DBUID&gt;{B8A3A9EF-6025-4DFB-A35A-6562ACE07897}&lt;/DBUID&gt;&lt;/Extra&gt;&lt;/Item&gt;&lt;/References&gt;&lt;/Group&gt;&lt;Group&gt;&lt;References&gt;&lt;Item&gt;&lt;ID&gt;123986&lt;/ID&gt;&lt;UID&gt;{A508D671-D05D-41BE-A96A-D57262AE3CE0}&lt;/UID&gt;&lt;Title&gt;Improvement in sleep outcomes with a 17β-estradiol–progesterone oral capsule (TX-001HR) for postmenopausal women&lt;/Title&gt;&lt;Template&gt;Journal Article&lt;/Template&gt;&lt;Star&gt;0&lt;/Star&gt;&lt;Tag&gt;0&lt;/Tag&gt;&lt;Author&gt;Kagan, Risa; Constantine, Ginger; Kaunitz, Andrew M; Bernick, Brian; Mirkin, Sebastian&lt;/Author&gt;&lt;Year&gt;2019&lt;/Year&gt;&lt;Details&gt;&lt;_doi&gt;10.1097/GME.0000000000001278&lt;/_doi&gt;&lt;_created&gt;65270792&lt;/_created&gt;&lt;_modified&gt;65270797&lt;/_modified&gt;&lt;_url&gt;https://journals.lww.com/00042192-201906000-00009_x000d__x000a_https://journals.lww.com/00042192-201906000-00009&lt;/_url&gt;&lt;_journal&gt;Menopause&lt;/_journal&gt;&lt;_volume&gt;26&lt;/_volume&gt;&lt;_issue&gt;6&lt;/_issue&gt;&lt;_pages&gt;622-628&lt;/_pages&gt;&lt;_isbn&gt;1072-3714&lt;/_isbn&gt;&lt;_accessed&gt;65270797&lt;/_accessed&gt;&lt;_db_updated&gt;CrossRef&lt;/_db_updated&gt;&lt;_impact_factor&gt;   2.700&lt;/_impact_factor&gt;&lt;_social_category&gt;妇产科学(3)&lt;/_social_category&gt;&lt;_collection_scope&gt;SCIE&lt;/_collection_scope&gt;&lt;/Details&gt;&lt;Extra&gt;&lt;DBUID&gt;{B8A3A9EF-6025-4DFB-A35A-6562ACE07897}&lt;/DBUID&gt;&lt;/Extra&gt;&lt;/Item&gt;&lt;/References&gt;&lt;/Group&gt;&lt;Group&gt;&lt;References&gt;&lt;Item&gt;&lt;ID&gt;123985&lt;/ID&gt;&lt;UID&gt;{4B41EA8A-07CF-4E9C-B32A-776F5569CDF5}&lt;/UID&gt;&lt;Title&gt;Effects of oral versus transdermal menopausal hormone treatments on self-reported  sleep domains and their association with vasomotor symptoms in recently  menopausal women enrolled in the Kronos Early Estrogen Prevention Study (KEEPS)&lt;/Title&gt;&lt;Template&gt;Journal Article&lt;/Template&gt;&lt;Star&gt;0&lt;/Star&gt;&lt;Tag&gt;0&lt;/Tag&gt;&lt;Author&gt;Cintron, D; Lahr, B D; Bailey, K R; Santoro, N; Lloyd, R; Manson, J E; Neal-Perry, G; Pal, L; Taylor, H S; Wharton, W; Naftolin, F; Harman, S M; Miller, V M&lt;/Author&gt;&lt;Year&gt;2018&lt;/Year&gt;&lt;Details&gt;&lt;_created&gt;65270792&lt;/_created&gt;&lt;_modified&gt;65270796&lt;/_modified&gt;&lt;_url&gt;http://www.ncbi.nlm.nih.gov/entrez/query.fcgi?cmd=Retrieve&amp;amp;db=pubmed&amp;amp;dopt=Abstract&amp;amp;list_uids=28832429&amp;amp;query_hl=1&lt;/_url&gt;&lt;_journal&gt;Menopause&lt;/_journal&gt;&lt;_volume&gt;25&lt;/_volume&gt;&lt;_issue&gt;2&lt;/_issue&gt;&lt;_pages&gt;145-153&lt;/_pages&gt;&lt;_tertiary_title&gt;Menopause (New York, N.Y.)&lt;/_tertiary_title&gt;&lt;_doi&gt;10.1097/GME.0000000000000971&lt;/_doi&gt;&lt;_date_display&gt;2018 Feb&lt;/_date_display&gt;&lt;_date&gt;62107200&lt;/_date&gt;&lt;_type_work&gt;Journal Article; Multicenter Study; Randomized Controlled Trial; Research Support, N.I.H., Extramural; Research Support, Non-U.S. Gov&amp;apos;t&lt;/_type_work&gt;&lt;_isbn&gt;1530-0374 (Electronic); 1072-3714 (Print); 1072-3714 (Linking)&lt;/_isbn&gt;&lt;_accession_num&gt;28832429&lt;/_accession_num&gt;&lt;_subject_headings&gt;Administration, Cutaneous; Administration, Oral; Double-Blind Method; Drug Therapy, Combination; Estradiol/*administration &amp;amp; dosage; Estrogens, Conjugated (USP)/*administration &amp;amp; dosage; Female; Hot Flashes/drug therapy; Humans; Menopause/*drug effects/physiology; Middle Aged; Progesterone/*administration &amp;amp; dosage; Self Report; Severity of Illness Index; Sleep/*drug effects; Sweating/drug effects; Symptom Assessment&lt;/_subject_headings&gt;&lt;_author_adr&gt;Mayo Clinic Graduate School, Mayo Clinic Rochester, MN.; Department of Health Sciences Research Division of Biomedical Statistics and  Informatics, Mayo Clinic Rochester, MN.; Department of Health Sciences Research Division of Biomedical Statistics and  Informatics, Mayo Clinic Rochester, MN.; Department of Obstetrics and Gynecology, University of Colorado at Denver,  Aurora, CO.; Department of Internal Medicine, Mayo Clinic, Rochester, MN.; Department of Medicine, Brigham and Women&amp;apos;s Hospital, Harvard Medical School,  Boston, MA.; Department of Obstetrics and Gynecology, University of Washington, Seattle, WA.; Department of Obstetrics, Gynecology and Reproductive Sciences, Yale University  School of Medicine, New Haven, CT.; Department of Obstetrics, Gynecology and Reproductive Sciences, Yale University  School of Medicine, New Haven, CT.; Department of Neurology, Emory University, Atlanta, GA.; NYU Interdisciplinary Program in Menopause Medicine, New York University, New  York, NY.; Kronos Longevity Research Institute and the Phoenix Veterans Administration  Health Care System, Phoenix, AZ.; Department of Surgery and Department of Physiology and Biomedical Engineering,  Mayo Clinic, Rochester, MN.&lt;/_author_adr&gt;&lt;_language&gt;eng&lt;/_language&gt;&lt;_accessed&gt;65270796&lt;/_accessed&gt;&lt;_db_updated&gt;PubMed&lt;/_db_updated&gt;&lt;_impact_factor&gt;   2.700&lt;/_impact_factor&gt;&lt;_social_category&gt;妇产科学(3)&lt;/_social_category&gt;&lt;_collection_scope&gt;SCIE&lt;/_collection_scope&gt;&lt;/Details&gt;&lt;Extra&gt;&lt;DBUID&gt;{B8A3A9EF-6025-4DFB-A35A-6562ACE07897}&lt;/DBUID&gt;&lt;/Extra&gt;&lt;/Item&gt;&lt;/References&gt;&lt;/Group&gt;&lt;Group&gt;&lt;References&gt;&lt;Item&gt;&lt;ID&gt;123945&lt;/ID&gt;&lt;UID&gt;{937D92B5-EE49-49D5-ADDF-53E9A5C067B6}&lt;/UID&gt;&lt;Title&gt;Effects of vaginal estradiol tablets and moisturizer on menopause-specific quality of life and mood in healthy postmenopausal women with vaginal symptoms: a randomized clinical trial&lt;/Title&gt;&lt;Template&gt;Journal Article&lt;/Template&gt;&lt;Star&gt;0&lt;/Star&gt;&lt;Tag&gt;0&lt;/Tag&gt;&lt;Author&gt;Diem, Susan J; Guthrie, Katherine A; Mitchell, Caroline M; Reed, Susan D; Larson, Joseph C; Ensrud, Kristine E; LaCroix, Andrea Z&lt;/Author&gt;&lt;Year&gt;2018&lt;/Year&gt;&lt;Details&gt;&lt;_doi&gt;10.1097/GME.0000000000001131&lt;/_doi&gt;&lt;_created&gt;65270792&lt;/_created&gt;&lt;_modified&gt;65270794&lt;/_modified&gt;&lt;_url&gt;https://journals.lww.com/00042192-201810000-00006_x000d__x000a_https://journals.lww.com/00042192-201810000-00006&lt;/_url&gt;&lt;_journal&gt;Menopause&lt;/_journal&gt;&lt;_volume&gt;25&lt;/_volume&gt;&lt;_issue&gt;10&lt;/_issue&gt;&lt;_pages&gt;1086-1093&lt;/_pages&gt;&lt;_isbn&gt;1072-3714&lt;/_isbn&gt;&lt;_accessed&gt;65270794&lt;/_accessed&gt;&lt;_db_updated&gt;CrossRef&lt;/_db_updated&gt;&lt;_impact_factor&gt;   2.700&lt;/_impact_factor&gt;&lt;_social_category&gt;妇产科学(3)&lt;/_social_category&gt;&lt;_collection_scope&gt;SCIE&lt;/_collection_scope&gt;&lt;/Details&gt;&lt;Extra&gt;&lt;DBUID&gt;{B8A3A9EF-6025-4DFB-A35A-6562ACE07897}&lt;/DBUID&gt;&lt;/Extra&gt;&lt;/Item&gt;&lt;/References&gt;&lt;/Group&gt;&lt;Group&gt;&lt;References&gt;&lt;Item&gt;&lt;ID&gt;123988&lt;/ID&gt;&lt;UID&gt;{1EE667FE-8D43-4346-807C-3DBDFBB94AC5}&lt;/UID&gt;&lt;Title&gt;Efficacy of Transdermal Estradiol and Micronized Progesterone in the Prevention  of Depressive Symptoms in the Menopause Transition: A Randomized Clinical Trial&lt;/Title&gt;&lt;Template&gt;Journal Article&lt;/Template&gt;&lt;Star&gt;0&lt;/Star&gt;&lt;Tag&gt;0&lt;/Tag&gt;&lt;Author&gt;Gordon, J L; Rubinow, D R; Eisenlohr-Moul, T A; Xia, K; Schmidt, P J; Girdler, S S&lt;/Author&gt;&lt;Year&gt;2018&lt;/Year&gt;&lt;Details&gt;&lt;_doi&gt;10.1001/jamapsychiatry.2017.3998&lt;/_doi&gt;&lt;_created&gt;65270792&lt;/_created&gt;&lt;_modified&gt;65270797&lt;/_modified&gt;&lt;_url&gt;http://www.ncbi.nlm.nih.gov/entrez/query.fcgi?cmd=Retrieve&amp;amp;db=pubmed&amp;amp;dopt=Abstract&amp;amp;list_uids=29322164&amp;amp;query_hl=1&lt;/_url&gt;&lt;_journal&gt;JAMA Psychiatry&lt;/_journal&gt;&lt;_volume&gt;75&lt;/_volume&gt;&lt;_issue&gt;2&lt;/_issue&gt;&lt;_pages&gt;149-157&lt;/_pages&gt;&lt;_tertiary_title&gt;JAMA psychiatry&lt;/_tertiary_title&gt;&lt;_date_display&gt;2018 Feb 1&lt;/_date_display&gt;&lt;_date&gt;62107200&lt;/_date&gt;&lt;_type_work&gt;Journal Article; Randomized Controlled Trial; Research Support, N.I.H., Extramural; Research Support, Non-U.S. Gov&amp;apos;t; Webcast&lt;/_type_work&gt;&lt;_isbn&gt;2168-6238 (Electronic); 2168-622X (Print); 2168-622X (Linking)&lt;/_isbn&gt;&lt;_accession_num&gt;29322164&lt;/_accession_num&gt;&lt;_subject_headings&gt;Administration, Cutaneous; Depressive Disorder/*prevention &amp;amp; control/psychology; Drug Administration Schedule; Drug Therapy, Combination; Estradiol/*administration &amp;amp; dosage; Female; Humans; Menopause/*drug effects/psychology; Middle Aged; Progesterone/*administration &amp;amp; dosage; Risk Factors; Treatment Outcome&lt;/_subject_headings&gt;&lt;_author_adr&gt;Department of Psychology, University of Regina, Regina, Saskatchewan, Canada.; Department of Psychiatry, University of North Carolina at Chapel Hill.; Department of Psychiatry, University of North Carolina at Chapel Hill.; Department of Psychiatry, University of North Carolina at Chapel Hill.; Section on Behavioral Endocrinology, National Institute of Mental Health,  Department of Health and Human Services, Bethesda, Maryland.; Department of Psychiatry, University of North Carolina at Chapel Hill.&lt;/_author_adr&gt;&lt;_language&gt;eng&lt;/_language&gt;&lt;_accessed&gt;65270797&lt;/_accessed&gt;&lt;_db_updated&gt;PubMed&lt;/_db_updated&gt;&lt;_impact_factor&gt;  25.800&lt;/_impact_factor&gt;&lt;_social_category&gt;精神病学(1)&lt;/_social_category&gt;&lt;_collection_scope&gt;SSCI;SCIE&lt;/_collection_scope&gt;&lt;/Details&gt;&lt;Extra&gt;&lt;DBUID&gt;{B8A3A9EF-6025-4DFB-A35A-6562ACE07897}&lt;/DBUID&gt;&lt;/Extra&gt;&lt;/Item&gt;&lt;/References&gt;&lt;/Group&gt;&lt;Group&gt;&lt;References&gt;&lt;Item&gt;&lt;ID&gt;123981&lt;/ID&gt;&lt;UID&gt;{FE22A3E6-48BD-46B2-8503-B0E56A7B0CE4}&lt;/UID&gt;&lt;Title&gt;Tibolone improves depression in women through the menopause transition: A  double-blind randomized controlled trial of adjunctive tibolone&lt;/Title&gt;&lt;Template&gt;Journal Article&lt;/Template&gt;&lt;Star&gt;0&lt;/Star&gt;&lt;Tag&gt;0&lt;/Tag&gt;&lt;Author&gt;Kulkarni, J; Gavrilidis, E; Thomas, N; Hudaib, A R; Worsley, R; Thew, C; Bleeker, C; Gurvich, C&lt;/Author&gt;&lt;Year&gt;2018&lt;/Year&gt;&lt;Details&gt;&lt;_created&gt;65270792&lt;/_created&gt;&lt;_modified&gt;65270822&lt;/_modified&gt;&lt;_accessed&gt;65270822&lt;/_accessed&gt;&lt;_url&gt;http://www.ncbi.nlm.nih.gov/entrez/query.fcgi?cmd=Retrieve&amp;amp;db=pubmed&amp;amp;dopt=Abstract&amp;amp;list_uids=29723767&amp;amp;query_hl=1&lt;/_url&gt;&lt;_journal&gt;J Affect Disord&lt;/_journal&gt;&lt;_volume&gt;236&lt;/_volume&gt;&lt;_pages&gt;88-92&lt;/_pages&gt;&lt;_tertiary_title&gt;Journal of affective disorders&lt;/_tertiary_title&gt;&lt;_doi&gt;10.1016/j.jad.2018.04.103&lt;/_doi&gt;&lt;_date_display&gt;2018 Aug 15&lt;/_date_display&gt;&lt;_date&gt;62388000&lt;/_date&gt;&lt;_type_work&gt;Journal Article; Randomized Controlled Trial; Research Support, Non-U.S. Gov&amp;apos;t&lt;/_type_work&gt;&lt;_isbn&gt;1573-2517 (Electronic); 0165-0327 (Linking)&lt;/_isbn&gt;&lt;_ori_publication&gt;Copyright (c) 2018 Elsevier B.V. All rights reserved.&lt;/_ori_publication&gt;&lt;_accession_num&gt;29723767&lt;/_accession_num&gt;&lt;_subject_headings&gt;Administration, Oral; Adult; Affect/physiology; Antidepressive Agents/therapeutic use; Depression/*drug therapy; Double-Blind Method; Estrogen Receptor Modulators/*therapeutic use; Female; Humans; Menopause/*drug effects/psychology; Middle Aged; Norpregnenes/*therapeutic use; Treatment Outcome&lt;/_subject_headings&gt;&lt;_author_adr&gt;Monash Alfred Psychiatry Research Center (MAPrc), Central Clinical School, Monash  University and The Alfred Hospital, Melbourne, Victoria, Australia. Electronic  address: jayashri.kulkarni@monash.edu.; Monash Alfred Psychiatry Research Center (MAPrc), Central Clinical School, Monash  University and The Alfred Hospital, Melbourne, Victoria, Australia.; Monash Alfred Psychiatry Research Center (MAPrc), Central Clinical School, Monash  University and The Alfred Hospital, Melbourne, Victoria, Australia.; Monash Alfred Psychiatry Research Center (MAPrc), Central Clinical School, Monash  University and The Alfred Hospital, Melbourne, Victoria, Australia.; Monash Alfred Psychiatry Research Center (MAPrc), Central Clinical School, Monash  University and The Alfred Hospital, Melbourne, Victoria, Australia.; Monash Alfred Psychiatry Research Center (MAPrc), Central Clinical School, Monash  University and The Alfred Hospital, Melbourne, Victoria, Australia.; Monash Alfred Psychiatry Research Center (MAPrc), Central Clinical School, Monash  University and The Alfred Hospital, Melbourne, Victoria, Australia.; Monash Alfred Psychiatry Research Center (MAPrc), Central Clinical School, Monash  University and The Alfred Hospital, Melbourne, Victoria, Australia.&lt;/_author_adr&gt;&lt;_language&gt;eng&lt;/_language&gt;&lt;_db_updated&gt;PubMed&lt;/_db_updated&gt;&lt;_impact_factor&gt;   6.600&lt;/_impact_factor&gt;&lt;_social_category&gt;临床神经病学(2) &amp;amp; 精神病学(2)&lt;/_social_category&gt;&lt;_collection_scope&gt;SSCI;SCIE&lt;/_collection_scope&gt;&lt;/Details&gt;&lt;Extra&gt;&lt;DBUID&gt;{B8A3A9EF-6025-4DFB-A35A-6562ACE07897}&lt;/DBUID&gt;&lt;/Extra&gt;&lt;/Item&gt;&lt;/References&gt;&lt;/Group&gt;&lt;Group&gt;&lt;References&gt;&lt;Item&gt;&lt;ID&gt;123994&lt;/ID&gt;&lt;UID&gt;{BBB2E28E-3BA4-4F89-BC32-28E49A7C91FD}&lt;/UID&gt;&lt;Title&gt;Effects of Resveratrol on Cognitive Performance, Mood and Cerebrovascular  Function in Post-Menopausal Women; A 14-Week Randomised Placebo-Controlled  Intervention Trial&lt;/Title&gt;&lt;Template&gt;Journal Article&lt;/Template&gt;&lt;Star&gt;0&lt;/Star&gt;&lt;Tag&gt;0&lt;/Tag&gt;&lt;Author&gt;Evans, H M; Howe, P R; Wong, R H&lt;/Author&gt;&lt;Year&gt;2017&lt;/Year&gt;&lt;Details&gt;&lt;_doi&gt;10.3390/nu9010027&lt;/_doi&gt;&lt;_created&gt;65270792&lt;/_created&gt;&lt;_modified&gt;65270797&lt;/_modified&gt;&lt;_url&gt;http://www.ncbi.nlm.nih.gov/entrez/query.fcgi?cmd=Retrieve&amp;amp;db=pubmed&amp;amp;dopt=Abstract&amp;amp;list_uids=28054939&amp;amp;query_hl=1&lt;/_url&gt;&lt;_journal&gt;Nutrients&lt;/_journal&gt;&lt;_volume&gt;9&lt;/_volume&gt;&lt;_issue&gt;1&lt;/_issue&gt;&lt;_tertiary_title&gt;Nutrients&lt;/_tertiary_title&gt;&lt;_date_display&gt;2017 Jan 3&lt;/_date_display&gt;&lt;_date&gt;61539840&lt;/_date&gt;&lt;_type_work&gt;Journal Article; Randomized Controlled Trial&lt;/_type_work&gt;&lt;_isbn&gt;2072-6643 (Electronic); 2072-6643 (Linking)&lt;/_isbn&gt;&lt;_accession_num&gt;28054939&lt;/_accession_num&gt;&lt;_keywords&gt;cerebrovascular function; cognitive decline; menopause; resveratrol&lt;/_keywords&gt;&lt;_subject_headings&gt;Affect/*drug effects; Aged; Aged, 80 and over; Cerebrovascular Circulation/*drug effects; Cognition/*drug effects; Dietary Supplements; Double-Blind Method; Female; Humans; Middle Aged; Phytoestrogens/pharmacology; Postmenopause/*blood; Resveratrol; Stilbenes/*administration &amp;amp; dosage; Surveys and Questionnaires&lt;/_subject_headings&gt;&lt;_author_adr&gt;School of Biomedical Sciences and Pharmacy, University of Newcastle, Callaghan  2308, New South Wales, Australia. hamish.evans@newcastle.edu.au.; School of Biomedical Sciences and Pharmacy, University of Newcastle, Callaghan  2308, New South Wales, Australia. peter.howe@newcastle.edu.au.; School of Biomedical Sciences and Pharmacy, University of Newcastle, Callaghan  2308, New South Wales, Australia. Rachel.wong@newcastle.edu.au.&lt;/_author_adr&gt;&lt;_language&gt;eng&lt;/_language&gt;&lt;_accessed&gt;65270797&lt;/_accessed&gt;&lt;_db_updated&gt;PubMed&lt;/_db_updated&gt;&lt;_impact_factor&gt;   5.900&lt;/_impact_factor&gt;&lt;_social_category&gt;营养学(2)&lt;/_social_category&gt;&lt;_collection_scope&gt;SCIE&lt;/_collection_scope&gt;&lt;/Details&gt;&lt;Extra&gt;&lt;DBUID&gt;{B8A3A9EF-6025-4DFB-A35A-6562ACE07897}&lt;/DBUID&gt;&lt;/Extra&gt;&lt;/Item&gt;&lt;/References&gt;&lt;/Group&gt;&lt;Group&gt;&lt;References&gt;&lt;Item&gt;&lt;ID&gt;123990&lt;/ID&gt;&lt;UID&gt;{59593FBD-EF6D-4125-A725-1DA55007B63F}&lt;/UID&gt;&lt;Title&gt;A Novel Extract of Fenugreek Husk (FenuSMART) Alleviates Postmenopausal Symptoms  and Helps to Establish the Hormonal Balance: A Randomized, Double-Blind,  Placebo-Controlled Study&lt;/Title&gt;&lt;Template&gt;Journal Article&lt;/Template&gt;&lt;Star&gt;0&lt;/Star&gt;&lt;Tag&gt;0&lt;/Tag&gt;&lt;Author&gt;Shamshad, Begum S; Jayalakshmi, H K; Vidyavathi, H G; Gopakumar, G; Abin, I; Balu, M; Geetha, K; Suresha, S V; Vasundhara, M; Krishnakumar, I M&lt;/Author&gt;&lt;Year&gt;2016&lt;/Year&gt;&lt;Details&gt;&lt;_doi&gt;10.1002/ptr.5680&lt;/_doi&gt;&lt;_created&gt;65270792&lt;/_created&gt;&lt;_modified&gt;65270797&lt;/_modified&gt;&lt;_url&gt;http://www.ncbi.nlm.nih.gov/entrez/query.fcgi?cmd=Retrieve&amp;amp;db=pubmed&amp;amp;dopt=Abstract&amp;amp;list_uids=27406028&amp;amp;query_hl=1&lt;/_url&gt;&lt;_journal&gt;Phytother Res&lt;/_journal&gt;&lt;_volume&gt;30&lt;/_volume&gt;&lt;_issue&gt;11&lt;/_issue&gt;&lt;_pages&gt;1775-1784&lt;/_pages&gt;&lt;_tertiary_title&gt;Phytotherapy research : PTR&lt;/_tertiary_title&gt;&lt;_date_display&gt;2016 Nov&lt;/_date_display&gt;&lt;_date&gt;61449120&lt;/_date&gt;&lt;_type_work&gt;Journal Article; Randomized Controlled Trial&lt;/_type_work&gt;&lt;_isbn&gt;1099-1573 (Electronic); 0951-418X (Linking)&lt;/_isbn&gt;&lt;_ori_publication&gt;Copyright (c) 2016 John Wiley &amp;amp; Sons, Ltd.&lt;/_ori_publication&gt;&lt;_accession_num&gt;27406028&lt;/_accession_num&gt;&lt;_keywords&gt;Greene Climacteric Scale; Trigonella foenum-graecum; estradiol; fenugreek; menopausal symptoms; phytoestrogens; quality of life&lt;/_keywords&gt;&lt;_subject_headings&gt;Double-Blind Method; Female; Humans; Menopause/*metabolism; Middle Aged; Plant Extracts/*chemistry/pharmacology/therapeutic use; Postmenopause/*drug effects; Quality of Life; Trigonella/*chemistry&lt;/_subject_headings&gt;&lt;_author_adr&gt;Bakery and Value Addition Centre, University of Agricultural Sciences, Bangalore,  560024, India. shamshadbegum2@gmail.com.; University of Agricultural Sciences, Bangalore, 560065, India.  shamshadbegum2@gmail.com.; Department of Clinical Nutrition, Sri Jayadeva Institute of Cardiovascular  Sciences and Research, Bangalore, 560069, India.; Department of Clinical Nutrition, Sri Jayadeva Institute of Cardiovascular  Sciences and Research, Bangalore, 560069, India.; R&amp;amp;D Centre, Akay Flavours &amp;amp; Aromatics Ltd., Ambunadu, Malaidamthuruthu P.O.,  Cochin, 683561, India.; R&amp;amp;D Centre, Akay Flavours &amp;amp; Aromatics Ltd., Ambunadu, Malaidamthuruthu P.O.,  Cochin, 683561, India.; R&amp;amp;D Centre, Akay Flavours &amp;amp; Aromatics Ltd., Ambunadu, Malaidamthuruthu P.O.,  Cochin, 683561, India.; Bakery and Value Addition Centre, University of Agricultural Sciences, Bangalore,  560024, India.; Bakery and Value Addition Centre, University of Agricultural Sciences, Bangalore,  560024, India.; University of Agricultural Sciences, Bangalore, 560065, India.; R&amp;amp;D Centre, Akay Flavours &amp;amp; Aromatics Ltd., Ambunadu, Malaidamthuruthu P.O.,  Cochin, 683561, India.&lt;/_author_adr&gt;&lt;_language&gt;eng&lt;/_language&gt;&lt;_accessed&gt;65270797&lt;/_accessed&gt;&lt;_db_updated&gt;PubMed&lt;/_db_updated&gt;&lt;_impact_factor&gt;   7.200&lt;/_impact_factor&gt;&lt;_social_category&gt;药物化学(2) &amp;amp; 药学(2)&lt;/_social_category&gt;&lt;_collection_scope&gt;SCIE&lt;/_collection_scope&gt;&lt;/Details&gt;&lt;Extra&gt;&lt;DBUID&gt;{B8A3A9EF-6025-4DFB-A35A-6562ACE07897}&lt;/DBUID&gt;&lt;/Extra&gt;&lt;/Item&gt;&lt;/References&gt;&lt;/Group&gt;&lt;Group&gt;&lt;References&gt;&lt;Item&gt;&lt;ID&gt;123991&lt;/ID&gt;&lt;UID&gt;{D7CBFAB6-45BC-4BA9-A3C0-269FF1CC4574}&lt;/UID&gt;&lt;Title&gt;A randomized, double-blind, placebo-controlled trial of Schisandra chinensis for  menopausal symptoms&lt;/Title&gt;&lt;Template&gt;Journal Article&lt;/Template&gt;&lt;Star&gt;0&lt;/Star&gt;&lt;Tag&gt;0&lt;/Tag&gt;&lt;Author&gt;Park, J Y; Kim, K H&lt;/Author&gt;&lt;Year&gt;2016&lt;/Year&gt;&lt;Details&gt;&lt;_created&gt;65270792&lt;/_created&gt;&lt;_modified&gt;65270797&lt;/_modified&gt;&lt;_url&gt;http://www.ncbi.nlm.nih.gov/entrez/query.fcgi?cmd=Retrieve&amp;amp;db=pubmed&amp;amp;dopt=Abstract&amp;amp;list_uids=27763802&amp;amp;query_hl=1&lt;/_url&gt;&lt;_journal&gt;Climacteric&lt;/_journal&gt;&lt;_volume&gt;19&lt;/_volume&gt;&lt;_issue&gt;6&lt;/_issue&gt;&lt;_pages&gt;574-580&lt;/_pages&gt;&lt;_tertiary_title&gt;Climacteric : the journal of the International Menopause Society&lt;/_tertiary_title&gt;&lt;_doi&gt;10.1080/13697137.2016.1238453&lt;/_doi&gt;&lt;_date_display&gt;2016 Dec&lt;/_date_display&gt;&lt;_date&gt;61492320&lt;/_date&gt;&lt;_type_work&gt;Journal Article; Randomized Controlled Trial&lt;/_type_work&gt;&lt;_isbn&gt;1473-0804 (Electronic); 1369-7137 (Linking)&lt;/_isbn&gt;&lt;_accession_num&gt;27763802&lt;/_accession_num&gt;&lt;_keywords&gt;Menopausal symptoms; Schisandra chinensis; herbal medicine; hot flushes; quality of life&lt;/_keywords&gt;&lt;_subject_headings&gt;Adult; Aged; Complementary Therapies; Double-Blind Method; Drugs, Chinese Herbal/therapeutic use; Female; Hot Flashes/drug therapy; Humans; *Menopause; Middle Aged; Phytotherapy; Placebos; Plant Extracts/administration &amp;amp; dosage/adverse effects/*therapeutic use; Quality of Life; Schisandra/*chemistry; Sleep Initiation and Maintenance Disorders/drug therapy; Surveys and Questionnaires; Sweating; Treatment Outcome&lt;/_subject_headings&gt;&lt;_author_adr&gt;a Department of Obstetrics and Gynecology , Kangbuk Samsung Hospital,  Sungkyunkwan University School of Medicine , Seoul , South Korea.; a Department of Obstetrics and Gynecology , Kangbuk Samsung Hospital,  Sungkyunkwan University School of Medicine , Seoul , South Korea.&lt;/_author_adr&gt;&lt;_language&gt;eng&lt;/_language&gt;&lt;_accessed&gt;65270797&lt;/_accessed&gt;&lt;_db_updated&gt;PubMed&lt;/_db_updated&gt;&lt;_impact_factor&gt;   2.800&lt;/_impact_factor&gt;&lt;_social_category&gt;妇产科学(4)&lt;/_social_category&gt;&lt;_collection_scope&gt;SCIE&lt;/_collection_scope&gt;&lt;/Details&gt;&lt;Extra&gt;&lt;DBUID&gt;{B8A3A9EF-6025-4DFB-A35A-6562ACE07897}&lt;/DBUID&gt;&lt;/Extra&gt;&lt;/Item&gt;&lt;/References&gt;&lt;/Group&gt;&lt;Group&gt;&lt;References&gt;&lt;Item&gt;&lt;ID&gt;123952&lt;/ID&gt;&lt;UID&gt;{E2B3BE5F-9F45-4645-BC10-C4B8E15F5122}&lt;/UID&gt;&lt;Title&gt;Low-dose isoflavone aglycone alleviates psychological symptoms of menopause in  Japanese women: a randomized, double-blind, placebo-controlled study&lt;/Title&gt;&lt;Template&gt;Journal Article&lt;/Template&gt;&lt;Star&gt;0&lt;/Star&gt;&lt;Tag&gt;0&lt;/Tag&gt;&lt;Author&gt;Hirose, A; Terauchi, M; Akiyoshi, M; Owa, Y; Kato, K; Kubota, T&lt;/Author&gt;&lt;Year&gt;2016&lt;/Year&gt;&lt;Details&gt;&lt;_doi&gt;10.1007/s00404-015-3849-0&lt;/_doi&gt;&lt;_created&gt;65270792&lt;/_created&gt;&lt;_modified&gt;65270794&lt;/_modified&gt;&lt;_url&gt;http://www.ncbi.nlm.nih.gov/entrez/query.fcgi?cmd=Retrieve&amp;amp;db=pubmed&amp;amp;dopt=Abstract&amp;amp;list_uids=26294070&amp;amp;query_hl=1&lt;/_url&gt;&lt;_journal&gt;Arch Gynecol Obstet&lt;/_journal&gt;&lt;_volume&gt;293&lt;/_volume&gt;&lt;_issue&gt;3&lt;/_issue&gt;&lt;_pages&gt;609-15&lt;/_pages&gt;&lt;_tertiary_title&gt;Archives of gynecology and obstetrics&lt;/_tertiary_title&gt;&lt;_date_display&gt;2016 Mar&lt;/_date_display&gt;&lt;_date&gt;61096320&lt;/_date&gt;&lt;_type_work&gt;Journal Article; Randomized Controlled Trial; Research Support, Non-U.S. Gov&amp;apos;t&lt;/_type_work&gt;&lt;_isbn&gt;1432-0711 (Electronic); 0932-0067 (Print); 0932-0067 (Linking)&lt;/_isbn&gt;&lt;_accession_num&gt;26294070&lt;/_accession_num&gt;&lt;_keywords&gt;Depression; Flavonoids; Insomnia; Mood; Sleep&lt;/_keywords&gt;&lt;_subject_headings&gt;Adult; Anxiety/*drug therapy/psychology; Depression/*drug therapy; Dose-Response Relationship, Drug; Double-Blind Method; Female; Humans; Isoflavones/*administration &amp;amp; dosage/pharmacology; Japan; Menopause/*drug effects/ethnology/*psychology; Middle Aged; Sleep Initiation and Maintenance Disorders/drug therapy/psychology; Treatment Outcome&lt;/_subject_headings&gt;&lt;_author_adr&gt;Department of Obstetrics and Gynecology, Tokyo Medical and Dental University,  Yushima 1-5-45, Bunkyo, Tokyo, 113-8510, Japan.; Department of Women&amp;apos;s Health, Tokyo Medical and Dental University, Yushima  1-5-45, Bunkyo, Tokyo, 113-8510, Japan. teragyne@tmd.ac.jp.; Department of Obstetrics and Gynecology, Tokyo Medical and Dental University,  Yushima 1-5-45, Bunkyo, Tokyo, 113-8510, Japan.; Department of Obstetrics and Gynecology, Tokyo Medical and Dental University,  Yushima 1-5-45, Bunkyo, Tokyo, 113-8510, Japan.; Department of Obstetrics and Gynecology, Tokyo Medical and Dental University,  Yushima 1-5-45, Bunkyo, Tokyo, 113-8510, Japan.; Department of Obstetrics and Gynecology, Tokyo Medical and Dental University,  Yushima 1-5-45, Bunkyo, Tokyo, 113-8510, Japan.&lt;/_author_adr&gt;&lt;_language&gt;eng&lt;/_language&gt;&lt;_accessed&gt;65270794&lt;/_accessed&gt;&lt;_db_updated&gt;PubMed&lt;/_db_updated&gt;&lt;_impact_factor&gt;   2.600&lt;/_impact_factor&gt;&lt;_social_category&gt;妇产科学(4)&lt;/_social_category&gt;&lt;_collection_scope&gt;SCIE&lt;/_collection_scope&gt;&lt;/Details&gt;&lt;Extra&gt;&lt;DBUID&gt;{B8A3A9EF-6025-4DFB-A35A-6562ACE07897}&lt;/DBUID&gt;&lt;/Extra&gt;&lt;/Item&gt;&lt;/References&gt;&lt;/Group&gt;&lt;Group&gt;&lt;References&gt;&lt;Item&gt;&lt;ID&gt;114448&lt;/ID&gt;&lt;UID&gt;{90D38662-6F2F-41B8-BC03-BF366E26FD32}&lt;/UID&gt;&lt;Title&gt;The effect of Hop (Humulus lupulus L.) on early menopausal symptoms and hot  flashes: A randomized placebo-controlled trial&lt;/Title&gt;&lt;Template&gt;Journal Article&lt;/Template&gt;&lt;Star&gt;0&lt;/Star&gt;&lt;Tag&gt;0&lt;/Tag&gt;&lt;Author&gt;Aghamiri, V; Mirghafourvand, M; Mohammad-Alizadeh-Charandabi, S; Nazemiyeh, H&lt;/Author&gt;&lt;Year&gt;2016&lt;/Year&gt;&lt;Details&gt;&lt;_accessed&gt;65193030&lt;/_accessed&gt;&lt;_accession_num&gt;25982391&lt;/_accession_num&gt;&lt;_author_adr&gt;Faculty of Nursing &amp;amp; Midwifery, Tabriz University of Medical Sciences, Student  Research Committee Sciences, Iran.; Midwifery Department, Tabriz University of Medical Sciences, Tabriz, Iran.  Electronic address: mirghafourvandm@tbzmed.ac.ir.; Social Determinants of Health (SDH) Research Center, Midwifery Department, Tabriz  University of Medical Sciences, Tabriz, Iran.; Faculty of Pharmacy, Tabriz University of Medical Sciences, Tabriz, Iran.&lt;/_author_adr&gt;&lt;_collection_scope&gt;SCIE&lt;/_collection_scope&gt;&lt;_created&gt;64991458&lt;/_created&gt;&lt;_custom1&gt;56&lt;/_custom1&gt;&lt;_date&gt;2016-05-01&lt;/_date&gt;&lt;_date_display&gt;2016 May&lt;/_date_display&gt;&lt;_db_updated&gt;PubMed&lt;/_db_updated&gt;&lt;_doi&gt;10.1016/j.ctcp.2015.05.001&lt;/_doi&gt;&lt;_impact_factor&gt;   3.000&lt;/_impact_factor&gt;&lt;_isbn&gt;1873-6947 (Electronic); 1744-3881 (Linking)&lt;/_isbn&gt;&lt;_journal&gt;Complement Ther Clin Pract&lt;/_journal&gt;&lt;_keywords&gt;Early menopausal symptoms; Hop (Humulus lupulus L.); Menopause; Randomized clinical trial&lt;/_keywords&gt;&lt;_language&gt;eng&lt;/_language&gt;&lt;_modified&gt;65193030&lt;/_modified&gt;&lt;_ori_publication&gt;Copyright (c) 2015 Elsevier Ltd. All rights reserved.&lt;/_ori_publication&gt;&lt;_pages&gt;130-5&lt;/_pages&gt;&lt;_social_category&gt;医学(4)&lt;/_social_category&gt;&lt;_subject_headings&gt;Adult; Female; Hot Flashes/*drug therapy; Humans; Humulus/*chemistry; *Menopause; Middle Aged; Plant Extracts/*therapeutic use&lt;/_subject_headings&gt;&lt;_tertiary_title&gt;Complementary therapies in clinical practice&lt;/_tertiary_title&gt;&lt;_type_work&gt;Journal Article; Randomized Controlled Trial&lt;/_type_work&gt;&lt;_url&gt;http://www.ncbi.nlm.nih.gov/entrez/query.fcgi?cmd=Retrieve&amp;amp;db=pubmed&amp;amp;dopt=Abstract&amp;amp;list_uids=25982391&amp;amp;query_hl=1&lt;/_url&gt;&lt;_volume&gt;23&lt;/_volume&gt;&lt;/Details&gt;&lt;Extra&gt;&lt;DBUID&gt;{B8A3A9EF-6025-4DFB-A35A-6562ACE07897}&lt;/DBUID&gt;&lt;/Extra&gt;&lt;/Item&gt;&lt;/References&gt;&lt;/Group&gt;&lt;Group&gt;&lt;References&gt;&lt;Item&gt;&lt;ID&gt;123937&lt;/ID&gt;&lt;UID&gt;{E0A4F093-F148-4CB2-A0AD-F9936361148F}&lt;/UID&gt;&lt;Title&gt;Effects of Estradiol and Venlafaxine on Insomnia Symptoms and Sleep Quality in Women with Hot Flashes&lt;/Title&gt;&lt;Template&gt;Journal Article&lt;/Template&gt;&lt;Star&gt;0&lt;/Star&gt;&lt;Tag&gt;0&lt;/Tag&gt;&lt;Author&gt;Ensrud, Kristine E; Guthrie, Katherine A; Hohensee, Chancellor; Caan, Bette; Carpenter, Janet S; Freeman, Ellen W; LaCroix, Andrea Z; Landis, Carol A; Manson, JoAnn; Newton, Katherine M; Otte, Julie; Reed, Susan D; Shifren, Jan L; Sternfeld, Barbara; Woods, Nancy F; Joffe, Hadine&lt;/Author&gt;&lt;Year&gt;2015&lt;/Year&gt;&lt;Details&gt;&lt;_doi&gt;10.5665/sleep.4332&lt;/_doi&gt;&lt;_created&gt;65270792&lt;/_created&gt;&lt;_modified&gt;65270793&lt;/_modified&gt;&lt;_url&gt;https://academic.oup.com/sleep/article/38/1/97/2416769_x000d__x000a_http://academic.oup.com/sleep/article-pdf/38/1/97/26670715/aasm.38.1.97.pdf&lt;/_url&gt;&lt;_journal&gt;Sleep&lt;/_journal&gt;&lt;_volume&gt;38&lt;/_volume&gt;&lt;_issue&gt;1&lt;/_issue&gt;&lt;_pages&gt;97-108&lt;/_pages&gt;&lt;_date&gt;60484320&lt;/_date&gt;&lt;_isbn&gt;0161-8105&lt;/_isbn&gt;&lt;_accessed&gt;65270793&lt;/_accessed&gt;&lt;_db_updated&gt;CrossRef&lt;/_db_updated&gt;&lt;_impact_factor&gt;   5.600&lt;/_impact_factor&gt;&lt;_social_category&gt;临床神经病学(2) &amp;amp; 神经科学(2)&lt;/_social_category&gt;&lt;_collection_scope&gt;SCIE&lt;/_collection_scope&gt;&lt;/Details&gt;&lt;Extra&gt;&lt;DBUID&gt;{B8A3A9EF-6025-4DFB-A35A-6562ACE07897}&lt;/DBUID&gt;&lt;/Extra&gt;&lt;/Item&gt;&lt;/References&gt;&lt;/Group&gt;&lt;Group&gt;&lt;References&gt;&lt;Item&gt;&lt;ID&gt;123941&lt;/ID&gt;&lt;UID&gt;{83F33354-14D5-43A5-A0FB-4DE1FF2B08CD}&lt;/UID&gt;&lt;Title&gt;Effects of estrogen and venlafaxine on menopause-related quality of life in healthy postmenopausal women with hot flashes&lt;/Title&gt;&lt;Template&gt;Journal Article&lt;/Template&gt;&lt;Star&gt;0&lt;/Star&gt;&lt;Tag&gt;0&lt;/Tag&gt;&lt;Author&gt;Caan, Bette; LaCroix, Andrea Z; Joffe, Hadine; Guthrie, Katherine A; Larson, Joseph C; Carpenter, Janet S; Cohen, Lee S; Freeman, Ellen W; Manson, JoAnn E; Newton, Katherine; Reed, Susan; Rexrode, Kathy; Shifren, Jan; Sternfeld, Barbara; Ensrud, Kris&lt;/Author&gt;&lt;Year&gt;2015&lt;/Year&gt;&lt;Details&gt;&lt;_doi&gt;10.1097/GME.0000000000000364&lt;/_doi&gt;&lt;_created&gt;65270792&lt;/_created&gt;&lt;_modified&gt;65270793&lt;/_modified&gt;&lt;_url&gt;https://journals.lww.com/00042192-201506000-00006_x000d__x000a_https://journals.lww.com/10.1097/GME.0000000000000364&lt;/_url&gt;&lt;_journal&gt;Menopause&lt;/_journal&gt;&lt;_volume&gt;22&lt;/_volume&gt;&lt;_issue&gt;6&lt;/_issue&gt;&lt;_pages&gt;607-615&lt;/_pages&gt;&lt;_isbn&gt;1072-3714&lt;/_isbn&gt;&lt;_accessed&gt;65270793&lt;/_accessed&gt;&lt;_db_updated&gt;CrossRef&lt;/_db_updated&gt;&lt;_impact_factor&gt;   2.700&lt;/_impact_factor&gt;&lt;_social_category&gt;妇产科学(3)&lt;/_social_category&gt;&lt;_collection_scope&gt;SCIE&lt;/_collection_scope&gt;&lt;/Details&gt;&lt;Extra&gt;&lt;DBUID&gt;{B8A3A9EF-6025-4DFB-A35A-6562ACE07897}&lt;/DBUID&gt;&lt;/Extra&gt;&lt;/Item&gt;&lt;/References&gt;&lt;/Group&gt;&lt;Group&gt;&lt;References&gt;&lt;Item&gt;&lt;ID&gt;123987&lt;/ID&gt;&lt;UID&gt;{67824619-17ED-491D-8EBF-1CE1FCB05CEB}&lt;/UID&gt;&lt;Title&gt;Effects of estrogen therapy on postmenopausal sleep quality regardless of vasomotor symptoms: a randomized trial&lt;/Title&gt;&lt;Template&gt;Journal Article&lt;/Template&gt;&lt;Star&gt;0&lt;/Star&gt;&lt;Tag&gt;0&lt;/Tag&gt;&lt;Author&gt;Tansupswatdikul, P; Chaikittisilpa, S; Jaimchariyatam, N; Panyakhamlerd, K; Jaisamrarn, U; Taechakraichana, N&lt;/Author&gt;&lt;Year&gt;2015&lt;/Year&gt;&lt;Details&gt;&lt;_doi&gt;10.3109/13697137.2014.964670&lt;/_doi&gt;&lt;_created&gt;65270792&lt;/_created&gt;&lt;_modified&gt;65270797&lt;/_modified&gt;&lt;_url&gt;http://www.tandfonline.com/doi/full/10.3109/13697137.2014.964670_x000d__x000a_http://www.tandfonline.com/doi/pdf/10.3109/13697137.2014.964670&lt;/_url&gt;&lt;_journal&gt;Climacteric&lt;/_journal&gt;&lt;_volume&gt;18&lt;/_volume&gt;&lt;_issue&gt;2&lt;/_issue&gt;&lt;_pages&gt;198-204&lt;/_pages&gt;&lt;_tertiary_title&gt;Climacteric&lt;/_tertiary_title&gt;&lt;_date&gt;60573600&lt;/_date&gt;&lt;_isbn&gt;1369-7137&lt;/_isbn&gt;&lt;_accessed&gt;65270797&lt;/_accessed&gt;&lt;_db_updated&gt;CrossRef&lt;/_db_updated&gt;&lt;_impact_factor&gt;   2.800&lt;/_impact_factor&gt;&lt;_social_category&gt;妇产科学(4)&lt;/_social_category&gt;&lt;_collection_scope&gt;SCIE&lt;/_collection_scope&gt;&lt;/Details&gt;&lt;Extra&gt;&lt;DBUID&gt;{B8A3A9EF-6025-4DFB-A35A-6562ACE07897}&lt;/DBUID&gt;&lt;/Extra&gt;&lt;/Item&gt;&lt;/References&gt;&lt;/Group&gt;&lt;Group&gt;&lt;References&gt;&lt;Item&gt;&lt;ID&gt;123982&lt;/ID&gt;&lt;UID&gt;{CEB5BB78-634C-446C-8C91-64731637A351}&lt;/UID&gt;&lt;Title&gt;Effects of Hormone Therapy on Cognition and Mood in Recently Postmenopausal Women: Findings from the Randomized, Controlled KEEPS–Cognitive and Affective Study&lt;/Title&gt;&lt;Template&gt;Journal Article&lt;/Template&gt;&lt;Star&gt;0&lt;/Star&gt;&lt;Tag&gt;0&lt;/Tag&gt;&lt;Author&gt;Gleason, Carey E; Dowling, N Maritza; Wharton, Whitney; Manson, JoAnn E; Miller, Virginia M; Atwood, Craig S; Brinton, Eliot A; Cedars, Marcelle I; Lobo, Rogerio A; Merriam, George R; Neal-Perry, Genevieve; Santoro, Nanette F; Taylor, Hugh S; Black, Dennis M; Budoff, Matthew J; Hodis, Howard N; Naftolin, Frederick; Harman, S Mitchell; Asthana, Sanjay&lt;/Author&gt;&lt;Year&gt;2015&lt;/Year&gt;&lt;Details&gt;&lt;_doi&gt;10.1371/journal.pmed.1001833&lt;/_doi&gt;&lt;_created&gt;65270792&lt;/_created&gt;&lt;_modified&gt;65270796&lt;/_modified&gt;&lt;_url&gt;https://dx.plos.org/10.1371/journal.pmed.1001833_x000d__x000a_http://dx.plos.org/10.1371/journal.pmed.1001833&lt;/_url&gt;&lt;_journal&gt;PLOS Medicine&lt;/_journal&gt;&lt;_volume&gt;12&lt;/_volume&gt;&lt;_issue&gt;6&lt;/_issue&gt;&lt;_pages&gt;e1001833&lt;/_pages&gt;&lt;_tertiary_title&gt;PLoS Med&lt;/_tertiary_title&gt;&lt;_date&gt;60703200&lt;/_date&gt;&lt;_isbn&gt;1549-1676&lt;/_isbn&gt;&lt;_accessed&gt;65270796&lt;/_accessed&gt;&lt;_db_updated&gt;CrossRef&lt;/_db_updated&gt;&lt;_impact_factor&gt;  15.800&lt;/_impact_factor&gt;&lt;_social_category&gt;医学：内科(1)&lt;/_social_category&gt;&lt;_collection_scope&gt;SCIE&lt;/_collection_scope&gt;&lt;/Details&gt;&lt;Extra&gt;&lt;DBUID&gt;{B8A3A9EF-6025-4DFB-A35A-6562ACE07897}&lt;/DBUID&gt;&lt;/Extra&gt;&lt;/Item&gt;&lt;/References&gt;&lt;/Group&gt;&lt;Group&gt;&lt;References&gt;&lt;Item&gt;&lt;ID&gt;123997&lt;/ID&gt;&lt;UID&gt;{E625C979-36D1-4A9E-A32F-CF79D536EAD2}&lt;/UID&gt;&lt;Title&gt;Genistein effects on quality of life and depression symptoms in osteopenic  postmenopausal women: a 2-year randomized, double-blind, controlled study&lt;/Title&gt;&lt;Template&gt;Journal Article&lt;/Template&gt;&lt;Star&gt;0&lt;/Star&gt;&lt;Tag&gt;0&lt;/Tag&gt;&lt;Author&gt;Atteritano, M; Mazzaferro, S; Bitto, A; Cannata, M L; D&amp;apos;Anna, R; Squadrito, F; Macri, I; Frisina, A; Frisina, N; Bagnato, G&lt;/Author&gt;&lt;Year&gt;2014&lt;/Year&gt;&lt;Details&gt;&lt;_doi&gt;10.1007/s00198-013-2512-5&lt;/_doi&gt;&lt;_created&gt;65270792&lt;/_created&gt;&lt;_modified&gt;65270798&lt;/_modified&gt;&lt;_url&gt;http://www.ncbi.nlm.nih.gov/entrez/query.fcgi?cmd=Retrieve&amp;amp;db=pubmed&amp;amp;dopt=Abstract&amp;amp;list_uids=24114397&amp;amp;query_hl=1&lt;/_url&gt;&lt;_journal&gt;Osteoporos Int&lt;/_journal&gt;&lt;_volume&gt;25&lt;/_volume&gt;&lt;_issue&gt;3&lt;/_issue&gt;&lt;_pages&gt;1123-9&lt;/_pages&gt;&lt;_tertiary_title&gt;Osteoporosis international : a journal established as result of cooperation _x000d__x000a_      between the European Foundation for Osteoporosis and the National Osteoporosis _x000d__x000a_      Foundation of the USA&lt;/_tertiary_title&gt;&lt;_date_display&gt;2014 Mar&lt;/_date_display&gt;&lt;_date&gt;60043680&lt;/_date&gt;&lt;_type_work&gt;Journal Article; Randomized Controlled Trial&lt;/_type_work&gt;&lt;_isbn&gt;1433-2965 (Electronic); 0937-941X (Linking)&lt;/_isbn&gt;&lt;_accession_num&gt;24114397&lt;/_accession_num&gt;&lt;_subject_headings&gt;Aged; Bone Density/drug effects; Bone Diseases, Metabolic/blood/physiopathology/*psychology; Depression/blood/*drug therapy; Double-Blind Method; Estrogen Replacement Therapy; Female; Femur Neck/physiopathology; Genistein/blood/*therapeutic use; Humans; Lumbar Vertebrae/physiopathology; Middle Aged; Phytoestrogens/blood/*therapeutic use; Postmenopause/physiology/psychology; Psychiatric Status Rating Scales; Psychometrics; *Quality of Life&lt;/_subject_headings&gt;&lt;_author_adr&gt;Department of Internal Medicine, University of Messina, Pad. C, 3rd floor, A.O.U.  Policlinico &amp;quot;G. Martino&amp;quot; Via C. Valeria, 98125, Messina, Italy,  matteritano@unime.it.&lt;/_author_adr&gt;&lt;_language&gt;eng&lt;/_language&gt;&lt;_accessed&gt;65270798&lt;/_accessed&gt;&lt;_db_updated&gt;PubMed&lt;/_db_updated&gt;&lt;_impact_factor&gt;   4.000&lt;/_impact_factor&gt;&lt;_social_category&gt;内分泌学与代谢(2)&lt;/_social_category&gt;&lt;_collection_scope&gt;SCIE&lt;/_collection_scope&gt;&lt;/Details&gt;&lt;Extra&gt;&lt;DBUID&gt;{B8A3A9EF-6025-4DFB-A35A-6562ACE07897}&lt;/DBUID&gt;&lt;/Extra&gt;&lt;/Item&gt;&lt;/References&gt;&lt;/Group&gt;&lt;Group&gt;&lt;References&gt;&lt;Item&gt;&lt;ID&gt;123955&lt;/ID&gt;&lt;UID&gt;{9C00A358-FD08-4C99-842F-D4B1D4AA52C3}&lt;/UID&gt;&lt;Title&gt;A randomized, controlled pilot trial of hormone therapy for menopausal insomnia&lt;/Title&gt;&lt;Template&gt;Journal Article&lt;/Template&gt;&lt;Star&gt;0&lt;/Star&gt;&lt;Tag&gt;0&lt;/Tag&gt;&lt;Author&gt;Silva, B H; Martinez, D; Wender, M C&lt;/Author&gt;&lt;Year&gt;2011&lt;/Year&gt;&lt;Details&gt;&lt;_doi&gt;10.1007/s00737-011-0242-2&lt;/_doi&gt;&lt;_created&gt;65270792&lt;/_created&gt;&lt;_modified&gt;65270794&lt;/_modified&gt;&lt;_url&gt;http://www.ncbi.nlm.nih.gov/entrez/query.fcgi?cmd=Retrieve&amp;amp;db=pubmed&amp;amp;dopt=Abstract&amp;amp;list_uids=21993580&amp;amp;query_hl=1&lt;/_url&gt;&lt;_journal&gt;Arch Womens Ment Health&lt;/_journal&gt;&lt;_volume&gt;14&lt;/_volume&gt;&lt;_issue&gt;6&lt;/_issue&gt;&lt;_pages&gt;505-8&lt;/_pages&gt;&lt;_tertiary_title&gt;Archives of women&amp;apos;s mental health&lt;/_tertiary_title&gt;&lt;_date_display&gt;2011 Dec&lt;/_date_display&gt;&lt;_date&gt;58861440&lt;/_date&gt;&lt;_type_work&gt;Journal Article; Randomized Controlled Trial&lt;/_type_work&gt;&lt;_isbn&gt;1435-1102 (Electronic); 1434-1816 (Linking)&lt;/_isbn&gt;&lt;_accession_num&gt;21993580&lt;/_accession_num&gt;&lt;_subject_headings&gt;Adult; Double-Blind Method; Estradiol/*administration &amp;amp; dosage; Estrogen Replacement Therapy/*methods; Female; Humans; Middle Aged; *Perimenopause; Pilot Projects; Polysomnography; Promegestone/administration &amp;amp; dosage/*analogs &amp;amp; derivatives; Sleep/drug effects; Sleep Initiation and Maintenance Disorders/*drug therapy; Treatment Outcome&lt;/_subject_headings&gt;&lt;_author_adr&gt;Postgraduate Program in Medical Sciences, Obstetrics and Gynecology Department,  UFRGS, and Menopause Clinic, Hospital de Clinicas de Porto Alegre, Porto Alegre,  Brazil.&lt;/_author_adr&gt;&lt;_language&gt;eng&lt;/_language&gt;&lt;_accessed&gt;65270794&lt;/_accessed&gt;&lt;_db_updated&gt;PubMed&lt;/_db_updated&gt;&lt;_impact_factor&gt;   4.500&lt;/_impact_factor&gt;&lt;_social_category&gt;精神病学(3)&lt;/_social_category&gt;&lt;_collection_scope&gt;SCIE&lt;/_collection_scope&gt;&lt;/Details&gt;&lt;Extra&gt;&lt;DBUID&gt;{B8A3A9EF-6025-4DFB-A35A-6562ACE07897}&lt;/DBUID&gt;&lt;/Extra&gt;&lt;/Item&gt;&lt;/References&gt;&lt;/Group&gt;&lt;Group&gt;&lt;References&gt;&lt;Item&gt;&lt;ID&gt;123940&lt;/ID&gt;&lt;UID&gt;{04C5860B-0009-4A19-95B7-44A7B5454D7F}&lt;/UID&gt;&lt;Title&gt;Clinical and metabolic effects of drospirenone-estradiol in menopausal women: a  prospective study&lt;/Title&gt;&lt;Template&gt;Journal Article&lt;/Template&gt;&lt;Star&gt;0&lt;/Star&gt;&lt;Tag&gt;0&lt;/Tag&gt;&lt;Author&gt;Gambacciani, M; Rosano, G; Cappagli, B; Pepe, A; Vitale, C; Genazzani, A R&lt;/Author&gt;&lt;Year&gt;2011&lt;/Year&gt;&lt;Details&gt;&lt;_doi&gt;10.3109/13697137.2010.520099&lt;/_doi&gt;&lt;_created&gt;65270792&lt;/_created&gt;&lt;_modified&gt;65270793&lt;/_modified&gt;&lt;_url&gt;http://www.ncbi.nlm.nih.gov/entrez/query.fcgi?cmd=Retrieve&amp;amp;db=pubmed&amp;amp;dopt=Abstract&amp;amp;list_uids=20979461&amp;amp;query_hl=1&lt;/_url&gt;&lt;_journal&gt;Climacteric&lt;/_journal&gt;&lt;_volume&gt;14&lt;/_volume&gt;&lt;_issue&gt;1&lt;/_issue&gt;&lt;_pages&gt;18-24&lt;/_pages&gt;&lt;_tertiary_title&gt;Climacteric : the journal of the International Menopause Society&lt;/_tertiary_title&gt;&lt;_date_display&gt;2011 Feb&lt;/_date_display&gt;&lt;_date&gt;58425120&lt;/_date&gt;&lt;_type_work&gt;Journal Article; Randomized Controlled Trial&lt;/_type_work&gt;&lt;_isbn&gt;1473-0804 (Electronic); 1369-7137 (Linking)&lt;/_isbn&gt;&lt;_accession_num&gt;20979461&lt;/_accession_num&gt;&lt;_subject_headings&gt;Androstenes/*administration &amp;amp; dosage; Anxiety; Blood Pressure; Depression/epidemiology; Estradiol/*administration &amp;amp; dosage; Estrogens/*administration &amp;amp; dosage; Fear; Female; *Hormone Replacement Therapy; Humans; Insulin/blood; Insulin Resistance; Middle Aged; Mineralocorticoid Receptor Antagonists/*administration &amp;amp; dosage; Postmenopause; Prospective Studies; *Quality of Life; Sexual Behavior; Sleep Wake Disorders/epidemiology; Systole; Waist Circumference&lt;/_subject_headings&gt;&lt;_author_adr&gt;Department of Reproductive Medicine and Child Development, Division of Obstetrics  and Gynecology Piero Fioretti, Pisa University Hospital, University of Pisa, Via  Roma 67, Pisa, Italy.&lt;/_author_adr&gt;&lt;_language&gt;eng&lt;/_language&gt;&lt;_accessed&gt;65270793&lt;/_accessed&gt;&lt;_db_updated&gt;PubMed&lt;/_db_updated&gt;&lt;_impact_factor&gt;   2.800&lt;/_impact_factor&gt;&lt;_social_category&gt;妇产科学(4)&lt;/_social_category&gt;&lt;_collection_scope&gt;SCIE&lt;/_collection_scope&gt;&lt;/Details&gt;&lt;Extra&gt;&lt;DBUID&gt;{B8A3A9EF-6025-4DFB-A35A-6562ACE07897}&lt;/DBUID&gt;&lt;/Extra&gt;&lt;/Item&gt;&lt;/References&gt;&lt;/Group&gt;&lt;Group&gt;&lt;References&gt;&lt;Item&gt;&lt;ID&gt;123964&lt;/ID&gt;&lt;UID&gt;{E59274D3-2501-4AAC-A1F4-574ACF1F20C3}&lt;/UID&gt;&lt;Title&gt;Effect of estrogen replacement therapy on symptoms of depression and anxiety in  non-depressive menopausal women: a randomized double-blind, controlled study&lt;/Title&gt;&lt;Template&gt;Journal Article&lt;/Template&gt;&lt;Star&gt;0&lt;/Star&gt;&lt;Tag&gt;0&lt;/Tag&gt;&lt;Author&gt;Demetrio, F N; Renno, J Jr; Gianfaldoni, A; Goncalves, M; Halbe, H W; Filho, A H; Gorenstein, C&lt;/Author&gt;&lt;Year&gt;2011&lt;/Year&gt;&lt;Details&gt;&lt;_doi&gt;10.1007/s00737-011-0241-3&lt;/_doi&gt;&lt;_created&gt;65270792&lt;/_created&gt;&lt;_modified&gt;65270795&lt;/_modified&gt;&lt;_url&gt;http://www.ncbi.nlm.nih.gov/entrez/query.fcgi?cmd=Retrieve&amp;amp;db=pubmed&amp;amp;dopt=Abstract&amp;amp;list_uids=22016254&amp;amp;query_hl=1&lt;/_url&gt;&lt;_journal&gt;Arch Womens Ment Health&lt;/_journal&gt;&lt;_volume&gt;14&lt;/_volume&gt;&lt;_issue&gt;6&lt;/_issue&gt;&lt;_pages&gt;479-86&lt;/_pages&gt;&lt;_tertiary_title&gt;Archives of women&amp;apos;s mental health&lt;/_tertiary_title&gt;&lt;_date_display&gt;2011 Dec&lt;/_date_display&gt;&lt;_date&gt;58861440&lt;/_date&gt;&lt;_type_work&gt;Journal Article; Randomized Controlled Trial&lt;/_type_work&gt;&lt;_isbn&gt;1435-1102 (Electronic); 1434-1816 (Linking)&lt;/_isbn&gt;&lt;_accession_num&gt;22016254&lt;/_accession_num&gt;&lt;_subject_headings&gt;Adult; Depression/*prevention &amp;amp; control; Dose-Response Relationship, Drug; Double-Blind Method; Estradiol/*administration &amp;amp; dosage; Estrogen Replacement Therapy/*methods; Female; *Health Status; Humans; Hysterectomy; Menopause/*psychology; Middle Aged; Placebo Effect; Quality of Life; *Women&amp;apos;s Health&lt;/_subject_headings&gt;&lt;_author_adr&gt;Mood Disorders Unit (GRUDA)-Institute of Psychiatry, Department of Obstetrics and  Gynecology, Clinical Hospital of the Medical School of the University of Sao  Paulo (HCFMUSP), Sao Paulo, Brazil. frdemetr@uol.com.br&lt;/_author_adr&gt;&lt;_language&gt;eng&lt;/_language&gt;&lt;_accessed&gt;65270795&lt;/_accessed&gt;&lt;_db_updated&gt;PubMed&lt;/_db_updated&gt;&lt;_impact_factor&gt;   4.500&lt;/_impact_factor&gt;&lt;_social_category&gt;精神病学(3)&lt;/_social_category&gt;&lt;_collection_scope&gt;SCIE&lt;/_collection_scope&gt;&lt;/Details&gt;&lt;Extra&gt;&lt;DBUID&gt;{B8A3A9EF-6025-4DFB-A35A-6562ACE07897}&lt;/DBUID&gt;&lt;/Extra&gt;&lt;/Item&gt;&lt;/References&gt;&lt;/Group&gt;&lt;Group&gt;&lt;References&gt;&lt;Item&gt;&lt;ID&gt;123956&lt;/ID&gt;&lt;UID&gt;{BDCB1186-EA78-43DE-AB09-C5448E1E3B55}&lt;/UID&gt;&lt;Title&gt;Effects of tibolone on climacteric symptoms and quality of life in breast cancer  patients--data from LIBERATE trial&lt;/Title&gt;&lt;Template&gt;Journal Article&lt;/Template&gt;&lt;Star&gt;0&lt;/Star&gt;&lt;Tag&gt;0&lt;/Tag&gt;&lt;Author&gt;Sismondi, P; Kimmig, R; Kubista, E; Biglia, N; Egberts, J; Mulder, R; Planellas, J; Moggio, G; Mol-Arts, M; Kenemans, P&lt;/Author&gt;&lt;Year&gt;2011&lt;/Year&gt;&lt;Details&gt;&lt;_doi&gt;10.1016/j.maturitas.2011.09.003&lt;/_doi&gt;&lt;_created&gt;65270792&lt;/_created&gt;&lt;_modified&gt;65270812&lt;/_modified&gt;&lt;_accessed&gt;65270812&lt;/_accessed&gt;&lt;_url&gt;http://www.ncbi.nlm.nih.gov/entrez/query.fcgi?cmd=Retrieve&amp;amp;db=pubmed&amp;amp;dopt=Abstract&amp;amp;list_uids=22030384&amp;amp;query_hl=1&lt;/_url&gt;&lt;_journal&gt;Maturitas&lt;/_journal&gt;&lt;_volume&gt;70&lt;/_volume&gt;&lt;_issue&gt;4&lt;/_issue&gt;&lt;_pages&gt;365-72&lt;/_pages&gt;&lt;_tertiary_title&gt;Maturitas&lt;/_tertiary_title&gt;&lt;_date_display&gt;2011 Dec&lt;/_date_display&gt;&lt;_date&gt;58861440&lt;/_date&gt;&lt;_type_work&gt;Journal Article; Multicenter Study; Randomized Controlled Trial; Research Support, Non-U.S. Gov&amp;apos;t&lt;/_type_work&gt;&lt;_isbn&gt;1873-4111 (Electronic); 0378-5122 (Linking)&lt;/_isbn&gt;&lt;_ori_publication&gt;Copyright A(c) 2011 Elsevier Ireland Ltd. All rights reserved.&lt;/_ori_publication&gt;&lt;_accession_num&gt;22030384&lt;/_accession_num&gt;&lt;_subject_headings&gt;Antineoplastic Agents, Hormonal/administration &amp;amp; dosage; Aromatase Inhibitors/administration &amp;amp; dosage; Atrophic Vaginitis/*drug therapy; Breast Neoplasms/*drug therapy; Climacteric/drug effects; Contraindications; Estrogen Receptor Modulators/pharmacology/*therapeutic use; Female; Hot Flashes/*drug therapy; Humans; Intention to Treat Analysis; Longitudinal Studies; Middle Aged; Norpregnenes/pharmacology/*therapeutic use; Postmenopause/physiology/psychology; Quality of Life/*psychology; Surveys and Questionnaires; Tamoxifen/administration &amp;amp; dosage&lt;/_subject_headings&gt;&lt;_author_adr&gt;Academic Department of Obstetrics and Gynaecology, University of Torino Medical  School, Mauriziano Umberto I Hospital, Turin, Italy. piero.sismondi@unito.it&lt;/_author_adr&gt;&lt;_language&gt;eng&lt;/_language&gt;&lt;_db_updated&gt;PubMed&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44&lt;/ID&gt;&lt;UID&gt;{A1839F6C-DE74-438B-A1EB-2459CC83C650}&lt;/UID&gt;&lt;Title&gt;Increased estradiol and improved sleep, but not hot flashes, predict enhanced  mood during the menopausal transition&lt;/Title&gt;&lt;Template&gt;Journal Article&lt;/Template&gt;&lt;Star&gt;0&lt;/Star&gt;&lt;Tag&gt;0&lt;/Tag&gt;&lt;Author&gt;Joffe, H; Petrillo, L F; Koukopoulos, A; Viguera, A C; Hirschberg, A; Nonacs, R; Somley, B; Pasciullo, E; White, D P; Hall, J E; Cohen, L S&lt;/Author&gt;&lt;Year&gt;2011&lt;/Year&gt;&lt;Details&gt;&lt;_doi&gt;10.1210/jc.2010-2503&lt;/_doi&gt;&lt;_created&gt;65270792&lt;/_created&gt;&lt;_modified&gt;65270793&lt;/_modified&gt;&lt;_url&gt;http://www.ncbi.nlm.nih.gov/entrez/query.fcgi?cmd=Retrieve&amp;amp;db=pubmed&amp;amp;dopt=Abstract&amp;amp;list_uids=21525161&amp;amp;query_hl=1&lt;/_url&gt;&lt;_journal&gt;J Clin Endocrinol Metab&lt;/_journal&gt;&lt;_volume&gt;96&lt;/_volume&gt;&lt;_issue&gt;7&lt;/_issue&gt;&lt;_pages&gt;E1044-54&lt;/_pages&gt;&lt;_tertiary_title&gt;The Journal of clinical endocrinology and metabolism&lt;/_tertiary_title&gt;&lt;_date_display&gt;2011 Jul&lt;/_date_display&gt;&lt;_date&gt;58641120&lt;/_date&gt;&lt;_type_work&gt;Journal Article; Randomized Controlled Trial; Research Support, N.I.H., Extramural&lt;/_type_work&gt;&lt;_isbn&gt;1945-7197 (Electronic); 0021-972X (Print); 0021-972X (Linking)&lt;/_isbn&gt;&lt;_accession_num&gt;21525161&lt;/_accession_num&gt;&lt;_subject_headings&gt;Administration, Cutaneous; Adult; Affect/*physiology; Depressive Disorder/drug therapy/physiopathology/psychology; Double-Blind Method; Estradiol/administration &amp;amp; dosage/*blood/therapeutic use; Female; Follicle Stimulating Hormone/blood; Hot Flashes; Humans; Hypnotics and Sedatives/therapeutic use; Middle Aged; Perimenopause/*physiology/*psychology; Psychiatric Status Rating Scales; Pyridines/therapeutic use; Sleep/drug effects/*physiology; Sleep Wake Disorders/drug therapy/physiopathology/psychology; Treatment Outcome; Zolpidem&lt;/_subject_headings&gt;&lt;_author_adr&gt;Center for Women&amp;apos;s Mental Health, Department of Psychiatry, Massachusetts General  Hospital, Harvard Medical School, Boston, Massachusetts 02114, USA.  hjoffe@partners.org&lt;/_author_adr&gt;&lt;_language&gt;eng&lt;/_language&gt;&lt;_accessed&gt;65270793&lt;/_accessed&gt;&lt;_db_updated&gt;PubMed&lt;/_db_updated&gt;&lt;_impact_factor&gt;   5.800&lt;/_impact_factor&gt;&lt;_social_category&gt;内分泌学与代谢(2)&lt;/_social_category&gt;&lt;_collection_scope&gt;SCIE&lt;/_collection_scope&gt;&lt;/Details&gt;&lt;Extra&gt;&lt;DBUID&gt;{B8A3A9EF-6025-4DFB-A35A-6562ACE07897}&lt;/DBUID&gt;&lt;/Extra&gt;&lt;/Item&gt;&lt;/References&gt;&lt;/Group&gt;&lt;Group&gt;&lt;References&gt;&lt;Item&gt;&lt;ID&gt;123961&lt;/ID&gt;&lt;UID&gt;{CF01A53C-FCC9-4D8B-80FA-AACFAB25069C}&lt;/UID&gt;&lt;Title&gt;Isoflavones decrease insomnia in postmenopause&lt;/Title&gt;&lt;Template&gt;Journal Article&lt;/Template&gt;&lt;Star&gt;0&lt;/Star&gt;&lt;Tag&gt;0&lt;/Tag&gt;&lt;Author&gt;Hachul, H; Brandao, L C; D&amp;apos;Almeida, V; Bittencourt, L R; Baracat, E C; Tufik, S&lt;/Author&gt;&lt;Year&gt;2011&lt;/Year&gt;&lt;Details&gt;&lt;_doi&gt;10.1097/gme.0b013e3181ecf9b9&lt;/_doi&gt;&lt;_created&gt;65270792&lt;/_created&gt;&lt;_modified&gt;65270795&lt;/_modified&gt;&lt;_url&gt;http://www.ncbi.nlm.nih.gov/entrez/query.fcgi?cmd=Retrieve&amp;amp;db=pubmed&amp;amp;dopt=Abstract&amp;amp;list_uids=20729765&amp;amp;query_hl=1&lt;/_url&gt;&lt;_journal&gt;Menopause&lt;/_journal&gt;&lt;_volume&gt;18&lt;/_volume&gt;&lt;_issue&gt;2&lt;/_issue&gt;&lt;_pages&gt;178-84&lt;/_pages&gt;&lt;_tertiary_title&gt;Menopause (New York, N.Y.)&lt;/_tertiary_title&gt;&lt;_date_display&gt;2011 Feb&lt;/_date_display&gt;&lt;_date&gt;58425120&lt;/_date&gt;&lt;_type_work&gt;Journal Article; Randomized Controlled Trial; Research Support, Non-U.S. Gov&amp;apos;t&lt;/_type_work&gt;&lt;_isbn&gt;1530-0374 (Electronic); 1072-3714 (Linking)&lt;/_isbn&gt;&lt;_accession_num&gt;20729765&lt;/_accession_num&gt;&lt;_subject_headings&gt;Aged; Female; Hot Flashes/drug therapy; Humans; Isoflavones/*pharmacology; Middle Aged; Polysomnography/methods; Postmenopause/*drug effects; Sleep/drug effects; Sleep Initiation and Maintenance Disorders/drug therapy; Surveys and Questionnaires; Treatment Outcome&lt;/_subject_headings&gt;&lt;_author_adr&gt;Departamento de Psicobiologia, Universidade Federal de Sao Paulo, Sao Paulo,  Brazil. helenahachul@psicobio.epm.br&lt;/_author_adr&gt;&lt;_language&gt;eng&lt;/_language&gt;&lt;_accessed&gt;65270795&lt;/_accessed&gt;&lt;_db_updated&gt;PubMed&lt;/_db_updated&gt;&lt;_impact_factor&gt;   2.700&lt;/_impact_factor&gt;&lt;_social_category&gt;妇产科学(3)&lt;/_social_category&gt;&lt;_collection_scope&gt;SCIE&lt;/_collection_scope&gt;&lt;/Details&gt;&lt;Extra&gt;&lt;DBUID&gt;{B8A3A9EF-6025-4DFB-A35A-6562ACE07897}&lt;/DBUID&gt;&lt;/Extra&gt;&lt;/Item&gt;&lt;/References&gt;&lt;/Group&gt;&lt;Group&gt;&lt;References&gt;&lt;Item&gt;&lt;ID&gt;123998&lt;/ID&gt;&lt;UID&gt;{39878201-1047-4C3A-AB72-C60C171B6597}&lt;/UID&gt;&lt;Title&gt;Improvement of postmenopausal depressive and anxiety symptoms after treatment  with isoflavones derived from red clover extracts&lt;/Title&gt;&lt;Template&gt;Journal Article&lt;/Template&gt;&lt;Star&gt;0&lt;/Star&gt;&lt;Tag&gt;0&lt;/Tag&gt;&lt;Author&gt;Lipovac, M; Chedraui, P; Gruenhut, C; Gocan, A; Stammler, M; Imhof, M&lt;/Author&gt;&lt;Year&gt;2010&lt;/Year&gt;&lt;Details&gt;&lt;_doi&gt;10.1016/j.maturitas.2009.10.014&lt;/_doi&gt;&lt;_created&gt;65270792&lt;/_created&gt;&lt;_modified&gt;65270812&lt;/_modified&gt;&lt;_accessed&gt;65270812&lt;/_accessed&gt;&lt;_url&gt;http://www.ncbi.nlm.nih.gov/entrez/query.fcgi?cmd=Retrieve&amp;amp;db=pubmed&amp;amp;dopt=Abstract&amp;amp;list_uids=19948385&amp;amp;query_hl=1&lt;/_url&gt;&lt;_journal&gt;Maturitas&lt;/_journal&gt;&lt;_volume&gt;65&lt;/_volume&gt;&lt;_issue&gt;3&lt;/_issue&gt;&lt;_pages&gt;258-61&lt;/_pages&gt;&lt;_tertiary_title&gt;Maturitas&lt;/_tertiary_title&gt;&lt;_date_display&gt;2010 Mar&lt;/_date_display&gt;&lt;_date&gt;57939840&lt;/_date&gt;&lt;_type_work&gt;Journal Article; Randomized Controlled Trial&lt;/_type_work&gt;&lt;_isbn&gt;1873-4111 (Electronic); 0378-5122 (Linking)&lt;/_isbn&gt;&lt;_ori_publication&gt;Copyright (c) 2009 Elsevier Ireland Ltd. All rights reserved.&lt;/_ori_publication&gt;&lt;_accession_num&gt;19948385&lt;/_accession_num&gt;&lt;_subject_headings&gt;Aged; Anti-Anxiety Agents/pharmacology/therapeutic use; Antidepressive Agents/pharmacology/therapeutic use; Anxiety/*drug therapy; Depression/*drug therapy; Double-Blind Method; Female; Humans; Isoflavones/pharmacology/*therapeutic use; Middle Aged; *Phytotherapy; Plant Extracts/pharmacology/*therapeutic use; Postmenopause/*psychology; Trifolium/*chemistry&lt;/_subject_headings&gt;&lt;_author_adr&gt;Division of Obstetrics and Gynecology General Teaching Hospital Korneuburg,  Austria.&lt;/_author_adr&gt;&lt;_language&gt;eng&lt;/_language&gt;&lt;_db_updated&gt;PubMed&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70&lt;/ID&gt;&lt;UID&gt;{66DFB8FC-5D59-4FCB-AB47-B71172C90590}&lt;/UID&gt;&lt;Title&gt;Do different delivery systems of hormone therapy have different effects on  psychological symptoms in surgically menopausal women? A randomized controlled  trial&lt;/Title&gt;&lt;Template&gt;Journal Article&lt;/Template&gt;&lt;Star&gt;0&lt;/Star&gt;&lt;Tag&gt;0&lt;/Tag&gt;&lt;Author&gt;Baksu, B; Baksu, A; Goker, N; Citak, S&lt;/Author&gt;&lt;Year&gt;2009&lt;/Year&gt;&lt;Details&gt;&lt;_doi&gt;10.1016/j.maturitas.2008.12.010&lt;/_doi&gt;&lt;_created&gt;65270792&lt;/_created&gt;&lt;_modified&gt;65270812&lt;/_modified&gt;&lt;_accessed&gt;65270812&lt;/_accessed&gt;&lt;_url&gt;http://www.ncbi.nlm.nih.gov/entrez/query.fcgi?cmd=Retrieve&amp;amp;db=pubmed&amp;amp;dopt=Abstract&amp;amp;list_uids=19179026&amp;amp;query_hl=1&lt;/_url&gt;&lt;_journal&gt;Maturitas&lt;/_journal&gt;&lt;_volume&gt;62&lt;/_volume&gt;&lt;_issue&gt;2&lt;/_issue&gt;&lt;_pages&gt;140-5&lt;/_pages&gt;&lt;_tertiary_title&gt;Maturitas&lt;/_tertiary_title&gt;&lt;_date_display&gt;2009 Feb 20&lt;/_date_display&gt;&lt;_date&gt;57401280&lt;/_date&gt;&lt;_type_work&gt;Journal Article; Randomized Controlled Trial&lt;/_type_work&gt;&lt;_isbn&gt;0378-5122 (Print); 0378-5122 (Linking)&lt;/_isbn&gt;&lt;_accession_num&gt;19179026&lt;/_accession_num&gt;&lt;_subject_headings&gt;Administration, Cutaneous; Administration, Intranasal; Administration, Oral; Adult; Anxiety/*drug therapy; Depression/*drug therapy; Estradiol/*administration &amp;amp; dosage/metabolism/pharmacology; Estrogens, Conjugated (USP)/*administration &amp;amp; dosage/pharmacology; Female; Follicle Stimulating Hormone/metabolism; Humans; Middle Aged; Postmenopause/drug effects/*psychology&lt;/_subject_headings&gt;&lt;_author_adr&gt;Sisli Etfal Training and Research Hospital 3, Gynecology and Obstetrics Clinic,  Istanbul, Turkey. basakbaksu@yahoo.com&lt;/_author_adr&gt;&lt;_language&gt;eng&lt;/_language&gt;&lt;_db_updated&gt;PubMed&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95&lt;/ID&gt;&lt;UID&gt;{A3A7FC87-1D1B-490A-B79E-75E64B631E00}&lt;/UID&gt;&lt;Title&gt;Efficacy of soy isoflavones for depressive symptoms of the climacteric syndrome&lt;/Title&gt;&lt;Template&gt;Journal Article&lt;/Template&gt;&lt;Star&gt;0&lt;/Star&gt;&lt;Tag&gt;0&lt;/Tag&gt;&lt;Author&gt;de Sousa-Munoz, R L; Filizola, R G&lt;/Author&gt;&lt;Year&gt;2009&lt;/Year&gt;&lt;Details&gt;&lt;_doi&gt;10.1016/j.maturitas.2009.02.008&lt;/_doi&gt;&lt;_created&gt;65270792&lt;/_created&gt;&lt;_modified&gt;65270797&lt;/_modified&gt;&lt;_url&gt;http://www.ncbi.nlm.nih.gov/entrez/query.fcgi?cmd=Retrieve&amp;amp;db=pubmed&amp;amp;dopt=Abstract&amp;amp;list_uids=19339127&amp;amp;query_hl=1&lt;/_url&gt;&lt;_journal&gt;Maturitas&lt;/_journal&gt;&lt;_volume&gt;63&lt;/_volume&gt;&lt;_issue&gt;1&lt;/_issue&gt;&lt;_pages&gt;89-93&lt;/_pages&gt;&lt;_tertiary_title&gt;Maturitas&lt;/_tertiary_title&gt;&lt;_date_display&gt;2009 May 20&lt;/_date_display&gt;&lt;_date&gt;57529440&lt;/_date&gt;&lt;_type_work&gt;Journal Article; Randomized Controlled Trial&lt;/_type_work&gt;&lt;_isbn&gt;1873-4111 (Electronic); 0378-5122 (Linking)&lt;/_isbn&gt;&lt;_accession_num&gt;19339127&lt;/_accession_num&gt;&lt;_subject_headings&gt;Brazil; Climacteric/*psychology; Depression/*drug therapy; Double-Blind Method; Female; Humans; Isoflavones/*therapeutic use; Middle Aged; *Phytotherapy; Plant Extracts/*therapeutic use; *Glycine max&lt;/_subject_headings&gt;&lt;_author_adr&gt;Paraiba Federal University, Brazil. rilvalopes@hotmail.com&lt;/_author_adr&gt;&lt;_language&gt;eng&lt;/_language&gt;&lt;_accessed&gt;65270797&lt;/_accessed&gt;&lt;_db_updated&gt;PubMed&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57&lt;/ID&gt;&lt;UID&gt;{A32F5D8A-F1AB-4FB2-AC9E-B1F0E5D8D192}&lt;/UID&gt;&lt;Title&gt;New equol supplement for relieving menopausal symptoms: randomized,  placebo-controlled trial of Japanese women&lt;/Title&gt;&lt;Template&gt;Journal Article&lt;/Template&gt;&lt;Star&gt;0&lt;/Star&gt;&lt;Tag&gt;0&lt;/Tag&gt;&lt;Author&gt;Ishiwata, N; Melby, M K; Mizuno, S; Watanabe, S&lt;/Author&gt;&lt;Year&gt;2009&lt;/Year&gt;&lt;Details&gt;&lt;_doi&gt;10.1097/gme.0b013e31818379fa&lt;/_doi&gt;&lt;_created&gt;65270792&lt;/_created&gt;&lt;_modified&gt;65270794&lt;/_modified&gt;&lt;_url&gt;http://www.ncbi.nlm.nih.gov/entrez/query.fcgi?cmd=Retrieve&amp;amp;db=pubmed&amp;amp;dopt=Abstract&amp;amp;list_uids=19131846&amp;amp;query_hl=1&lt;/_url&gt;&lt;_journal&gt;Menopause&lt;/_journal&gt;&lt;_volume&gt;16&lt;/_volume&gt;&lt;_issue&gt;1&lt;/_issue&gt;&lt;_pages&gt;141-8&lt;/_pages&gt;&lt;_tertiary_title&gt;Menopause (New York, N.Y.)&lt;/_tertiary_title&gt;&lt;_date_display&gt;2009 Jan-Feb&lt;/_date_display&gt;&lt;_date&gt;57329280&lt;/_date&gt;&lt;_type_work&gt;Journal Article; Randomized Controlled Trial; Research Support, Non-U.S. Gov&amp;apos;t&lt;/_type_work&gt;&lt;_isbn&gt;1530-0374 (Electronic); 1072-3714 (Linking)&lt;/_isbn&gt;&lt;_accession_num&gt;19131846&lt;/_accession_num&gt;&lt;_subject_headings&gt;Adult; Affect/*drug effects; Anxiety/drug therapy; Depression/drug therapy; Dietary Supplements; Double-Blind Method; Equol; Estradiol/blood; Female; Follicle Stimulating Hormone/blood; Humans; Isoflavones/*administration &amp;amp; dosage/adverse effects/urine; Luteinizing Hormone/blood; Menopause/*physiology; Middle Aged; Phytoestrogens/*administration &amp;amp; dosage; Placebos; Progesterone/blood; Glycine max/chemistry; Surveys and Questionnaires&lt;/_subject_headings&gt;&lt;_author_adr&gt;Department of Life Environments Management, Atomi University, Niza-shi, Saitama,  Japan. ishiwata@atomi.ac.jp&lt;/_author_adr&gt;&lt;_language&gt;eng&lt;/_language&gt;&lt;_accessed&gt;65270794&lt;/_accessed&gt;&lt;_db_updated&gt;PubMed&lt;/_db_updated&gt;&lt;_impact_factor&gt;   2.700&lt;/_impact_factor&gt;&lt;_social_category&gt;妇产科学(3)&lt;/_social_category&gt;&lt;_collection_scope&gt;SCIE&lt;/_collection_scope&gt;&lt;/Details&gt;&lt;Extra&gt;&lt;DBUID&gt;{B8A3A9EF-6025-4DFB-A35A-6562ACE07897}&lt;/DBUID&gt;&lt;/Extra&gt;&lt;/Item&gt;&lt;/References&gt;&lt;/Group&gt;&lt;Group&gt;&lt;References&gt;&lt;Item&gt;&lt;ID&gt;123958&lt;/ID&gt;&lt;UID&gt;{C7C1DA56-66E0-4745-8923-4DFDB166DBBA}&lt;/UID&gt;&lt;Title&gt;Health related quality of life after combined hormone replacement therapy: randomised controlled trial&lt;/Title&gt;&lt;Template&gt;Journal Article&lt;/Template&gt;&lt;Star&gt;0&lt;/Star&gt;&lt;Tag&gt;0&lt;/Tag&gt;&lt;Author&gt;Welton, Amanda J; Vickers, Madge R; Kim, Joseph; Ford, Deborah; Lawton, Beverley A; MacLennan, Alastair H; Meredith, Sarah K; Martin, Jeannett; Meade, Tom W; WISDOM, Team; For, The WISDOM Team&lt;/Author&gt;&lt;Year&gt;2008&lt;/Year&gt;&lt;Details&gt;&lt;_created&gt;65270792&lt;/_created&gt;&lt;_modified&gt;65270794&lt;/_modified&gt;&lt;_url&gt;https://go.exlibris.link/g4N7znCT&lt;/_url&gt;&lt;_place_published&gt;England&lt;/_place_published&gt;&lt;_journal&gt;BMJ&lt;/_journal&gt;&lt;_volume&gt;337&lt;/_volume&gt;&lt;_issue&gt;7669&lt;/_issue&gt;&lt;_number&gt;1&lt;/_number&gt;&lt;_pages&gt;550-553&lt;/_pages&gt;&lt;_doi&gt;10.1136/bmj.a1190&lt;/_doi&gt;&lt;_date_display&gt;2008&lt;/_date_display&gt;&lt;_date&gt;56802240&lt;/_date&gt;&lt;_isbn&gt;0959-8138&lt;/_isbn&gt;&lt;_ori_publication&gt;British Medical Journal Publishing Group&lt;/_ori_publication&gt;&lt;_keywords&gt;Aged; Clinical trial; Double-Blind Method; Drug Therapy, Combination; Estrogens; Estrogens - administration &amp;amp; dosage; Experimentation; Female; Health Status; Hormone replacement therapy; Hormone replacement therapy (menopause); Hormone Replacement Therapy - methods; Humans; Hysterectomy; Medicine; Medroxyprogesterone acetate; Menopause; Middle Aged; Physical therapy; Placebo; Placebos; Postmenopause; Postmenopause - psychology; Progestins - administration &amp;amp; dosage; Prognosis; Quality of Life; Questionnaires; Randomized controlled trial; Studies; Surveys and Questionnaires; Visual analogue scale; Wisdom; Women&amp;apos;s Health; Womens health&lt;/_keywords&gt;&lt;_accessed&gt;65270794&lt;/_accessed&gt;&lt;_db_updated&gt;PKU Search&lt;/_db_updated&gt;&lt;_impact_factor&gt; 105.700&lt;/_impact_factor&gt;&lt;_collection_scope&gt;SCIE&lt;/_collection_scope&gt;&lt;/Details&gt;&lt;Extra&gt;&lt;DBUID&gt;{B8A3A9EF-6025-4DFB-A35A-6562ACE07897}&lt;/DBUID&gt;&lt;/Extra&gt;&lt;/Item&gt;&lt;/References&gt;&lt;/Group&gt;&lt;Group&gt;&lt;References&gt;&lt;Item&gt;&lt;ID&gt;123954&lt;/ID&gt;&lt;UID&gt;{1D80639D-5992-4ECD-9B92-E5190432C3F6}&lt;/UID&gt;&lt;Title&gt;Progesterone reduces wakefulness in sleep EEG and has no effect on cognition in healthy postmenopausal women&lt;/Title&gt;&lt;Template&gt;Journal Article&lt;/Template&gt;&lt;Star&gt;0&lt;/Star&gt;&lt;Tag&gt;0&lt;/Tag&gt;&lt;Author&gt;Schüssler, P; Kluge, M; Yassouridis, A; Dresler, M; Held, K; Zihl, J; Steiger, A&lt;/Author&gt;&lt;Year&gt;2008&lt;/Year&gt;&lt;Details&gt;&lt;_doi&gt;https://doi.org/10.1016/j.psyneuen.2008.05.013&lt;/_doi&gt;&lt;_created&gt;65270792&lt;/_created&gt;&lt;_modified&gt;65270794&lt;/_modified&gt;&lt;_url&gt;https://www.sciencedirect.com/science/article/pii/S0306453008001376&lt;/_url&gt;&lt;_journal&gt;Psychoneuroendocrinology&lt;/_journal&gt;&lt;_volume&gt;33&lt;/_volume&gt;&lt;_issue&gt;8&lt;/_issue&gt;&lt;_pages&gt;1124-1131&lt;/_pages&gt;&lt;_date_display&gt;2008&lt;/_date_display&gt;&lt;_date&gt;56802240&lt;/_date&gt;&lt;_alternate_title&gt;Psychoneuroendocrinology&lt;/_alternate_title&gt;&lt;_isbn&gt;0306-4530&lt;/_isbn&gt;&lt;_keywords&gt;Progesterone; Sleep; Postmenopause; Cognition&lt;/_keywords&gt;&lt;_accessed&gt;65270794&lt;/_accessed&gt;&lt;_db_updated&gt;ScienceDirect&lt;/_db_updated&gt;&lt;_impact_factor&gt;   3.700&lt;/_impact_factor&gt;&lt;_social_category&gt;内分泌学与代谢(2) &amp;amp; 神经科学(2) &amp;amp; 精神病学(2)&lt;/_social_category&gt;&lt;_collection_scope&gt;SCIE&lt;/_collection_scope&gt;&lt;/Details&gt;&lt;Extra&gt;&lt;DBUID&gt;{B8A3A9EF-6025-4DFB-A35A-6562ACE07897}&lt;/DBUID&gt;&lt;/Extra&gt;&lt;/Item&gt;&lt;/References&gt;&lt;/Group&gt;&lt;Group&gt;&lt;References&gt;&lt;Item&gt;&lt;ID&gt;123972&lt;/ID&gt;&lt;UID&gt;{D40CF97B-7CAD-404A-8322-0F34204E38B8}&lt;/UID&gt;&lt;Title&gt;Estrogen and response to sertraline in postmenopausal women with major depressive disorder: A pilot study&lt;/Title&gt;&lt;Template&gt;Journal Article&lt;/Template&gt;&lt;Star&gt;0&lt;/Star&gt;&lt;Tag&gt;0&lt;/Tag&gt;&lt;Author&gt;Rasgon, Natalie L; Dunkin, Jennifer; Fairbanks, Lynn; Altshuler, Lori L; Troung, Co; Elman, Shana; Wroolie, Tonita E; Brunhuber, Martina V; Rapkin, Andrea&lt;/Author&gt;&lt;Year&gt;2007&lt;/Year&gt;&lt;Details&gt;&lt;_doi&gt;https://doi.org/10.1016/j.jpsychires.2006.03.009&lt;/_doi&gt;&lt;_created&gt;65270792&lt;/_created&gt;&lt;_modified&gt;65270795&lt;/_modified&gt;&lt;_url&gt;https://www.sciencedirect.com/science/article/pii/S0022395606000641&lt;/_url&gt;&lt;_journal&gt;Journal of Psychiatric Research&lt;/_journal&gt;&lt;_volume&gt;41&lt;/_volume&gt;&lt;_issue&gt;3&lt;/_issue&gt;&lt;_pages&gt;338-343&lt;/_pages&gt;&lt;_date_display&gt;2007&lt;/_date_display&gt;&lt;_date&gt;56276640&lt;/_date&gt;&lt;_alternate_title&gt;Journal of Psychiatric Research&lt;/_alternate_title&gt;&lt;_isbn&gt;0022-3956&lt;/_isbn&gt;&lt;_keywords&gt;Postmenopausal; Estrogen therapy; Major depressive disorder; Antidepressant response&lt;/_keywords&gt;&lt;_accessed&gt;65270795&lt;/_accessed&gt;&lt;_db_updated&gt;ScienceDirect&lt;/_db_updated&gt;&lt;_impact_factor&gt;   4.800&lt;/_impact_factor&gt;&lt;_social_category&gt;精神病学(2)&lt;/_social_category&gt;&lt;_collection_scope&gt;SSCI;SCIE&lt;/_collection_scope&gt;&lt;/Details&gt;&lt;Extra&gt;&lt;DBUID&gt;{B8A3A9EF-6025-4DFB-A35A-6562ACE07897}&lt;/DBUID&gt;&lt;/Extra&gt;&lt;/Item&gt;&lt;/References&gt;&lt;/Group&gt;&lt;Group&gt;&lt;References&gt;&lt;Item&gt;&lt;ID&gt;123946&lt;/ID&gt;&lt;UID&gt;{C40EFAF1-B890-4ABE-80C9-22F00265D7C9}&lt;/UID&gt;&lt;Title&gt;Hot flashes and estrogen therapy do not influence cognition in early menopausal women&lt;/Title&gt;&lt;Template&gt;Journal Article&lt;/Template&gt;&lt;Star&gt;0&lt;/Star&gt;&lt;Tag&gt;0&lt;/Tag&gt;&lt;Author&gt;LeBlanc, Erin S; Neiss, Michelle B; Carello, Phyllis E; Samuels, Mary H; Janowsky, Jeri S&lt;/Author&gt;&lt;Year&gt;2007&lt;/Year&gt;&lt;Details&gt;&lt;_doi&gt;10.1097/01.gme.0000230347.28616.1c&lt;/_doi&gt;&lt;_created&gt;65270792&lt;/_created&gt;&lt;_modified&gt;65270794&lt;/_modified&gt;&lt;_url&gt;https://journals.lww.com/00042192-200714020-00006_x000d__x000a_http://journals.lww.com/00042192-200714020-00006&lt;/_url&gt;&lt;_journal&gt;Menopause&lt;/_journal&gt;&lt;_volume&gt;14&lt;/_volume&gt;&lt;_issue&gt;2&lt;/_issue&gt;&lt;_pages&gt;191-202&lt;/_pages&gt;&lt;_isbn&gt;1072-3714&lt;/_isbn&gt;&lt;_accessed&gt;65270794&lt;/_accessed&gt;&lt;_db_updated&gt;CrossRef&lt;/_db_updated&gt;&lt;_impact_factor&gt;   2.700&lt;/_impact_factor&gt;&lt;_social_category&gt;妇产科学(3)&lt;/_social_category&gt;&lt;_collection_scope&gt;SCIE&lt;/_collection_scope&gt;&lt;/Details&gt;&lt;Extra&gt;&lt;DBUID&gt;{B8A3A9EF-6025-4DFB-A35A-6562ACE07897}&lt;/DBUID&gt;&lt;/Extra&gt;&lt;/Item&gt;&lt;/References&gt;&lt;/Group&gt;&lt;Group&gt;&lt;References&gt;&lt;Item&gt;&lt;ID&gt;123973&lt;/ID&gt;&lt;UID&gt;{CC3FC492-E94D-41D9-BCAE-4D9006C614F5}&lt;/UID&gt;&lt;Title&gt;Response to SSRIs and role of the hormonal therapy in post-menopausal depression&lt;/Title&gt;&lt;Template&gt;Journal Article&lt;/Template&gt;&lt;Star&gt;0&lt;/Star&gt;&lt;Tag&gt;0&lt;/Tag&gt;&lt;Author&gt;Zanardi, R; Rossini, D; Magri, L; Malaguti, A; Colombo, C; Smeraldi, E&lt;/Author&gt;&lt;Year&gt;2007&lt;/Year&gt;&lt;Details&gt;&lt;_doi&gt;https://doi.org/10.1016/j.euroneuro.2006.11.001&lt;/_doi&gt;&lt;_created&gt;65270792&lt;/_created&gt;&lt;_modified&gt;65270795&lt;/_modified&gt;&lt;_url&gt;https://www.sciencedirect.com/science/article/pii/S0924977X06002525&lt;/_url&gt;&lt;_journal&gt;European Neuropsychopharmacology&lt;/_journal&gt;&lt;_volume&gt;17&lt;/_volume&gt;&lt;_issue&gt;6&lt;/_issue&gt;&lt;_pages&gt;400-405&lt;/_pages&gt;&lt;_date_display&gt;2007&lt;/_date_display&gt;&lt;_date&gt;56276640&lt;/_date&gt;&lt;_alternate_title&gt;European Neuropsychopharmacolog"/>
    <w:docVar w:name="NE.Data.2{4D6E0A2C-5CF2-43CB-9A58-EFEC36858251}" w:val="y&lt;/_alternate_title&gt;&lt;_isbn&gt;0924-977X&lt;/_isbn&gt;&lt;_keywords&gt;Depression; Menopause; Hormonal therapy; Antidepressant response; SSRI&lt;/_keywords&gt;&lt;_accessed&gt;65270795&lt;/_accessed&gt;&lt;_db_updated&gt;ScienceDirect&lt;/_db_updated&gt;&lt;_impact_factor&gt;   5.600&lt;/_impact_factor&gt;&lt;_social_category&gt;临床神经病学(3) &amp;amp; 神经科学(3) &amp;amp; 药学(2) &amp;amp; 精神病学(3)&lt;/_social_category&gt;&lt;_collection_scope&gt;SCIE&lt;/_collection_scope&gt;&lt;/Details&gt;&lt;Extra&gt;&lt;DBUID&gt;{B8A3A9EF-6025-4DFB-A35A-6562ACE07897}&lt;/DBUID&gt;&lt;/Extra&gt;&lt;/Item&gt;&lt;/References&gt;&lt;/Group&gt;&lt;Group&gt;&lt;References&gt;&lt;Item&gt;&lt;ID&gt;123962&lt;/ID&gt;&lt;UID&gt;{7B60CA68-4BD5-4677-B1C6-42F2945BB438}&lt;/UID&gt;&lt;Title&gt;A 20-week randomized controlled trial of estradiol replacement therapy for women aged 70 years and older: Effect on mood, cognition and quality of life&lt;/Title&gt;&lt;Template&gt;Journal Article&lt;/Template&gt;&lt;Star&gt;0&lt;/Star&gt;&lt;Tag&gt;0&lt;/Tag&gt;&lt;Author&gt;Almeida, Osvaldo P; Lautenschlager, Nicola T; Vasikaran, Samuel; Leedman, Peter; Gelavis, Anna; Flicker, Leon&lt;/Author&gt;&lt;Year&gt;2006&lt;/Year&gt;&lt;Details&gt;&lt;_doi&gt;https://doi.org/10.1016/j.neurobiolaging.2004.12.012&lt;/_doi&gt;&lt;_created&gt;65270792&lt;/_created&gt;&lt;_modified&gt;65270795&lt;/_modified&gt;&lt;_url&gt;https://www.sciencedirect.com/science/article/pii/S0197458005000473&lt;/_url&gt;&lt;_journal&gt;Neurobiology of Aging&lt;/_journal&gt;&lt;_volume&gt;27&lt;/_volume&gt;&lt;_issue&gt;1&lt;/_issue&gt;&lt;_pages&gt;141-149&lt;/_pages&gt;&lt;_date_display&gt;2006&lt;/_date_display&gt;&lt;_date&gt;55751040&lt;/_date&gt;&lt;_alternate_title&gt;Neurobiology of Aging&lt;/_alternate_title&gt;&lt;_isbn&gt;0197-4580&lt;/_isbn&gt;&lt;_keywords&gt;Estradiol; Estradiol replacement therapy; Memory; Cognition; Depression; Quality of life&lt;/_keywords&gt;&lt;_accessed&gt;65270822&lt;/_accessed&gt;&lt;_db_updated&gt;ScienceDirect&lt;/_db_updated&gt;&lt;_impact_factor&gt;   4.200&lt;/_impact_factor&gt;&lt;_social_category&gt;老年医学(2) &amp;amp; 神经科学(2)&lt;/_social_category&gt;&lt;_collection_scope&gt;SCIE&lt;/_collection_scope&gt;&lt;/Details&gt;&lt;Extra&gt;&lt;DBUID&gt;{B8A3A9EF-6025-4DFB-A35A-6562ACE07897}&lt;/DBUID&gt;&lt;/Extra&gt;&lt;/Item&gt;&lt;/References&gt;&lt;/Group&gt;&lt;Group&gt;&lt;References&gt;&lt;Item&gt;&lt;ID&gt;123979&lt;/ID&gt;&lt;UID&gt;{25C03B6E-E3FA-409B-BDA1-7152A393303E}&lt;/UID&gt;&lt;Title&gt;Psychological assessment of the effects of treatment with phytoestrogens on postmenopausal women: a randomized, double-blind, crossover, placebo-controlled study&lt;/Title&gt;&lt;Template&gt;Journal Article&lt;/Template&gt;&lt;Star&gt;0&lt;/Star&gt;&lt;Tag&gt;0&lt;/Tag&gt;&lt;Author&gt;Casini, Maria Luisa; Marelli, Guido; Papaleo, Enrico; Ferrari, Augusto; D Ambrosio, Francesco; Unfer, Vittorio&lt;/Author&gt;&lt;Year&gt;2006&lt;/Year&gt;&lt;Details&gt;&lt;_doi&gt;https://doi.org/10.1016/j.fertnstert.2005.09.048&lt;/_doi&gt;&lt;_created&gt;65270792&lt;/_created&gt;&lt;_modified&gt;65270796&lt;/_modified&gt;&lt;_url&gt;https://www.sciencedirect.com/science/article/pii/S0015028205042147&lt;/_url&gt;&lt;_journal&gt;Fertility and Sterility&lt;/_journal&gt;&lt;_volume&gt;85&lt;/_volume&gt;&lt;_issue&gt;4&lt;/_issue&gt;&lt;_pages&gt;972-978&lt;/_pages&gt;&lt;_date_display&gt;2006&lt;/_date_display&gt;&lt;_date&gt;55751040&lt;/_date&gt;&lt;_alternate_title&gt;Fertility and Sterility&lt;/_alternate_title&gt;&lt;_isbn&gt;0015-0282&lt;/_isbn&gt;&lt;_keywords&gt;Phytoestrogens; estrogens; mood; cognitive performance; postmenopause&lt;/_keywords&gt;&lt;_accessed&gt;65270796&lt;/_accessed&gt;&lt;_db_updated&gt;ScienceDirect&lt;/_db_updated&gt;&lt;_impact_factor&gt;   6.700&lt;/_impact_factor&gt;&lt;_social_category&gt;妇产科学(1) &amp;amp; 生殖生物学(1)&lt;/_social_category&gt;&lt;_collection_scope&gt;SCIE&lt;/_collection_scope&gt;&lt;/Details&gt;&lt;Extra&gt;&lt;DBUID&gt;{B8A3A9EF-6025-4DFB-A35A-6562ACE07897}&lt;/DBUID&gt;&lt;/Extra&gt;&lt;/Item&gt;&lt;/References&gt;&lt;/Group&gt;&lt;Group&gt;&lt;References&gt;&lt;Item&gt;&lt;ID&gt;123949&lt;/ID&gt;&lt;UID&gt;{37BEAFE5-FE01-4AD5-B922-4AA0DE5CB05C}&lt;/UID&gt;&lt;Title&gt;Pulsed estrogen therapy improves postmenopausal quality of life: A 2-year placebo-controlled study&lt;/Title&gt;&lt;Template&gt;Journal Article&lt;/Template&gt;&lt;Star&gt;0&lt;/Star&gt;&lt;Tag&gt;0&lt;/Tag&gt;&lt;Author&gt;Nielsen, Therese F; Ravn, Pernille; Pitkin, Joan; Christiansen, Claus&lt;/Author&gt;&lt;Year&gt;2006&lt;/Year&gt;&lt;Details&gt;&lt;_doi&gt;https://doi.org/10.1016/j.maturitas.2005.04.003&lt;/_doi&gt;&lt;_created&gt;65270792&lt;/_created&gt;&lt;_modified&gt;65270794&lt;/_modified&gt;&lt;_url&gt;https://www.sciencedirect.com/science/article/pii/S0378512205000629&lt;/_url&gt;&lt;_journal&gt;Maturitas&lt;/_journal&gt;&lt;_volume&gt;53&lt;/_volume&gt;&lt;_issue&gt;2&lt;/_issue&gt;&lt;_pages&gt;184-190&lt;/_pages&gt;&lt;_date_display&gt;2006&lt;/_date_display&gt;&lt;_date&gt;55751040&lt;/_date&gt;&lt;_alternate_title&gt;Maturitas&lt;/_alternate_title&gt;&lt;_isbn&gt;0378-5122&lt;/_isbn&gt;&lt;_keywords&gt;Quality of life; Intranasal estradiol; Postmenopausal women&lt;/_keywords&gt;&lt;_accessed&gt;65270794&lt;/_accessed&gt;&lt;_db_updated&gt;ScienceDirect&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13455&lt;/ID&gt;&lt;UID&gt;{59BA9F1D-737F-43D9-B364-FA9B9E3649DC}&lt;/UID&gt;&lt;Title&gt;Effects of conjugated equine estrogen on health-related quality of life in  postmenopausal women with hysterectomy: results from the Women&amp;apos;s Health  Initiative Randomized Clinical Trial&lt;/Title&gt;&lt;Template&gt;Journal Article&lt;/Template&gt;&lt;Star&gt;0&lt;/Star&gt;&lt;Tag&gt;0&lt;/Tag&gt;&lt;Author&gt;Brunner, R L; Gass, M; Aragaki, A; Hays, J; Granek, I; Woods, N; Mason, E; Brzyski, R; Ockene, J; Assaf, A; LaCroix, A; Matthews, K; Wallace, R&lt;/Author&gt;&lt;Year&gt;2005&lt;/Year&gt;&lt;Details&gt;&lt;_accessed&gt;65083627&lt;/_accessed&gt;&lt;_accession_num&gt;16186467&lt;/_accession_num&gt;&lt;_author_adr&gt;Department of Family and Community Medicine, University of Nevada School of  Medicine, Reno 89557, USA. bbrunner@whi.org&lt;/_author_adr&gt;&lt;_created&gt;64983968&lt;/_created&gt;&lt;_custom1&gt;02&lt;/_custom1&gt;&lt;_date&gt;2005-09-26&lt;/_date&gt;&lt;_date_display&gt;2005 Sep 26&lt;/_date_display&gt;&lt;_db_updated&gt;PubMed&lt;/_db_updated&gt;&lt;_doi&gt;10.1001/archinte.165.17.1976&lt;/_doi&gt;&lt;_isbn&gt;0003-9926 (Print); 0003-9926 (Linking)&lt;/_isbn&gt;&lt;_issue&gt;17&lt;/_issue&gt;&lt;_journal&gt;Arch Intern Med&lt;/_journal&gt;&lt;_language&gt;eng&lt;/_language&gt;&lt;_modified&gt;65083627&lt;/_modified&gt;&lt;_pages&gt;1976-86&lt;/_pages&gt;&lt;_subject_headings&gt;Aged; Double-Blind Method; Estrogens, Conjugated (USP)/*therapeutic use; Female; Humans; *Hysterectomy; Middle Aged; Postmenopause; *Quality of Life; Women&amp;apos;s Health&lt;/_subject_headings&gt;&lt;_tertiary_title&gt;Archives of internal medicine&lt;/_tertiary_title&gt;&lt;_type_work&gt;Clinical Trial; Journal Article; Randomized Controlled Trial; Research Support, N.I.H., Extramural; Research Support, U.S. Gov&amp;apos;t, P.H.S.&lt;/_type_work&gt;&lt;_url&gt;http://www.ncbi.nlm.nih.gov/entrez/query.fcgi?cmd=Retrieve&amp;amp;db=pubmed&amp;amp;dopt=Abstract&amp;amp;list_uids=16186467&amp;amp;query_hl=1&lt;/_url&gt;&lt;_volume&gt;165&lt;/_volume&gt;&lt;/Details&gt;&lt;Extra&gt;&lt;DBUID&gt;{B8A3A9EF-6025-4DFB-A35A-6562ACE07897}&lt;/DBUID&gt;&lt;/Extra&gt;&lt;/Item&gt;&lt;/References&gt;&lt;/Group&gt;&lt;Group&gt;&lt;References&gt;&lt;Item&gt;&lt;ID&gt;123939&lt;/ID&gt;&lt;UID&gt;{158F7938-F25F-4859-ADC5-8CD305646294}&lt;/UID&gt;&lt;Title&gt;Effects of low-dose, continuous combined hormone replacement therapy on sleep in symptomatic postmenopausal women&lt;/Title&gt;&lt;Template&gt;Journal Article&lt;/Template&gt;&lt;Star&gt;0&lt;/Star&gt;&lt;Tag&gt;0&lt;/Tag&gt;&lt;Author&gt;Gambacciani, Marco; Ciaponi, Massimo; Cappagli, Barbara; Monteleone, Patrizia; Benussi, Caterina; Bevilacqua, Gemma; Vacca, Francesca; Genazzani, Andrea R&lt;/Author&gt;&lt;Year&gt;2005&lt;/Year&gt;&lt;Details&gt;&lt;_doi&gt;https://doi.org/10.1016/j.maturitas.2004.04.006&lt;/_doi&gt;&lt;_created&gt;65270792&lt;/_created&gt;&lt;_modified&gt;65270793&lt;/_modified&gt;&lt;_url&gt;https://www.sciencedirect.com/science/article/pii/S0378512204001641&lt;/_url&gt;&lt;_journal&gt;Maturitas&lt;/_journal&gt;&lt;_volume&gt;50&lt;/_volume&gt;&lt;_issue&gt;2&lt;/_issue&gt;&lt;_pages&gt;91-97&lt;/_pages&gt;&lt;_date_display&gt;2005&lt;/_date_display&gt;&lt;_date&gt;55225440&lt;/_date&gt;&lt;_alternate_title&gt;Maturitas&lt;/_alternate_title&gt;&lt;_isbn&gt;0378-5122&lt;/_isbn&gt;&lt;_keywords&gt;Hormone replacement therapy; Estrogen; Progesterone&lt;/_keywords&gt;&lt;_accessed&gt;65270793&lt;/_accessed&gt;&lt;_db_updated&gt;ScienceDirect&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36&lt;/ID&gt;&lt;UID&gt;{C031AF83-5CC9-4C23-9E5A-D0D2FF5A52ED}&lt;/UID&gt;&lt;Title&gt;Effects of tibolone on the quality of life, anxiety-depression levels and  cognitive functions in natural menopause: an observational follow-up study&lt;/Title&gt;&lt;Template&gt;Journal Article&lt;/Template&gt;&lt;Star&gt;0&lt;/Star&gt;&lt;Tag&gt;0&lt;/Tag&gt;&lt;Author&gt;Gulseren, L; Kalafat, D; Mandaci, H; Gulseren, S; Camli, L&lt;/Author&gt;&lt;Year&gt;2005&lt;/Year&gt;&lt;Details&gt;&lt;_created&gt;65270792&lt;/_created&gt;&lt;_modified&gt;65270793&lt;/_modified&gt;&lt;_url&gt;http://www.ncbi.nlm.nih.gov/entrez/query.fcgi?cmd=Retrieve&amp;amp;db=pubmed&amp;amp;dopt=Abstract&amp;amp;list_uids=15730370&amp;amp;query_hl=1&lt;/_url&gt;&lt;_journal&gt;Aust N Z J Obstet Gynaecol&lt;/_journal&gt;&lt;_volume&gt;45&lt;/_volume&gt;&lt;_issue&gt;1&lt;/_issue&gt;&lt;_pages&gt;71-3&lt;/_pages&gt;&lt;_tertiary_title&gt;The Australian &amp;amp; New Zealand journal of obstetrics &amp;amp; gynaecology&lt;/_tertiary_title&gt;&lt;_doi&gt;10.1111/j.1479-828X.2005.00345.x&lt;/_doi&gt;&lt;_date_display&gt;2005 Feb&lt;/_date_display&gt;&lt;_date&gt;55270080&lt;/_date&gt;&lt;_type_work&gt;Journal Article&lt;/_type_work&gt;&lt;_isbn&gt;0004-8666 (Print); 0004-8666 (Linking)&lt;/_isbn&gt;&lt;_accession_num&gt;15730370&lt;/_accession_num&gt;&lt;_subject_headings&gt;Anxiety/prevention &amp;amp; control; Cognition/drug effects; Depression/prevention &amp;amp; control; Estrogen Receptor Modulators/*pharmacology; Female; Health Status Indicators; Humans; Menopause/*drug effects/psychology; Middle Aged; Norpregnenes/*pharmacology; *Quality of Life&lt;/_subject_headings&gt;&lt;_author_adr&gt;Department of Psychiatry, Ataturk Training and Research Hospital, Izmir, Turkey.  leylaugulseren@hotmail.com&lt;/_author_adr&gt;&lt;_language&gt;eng&lt;/_language&gt;&lt;_accessed&gt;65270793&lt;/_accessed&gt;&lt;_db_updated&gt;PubMed&lt;/_db_updated&gt;&lt;_impact_factor&gt;   1.700&lt;/_impact_factor&gt;&lt;_social_category&gt;妇产科学(3)&lt;/_social_category&gt;&lt;_collection_scope&gt;SCIE&lt;/_collection_scope&gt;&lt;/Details&gt;&lt;Extra&gt;&lt;DBUID&gt;{B8A3A9EF-6025-4DFB-A35A-6562ACE07897}&lt;/DBUID&gt;&lt;/Extra&gt;&lt;/Item&gt;&lt;/References&gt;&lt;/Group&gt;&lt;Group&gt;&lt;References&gt;&lt;Item&gt;&lt;ID&gt;123984&lt;/ID&gt;&lt;UID&gt;{0DB7E736-209F-454F-919A-7C5CDB41AF0F}&lt;/UID&gt;&lt;Title&gt;Efficacy of tibolone and transdermal estrogen therapy on psychological symptoms in women following surgical menopause&lt;/Title&gt;&lt;Template&gt;Journal Article&lt;/Template&gt;&lt;Star&gt;0&lt;/Star&gt;&lt;Tag&gt;0&lt;/Tag&gt;&lt;Author&gt;Baksu, A; Ayas, B; C?tak, S; Kalan, A; Baksu, B; Goker, N&lt;/Author&gt;&lt;Year&gt;2005&lt;/Year&gt;&lt;Details&gt;&lt;_doi&gt;10.1016/j.ijgo.2005.04.011&lt;/_doi&gt;&lt;_created&gt;65270792&lt;/_created&gt;&lt;_modified&gt;65270796&lt;/_modified&gt;&lt;_url&gt;https://obgyn.onlinelibrary.wiley.com/doi/10.1016/j.ijgo.2005.04.011_x000d__x000a_https://obgyn.onlinelibrary.wiley.com/doi/pdf/10.1016/j.ijgo.2005.04.011&lt;/_url&gt;&lt;_journal&gt;International Journal of Gynecology &amp;amp; Obstetrics&lt;/_journal&gt;&lt;_volume&gt;91&lt;/_volume&gt;&lt;_issue&gt;1&lt;/_issue&gt;&lt;_pages&gt;58-62&lt;/_pages&gt;&lt;_tertiary_title&gt;Intl J Gynecology &amp;amp; Obste&lt;/_tertiary_title&gt;&lt;_isbn&gt;0020-7292&lt;/_isbn&gt;&lt;_accessed&gt;65270796&lt;/_accessed&gt;&lt;_db_updated&gt;CrossRef&lt;/_db_updated&gt;&lt;_impact_factor&gt;   3.800&lt;/_impact_factor&gt;&lt;_social_category&gt;妇产科学(4)&lt;/_social_category&gt;&lt;_collection_scope&gt;SCIE&lt;/_collection_scope&gt;&lt;/Details&gt;&lt;Extra&gt;&lt;DBUID&gt;{B8A3A9EF-6025-4DFB-A35A-6562ACE07897}&lt;/DBUID&gt;&lt;/Extra&gt;&lt;/Item&gt;&lt;/References&gt;&lt;/Group&gt;&lt;Group&gt;&lt;References&gt;&lt;Item&gt;&lt;ID&gt;123943&lt;/ID&gt;&lt;UID&gt;{6AF93CAD-4866-423B-926A-1354E0D0C622}&lt;/UID&gt;&lt;Title&gt;Investigating the Effects of Estradiol or Estradiol/Progesterone Treatment on Mood, Depressive Symptoms, Menopausal Symptoms and Subjective Sleep Quality in Older Healthy Hysterectomized Women: A Questionnaire Study&lt;/Title&gt;&lt;Template&gt;Journal Article&lt;/Template&gt;&lt;Star&gt;0&lt;/Star&gt;&lt;Tag&gt;0&lt;/Tag&gt;&lt;Author&gt;Heinrich, A B; Wolf, O T&lt;/Author&gt;&lt;Year&gt;2005&lt;/Year&gt;&lt;Details&gt;&lt;_doi&gt;10.1159/000086173&lt;/_doi&gt;&lt;_created&gt;65270792&lt;/_created&gt;&lt;_modified&gt;65270793&lt;/_modified&gt;&lt;_url&gt;http://pku.summon.serialssolutions.com/2.0.0/link/0/eLvHCXMwrV1bb9MwFLbGxgMS4rJxKYNyxMOeWubYTpyAEOqg1YToqNSCNl4iJ3GmMpqEdkUKf5S_w7FzKUOCJx7bWo7dfD43n_MdQjh7Tvt_yAQepT6qMjf1pHa1lIHknEmtNKq_yLVhyc9j__2EjYbuuy0yaUpj6tfdSEkrupM8NlHzQ8ZRAktJxeviW9-0kTLXrU1PDVX3WkheOdwxJdY7jiEHQ8DL09YjQ--gIuPjtkaZndbUQ6jiLaujj-qdX1FY1y9Mfrbp92KaW6m5Yd68WagV_p9p1Qjj75aq1Vij2_9_c3fIrdp6hUEFt7tkS2e7ZG-Qoee-KOEAbD6pDdTvkoNJxYpd9mC2KfJa9eywli-73CM_f-P6yM4BLVKoOJVXkKcwNLGYBCeFfLn5cDhZ5ueW5CHPNMyabHnIMxjnedKDt3WG73cN03JR4PrwyWOd5YVar3ALzZegsgRQen6pBD9Mv2pdQMUsUsI8gw-mjTlU1VolHBvia6Mk8sX8h07ANgB9AQOwgWPEuH1bYLIzy3vk42g4e3Pcr_tN9GPB6WXfD5hPXZpSR8kYzXmpHIUQ8TSNBYuliDyqvChCxMYu1UzzWKWuyyIcqFzX1_w-2c5w1w8JRLGjfMGk0okSVHhKplqlQlKpaaQ47ZBnDajCoqIVCa075gZhi7wOeVrBrR1yMpmyqveg5QaUHfKywWE7BlVhmKCZUoROrNBBTbS9y9Y6RQEecQfPn0IxHwmcv3sFupuVeL7vCYd1yH4DzrAWbauwRSYur_0VZZK5aFKZzter0JNBIISHD3hQHYDNzG4gUIMEj_458z65YRlybaTrMdm-XK71E3KtuFh37fntkp2jo5NPZ78AzrNcxQ&lt;/_url&gt;&lt;_place_published&gt;Basel, Switzerland&lt;/_place_published&gt;&lt;_journal&gt;Neuropsychobiology&lt;/_journal&gt;&lt;_volume&gt;52&lt;/_volume&gt;&lt;_issue&gt;1&lt;/_issue&gt;&lt;_number&gt;1&lt;/_number&gt;&lt;_pages&gt;17-23&lt;/_pages&gt;&lt;_date_display&gt;2005&lt;/_date_display&gt;&lt;_date&gt;55225440&lt;/_date&gt;&lt;_isbn&gt;0302-282X&lt;/_isbn&gt;&lt;_ori_publication&gt;Karger&lt;/_ori_publication&gt;&lt;_keywords&gt;Adult; Adult and adolescent clinical studies; Aged; Behavioral psychophysiology; Biological and medical sciences; Breast Diseases - psychology; Depression; Depression (differential diagnoses); Depression - drug therapy; Depression - psychology; Double-Blind Method; Endocrinology; Estradiol - blood; Estradiol - therapeutic use; Estradiol valerate; Estrogen; Female; Fundamental and applied biological sciences. Psychology; Hormone; Hormones and behavior; Humans; Hysterectomy; Internal medicine; Medical sciences; Menopause; Menopause - drug effects; Menopause - psychology; Middle Aged; Mood; Mood disorders; Mood Disorders - drug therapy; Mood Disorders - psychology; Neuropsychological Tests; Original Paper; Placebo; Progesterone - blood; Progesterone - therapeutic use; Psychology. Psychoanalysis. Psychiatry; Psychology. Psychophysiology; Psychopathology. Psychiatry; Randomized controlled trial; Sleep Wake Disorders - drug therapy; Sleep Wake Disorders - psychology; Surveys and Questionnaires; Wechsler Scales&lt;/_keywords&gt;&lt;_accessed&gt;65270793&lt;/_accessed&gt;&lt;_db_updated&gt;PKU Search&lt;/_db_updated&gt;&lt;_impact_factor&gt;   3.200&lt;/_impact_factor&gt;&lt;_social_category&gt;神经科学(4) &amp;amp; 精神病学(4) &amp;amp; 心理学(4)&lt;/_social_category&gt;&lt;_collection_scope&gt;SCIE&lt;/_collection_scope&gt;&lt;/Details&gt;&lt;Extra&gt;&lt;DBUID&gt;{B8A3A9EF-6025-4DFB-A35A-6562ACE07897}&lt;/DBUID&gt;&lt;/Extra&gt;&lt;/Item&gt;&lt;/References&gt;&lt;/Group&gt;&lt;Group&gt;&lt;References&gt;&lt;Item&gt;&lt;ID&gt;123976&lt;/ID&gt;&lt;UID&gt;{C1435E8E-2F38-46A1-8B24-48A6226CA1BE}&lt;/UID&gt;&lt;Title&gt;Influence of a continuous combined HRT (2 mg estradiol valerate and 2 mg  dienogest) on postmenopausal depression&lt;/Title&gt;&lt;Template&gt;Journal Article&lt;/Template&gt;&lt;Star&gt;0&lt;/Star&gt;&lt;Tag&gt;0&lt;/Tag&gt;&lt;Author&gt;Rudolph, I; Palombo-Kinne, E; Kirsch, B; Mellinger, U; Breitbarth, H; Graser, T&lt;/Author&gt;&lt;Year&gt;2004&lt;/Year&gt;&lt;Details&gt;&lt;_doi&gt;10.1080/13697130400001802&lt;/_doi&gt;&lt;_created&gt;65270792&lt;/_created&gt;&lt;_modified&gt;65270796&lt;/_modified&gt;&lt;_url&gt;http://www.ncbi.nlm.nih.gov/entrez/query.fcgi?cmd=Retrieve&amp;amp;db=pubmed&amp;amp;dopt=Abstract&amp;amp;list_uids=15669555&amp;amp;query_hl=1&lt;/_url&gt;&lt;_journal&gt;Climacteric&lt;/_journal&gt;&lt;_volume&gt;7&lt;/_volume&gt;&lt;_issue&gt;3&lt;/_issue&gt;&lt;_pages&gt;301-11&lt;/_pages&gt;&lt;_tertiary_title&gt;Climacteric : the journal of the International Menopause Society&lt;/_tertiary_title&gt;&lt;_date_display&gt;2004 Sep&lt;/_date_display&gt;&lt;_date&gt;55049760&lt;/_date&gt;&lt;_type_work&gt;Clinical Trial; Journal Article; Randomized Controlled Trial; Research Support, Non-U.S. Gov&amp;apos;t&lt;/_type_work&gt;&lt;_isbn&gt;1369-7137 (Print); 1369-7137 (Linking)&lt;/_isbn&gt;&lt;_accession_num&gt;15669555&lt;/_accession_num&gt;&lt;_subject_headings&gt;Depression/*drug therapy/psychology; Double-Blind Method; Estradiol/*administration &amp;amp; dosage/*analogs &amp;amp; derivatives; *Estrogen Replacement Therapy; Female; Humans; Middle Aged; Nandrolone/*administration &amp;amp; dosage/*analogs &amp;amp; derivatives; Postmenopause; Psychiatric Status Rating Scales; Treatment Outcome&lt;/_subject_headings&gt;&lt;_author_adr&gt;Jenapharm GmbH &amp;amp; Co. KG, Jena, Germany.&lt;/_author_adr&gt;&lt;_language&gt;eng&lt;/_language&gt;&lt;_accessed&gt;65270796&lt;/_accessed&gt;&lt;_db_updated&gt;PubMed&lt;/_db_updated&gt;&lt;_impact_factor&gt;   2.800&lt;/_impact_factor&gt;&lt;_social_category&gt;妇产科学(4)&lt;/_social_category&gt;&lt;_collection_scope&gt;SCIE&lt;/_collection_scope&gt;&lt;/Details&gt;&lt;Extra&gt;&lt;DBUID&gt;{B8A3A9EF-6025-4DFB-A35A-6562ACE07897}&lt;/DBUID&gt;&lt;/Extra&gt;&lt;/Item&gt;&lt;/References&gt;&lt;/Group&gt;&lt;Group&gt;&lt;References&gt;&lt;Item&gt;&lt;ID&gt;123975&lt;/ID&gt;&lt;UID&gt;{D7A938A0-21FF-4E46-9E74-0C0051FC904B}&lt;/UID&gt;&lt;Title&gt;Lack of efficacy of estradiol for depression in postmenopausal women: a randomized, controlled trial&lt;/Title&gt;&lt;Template&gt;Journal Article&lt;/Template&gt;&lt;Star&gt;0&lt;/Star&gt;&lt;Tag&gt;0&lt;/Tag&gt;&lt;Author&gt;Morrison, Mary F; Kallan, Michael J; Ten Have, Thomas; Katz, Ira; Tweedy, Kathryn; Battistini, Michelle&lt;/Author&gt;&lt;Year&gt;2004&lt;/Year&gt;&lt;Details&gt;&lt;_doi&gt;https://doi.org/10.1016/j.biopsych.2003.08.011&lt;/_doi&gt;&lt;_created&gt;65270792&lt;/_created&gt;&lt;_modified&gt;65270795&lt;/_modified&gt;&lt;_url&gt;https://www.sciencedirect.com/science/article/pii/S0006322303008801&lt;/_url&gt;&lt;_journal&gt;Biological Psychiatry&lt;/_journal&gt;&lt;_volume&gt;55&lt;/_volume&gt;&lt;_issue&gt;4&lt;/_issue&gt;&lt;_pages&gt;406-412&lt;/_pages&gt;&lt;_date_display&gt;2004&lt;/_date_display&gt;&lt;_date&gt;54698400&lt;/_date&gt;&lt;_alternate_title&gt;Biological Psychiatry&lt;/_alternate_title&gt;&lt;_isbn&gt;0006-3223&lt;/_isbn&gt;&lt;_keywords&gt;Estradiol; depressive disorder; postmenopausal&lt;/_keywords&gt;&lt;_accessed&gt;65270795&lt;/_accessed&gt;&lt;_db_updated&gt;ScienceDirect&lt;/_db_updated&gt;&lt;_impact_factor&gt;  10.600&lt;/_impact_factor&gt;&lt;_social_category&gt;神经科学(1) &amp;amp; 精神病学(1)&lt;/_social_category&gt;&lt;_collection_scope&gt;SCIE&lt;/_collection_scope&gt;&lt;/Details&gt;&lt;Extra&gt;&lt;DBUID&gt;{B8A3A9EF-6025-4DFB-A35A-6562ACE07897}&lt;/DBUID&gt;&lt;/Extra&gt;&lt;/Item&gt;&lt;/References&gt;&lt;/Group&gt;&lt;Group&gt;&lt;References&gt;&lt;Item&gt;&lt;ID&gt;123966&lt;/ID&gt;&lt;UID&gt;{6CE91F4E-7716-4EEB-BD2C-1F1BC7161358}&lt;/UID&gt;&lt;Title&gt;A prospective, randomized, placebo-controlled study of the dose effect of oral oestradiol on menopausal symptoms, psychological well being, and quality of life in postmenopausal Chinese women&lt;/Title&gt;&lt;Template&gt;Journal Article&lt;/Template&gt;&lt;Star&gt;0&lt;/Star&gt;&lt;Tag&gt;0&lt;/Tag&gt;&lt;Author&gt;Haines, Christopher J; Yim, So Fan; Chung, Tony K H; Lam, Christopher W K; Lau, Edith W C; Ng, Margaret H L; Chin, Robert; Lee, Dominic T S&lt;/Author&gt;&lt;Year&gt;2003&lt;/Year&gt;&lt;Details&gt;&lt;_doi&gt;https://doi.org/10.1016/S0378-5122(02)00340-7&lt;/_doi&gt;&lt;_created&gt;65270792&lt;/_created&gt;&lt;_modified&gt;65270795&lt;/_modified&gt;&lt;_url&gt;https://www.sciencedirect.com/science/article/pii/S0378512202003407&lt;/_url&gt;&lt;_journal&gt;Maturitas&lt;/_journal&gt;&lt;_volume&gt;44&lt;/_volume&gt;&lt;_issue&gt;3&lt;/_issue&gt;&lt;_pages&gt;207-214&lt;/_pages&gt;&lt;_date_display&gt;2003&lt;/_date_display&gt;&lt;_date&gt;54172800&lt;/_date&gt;&lt;_alternate_title&gt;Maturitas&lt;/_alternate_title&gt;&lt;_isbn&gt;0378-5122&lt;/_isbn&gt;&lt;_keywords&gt;Menopause; Hormone replacement therapy; Vasomotor symptoms; Anxiety; Depression; Quality of life&lt;/_keywords&gt;&lt;_accessed&gt;65270795&lt;/_accessed&gt;&lt;_db_updated&gt;ScienceDirect&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05125&lt;/ID&gt;&lt;UID&gt;{EE770175-8279-47E3-A23A-426246B24917}&lt;/UID&gt;&lt;Title&gt;Effects of estrogen plus progestin on health-related quality of life&lt;/Title&gt;&lt;Template&gt;Journal Article&lt;/Template&gt;&lt;Star&gt;0&lt;/Star&gt;&lt;Tag&gt;0&lt;/Tag&gt;&lt;Author&gt;Hays, J; Ockene, J K; Brunner, R L; Kotchen, J M; Manson, J E; Patterson, R E; Aragaki, A K; Shumaker, S A; Brzyski, R G; LaCroix, A Z; Granek, I A; Valanis, B G&lt;/Author&gt;&lt;Year&gt;2003&lt;/Year&gt;&lt;Details&gt;&lt;_accessed&gt;65193039&lt;/_accessed&gt;&lt;_accession_num&gt;12642637&lt;/_accession_num&gt;&lt;_author_adr&gt;Center for Women&amp;apos;s Health, Department of Medicine, Baylor College of Medicine,  Houston 77025, USA. jhays@bcm.tmc.edu&lt;/_author_adr&gt;&lt;_collection_scope&gt;SCIE&lt;/_collection_scope&gt;&lt;_created&gt;64963986&lt;/_created&gt;&lt;_custom1&gt;09&lt;/_custom1&gt;&lt;_date&gt;2003-05-08&lt;/_date&gt;&lt;_date_display&gt;2003 May 8&lt;/_date_display&gt;&lt;_doi&gt;10.1056/NEJMoa030311&lt;/_doi&gt;&lt;_impact_factor&gt; 158.500&lt;/_impact_factor&gt;&lt;_isbn&gt;1533-4406 (Electronic); 0028-4793 (Linking)&lt;/_isbn&gt;&lt;_issue&gt;19&lt;/_issue&gt;&lt;_journal&gt;N Engl J Med&lt;/_journal&gt;&lt;_language&gt;eng&lt;/_language&gt;&lt;_modified&gt;65193039&lt;/_modified&gt;&lt;_ori_publication&gt;Copyright 2003 Massachusetts Medical Society&lt;/_ori_publication&gt;&lt;_pages&gt;1839-54&lt;/_pages&gt;&lt;_social_category&gt;医学(1)&lt;/_social_category&gt;&lt;_subject_headings&gt;Aged; Cognition/drug effects; Depression/drug therapy; *Estrogen Replacement Therapy; Estrogens/pharmacology/*therapeutic use; Female; Health Status; Hot Flashes/drug therapy; Humans; Linear Models; Mental Health; Middle Aged; Progestins/pharmacology/*therapeutic use; *Quality of Life; Sexual Behavior/drug effects; Sleep Wake Disorders/drug therapy&lt;/_subject_headings&gt;&lt;_tertiary_title&gt;The New England journal of medicine&lt;/_tertiary_title&gt;&lt;_type_work&gt;Clinical Trial; Journal Article; Multicenter Study; Randomized Controlled Trial; Research Support, Non-U.S. Gov&amp;apos;t; Research Support, U.S. Gov&amp;apos;t, P.H.S.&lt;/_type_work&gt;&lt;_url&gt;http://www.ncbi.nlm.nih.gov/entrez/query.fcgi?cmd=Retrieve&amp;amp;db=pubmed&amp;amp;dopt=Abstract&amp;amp;list_uids=12642637&amp;amp;query_hl=1&lt;/_url&gt;&lt;_volume&gt;348&lt;/_volume&gt;&lt;/Details&gt;&lt;Extra&gt;&lt;DBUID&gt;{B8A3A9EF-6025-4DFB-A35A-6562ACE07897}&lt;/DBUID&gt;&lt;/Extra&gt;&lt;/Item&gt;&lt;/References&gt;&lt;/Group&gt;&lt;Group&gt;&lt;References&gt;&lt;Item&gt;&lt;ID&gt;123938&lt;/ID&gt;&lt;UID&gt;{8075F101-5B63-4188-8C85-9A69673E7288}&lt;/UID&gt;&lt;Title&gt;Effects of low-dose, continuous combined estradiol and noretisterone acetate on menopausal quality of life in early postmenopausal women&lt;/Title&gt;&lt;Template&gt;Journal Article&lt;/Template&gt;&lt;Star&gt;0&lt;/Star&gt;&lt;Tag&gt;0&lt;/Tag&gt;&lt;Author&gt;Gambacciani, Marco; Ciaponi, Massimo; Cappagli, Barbara; Monteleone, Patrizia; Benussi, Caterina; Bevilacqua, Gemma; Genazzani, Andrea R&lt;/Author&gt;&lt;Year&gt;2003&lt;/Year&gt;&lt;Details&gt;&lt;_created&gt;65270792&lt;/_created&gt;&lt;_modified&gt;65270793&lt;/_modified&gt;&lt;_url&gt;https://www.sciencedirect.com/science/article/pii/S0378512202003274&lt;/_url&gt;&lt;_journal&gt;Maturitas&lt;/_journal&gt;&lt;_volume&gt;44&lt;/_volume&gt;&lt;_issue&gt;2&lt;/_issue&gt;&lt;_pages&gt;157-163&lt;/_pages&gt;&lt;_doi&gt;https://doi.org/10.1016/S0378-5122(02)00327-4&lt;/_doi&gt;&lt;_date_display&gt;2003&lt;/_date_display&gt;&lt;_date&gt;54172800&lt;/_date&gt;&lt;_alternate_title&gt;Maturitas&lt;/_alternate_title&gt;&lt;_isbn&gt;0378-5122&lt;/_isbn&gt;&lt;_keywords&gt;Estradiol; Noretisterone acetate; Hormonal replacement therapy; Quality of life&lt;/_keywords&gt;&lt;_accessed&gt;65270793&lt;/_accessed&gt;&lt;_db_updated&gt;ScienceDirect&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80&lt;/ID&gt;&lt;UID&gt;{380CEDE8-06BC-4856-AC90-8663527BED43}&lt;/UID&gt;&lt;Title&gt;Failure of tibolone to potentiate the pharmacological effect of fluoxetine in  postmenopausal major depression&lt;/Title&gt;&lt;Template&gt;Journal Article&lt;/Template&gt;&lt;Star&gt;0&lt;/Star&gt;&lt;Tag&gt;0&lt;/Tag&gt;&lt;Author&gt;Berlanga, C; Mendieta, D; Alva, G; Del, Carmen Lara M&lt;/Author&gt;&lt;Year&gt;2003&lt;/Year&gt;&lt;Details&gt;&lt;_created&gt;65270792&lt;/_created&gt;&lt;_modified&gt;65270796&lt;/_modified&gt;&lt;_url&gt;http://www.ncbi.nlm.nih.gov/entrez/query.fcgi?cmd=Retrieve&amp;amp;db=pubmed&amp;amp;dopt=Abstract&amp;amp;list_uids=12639367&amp;amp;query_hl=1&lt;/_url&gt;&lt;_journal&gt;J Womens Health (Larchmt)&lt;/_journal&gt;&lt;_volume&gt;12&lt;/_volume&gt;&lt;_issue&gt;1&lt;/_issue&gt;&lt;_pages&gt;33-9&lt;/_pages&gt;&lt;_tertiary_title&gt;Journal of women&amp;apos;s health (2002)&lt;/_tertiary_title&gt;&lt;_doi&gt;10.1089/154099903321154121&lt;/_doi&gt;&lt;_date_display&gt;2003 Jan-Feb&lt;/_date_display&gt;&lt;_date&gt;54172800&lt;/_date&gt;&lt;_type_work&gt;Clinical Trial; Comparative Study; Journal Article; Randomized Controlled Trial&lt;/_type_work&gt;&lt;_isbn&gt;1540-9996 (Print); 1540-9996 (Linking)&lt;/_isbn&gt;&lt;_accession_num&gt;12639367&lt;/_accession_num&gt;&lt;_subject_headings&gt;Aged; Depressive Disorder/blood/*drug therapy; Double-Blind Method; Estrogen Receptor Modulators/*therapeutic use; Estrogens/blood; Female; Fluoxetine/*therapeutic use; Humans; Mexico; Middle Aged; Norpregnenes/*therapeutic use; *Postmenopause; Selective Serotonin Reuptake Inhibitors/*therapeutic use&lt;/_subject_headings&gt;&lt;_author_adr&gt;National Institute of Psychiatry, Ramon de la Fuente Clinical Research Division,  Mexico, DF. cisnerb@imp.edu.mx&lt;/_author_adr&gt;&lt;_language&gt;eng&lt;/_language&gt;&lt;_accessed&gt;65270796&lt;/_accessed&gt;&lt;_db_updated&gt;PubMed&lt;/_db_updated&gt;&lt;_impact_factor&gt;   3.500&lt;/_impact_factor&gt;&lt;_social_category&gt;医学：内科(3) &amp;amp; 妇产科学(3) &amp;amp; 公共卫生、环境卫生与职业卫生(3) &amp;amp; 女性研究(2)&lt;/_social_category&gt;&lt;_collection_scope&gt;SSCI;SCIE&lt;/_collection_scope&gt;&lt;/Details&gt;&lt;Extra&gt;&lt;DBUID&gt;{B8A3A9EF-6025-4DFB-A35A-6562ACE07897}&lt;/DBUID&gt;&lt;/Extra&gt;&lt;/Item&gt;&lt;/References&gt;&lt;/Group&gt;&lt;Group&gt;&lt;References&gt;&lt;Item&gt;&lt;ID&gt;123953&lt;/ID&gt;&lt;UID&gt;{D2B691CE-BDC0-4305-A324-E984962041DE}&lt;/UID&gt;&lt;Title&gt;Insomnia related to postmenopausal syndrome and hormone replacement therapy:  sleep laboratory studies on baseline differences between patients and controls  and double-blind, placebo-controlled investigations on the effects of a novel  estrogen-progestogen combination (Climodien, Lafamme) versus estrogen alone&lt;/Title&gt;&lt;Template&gt;Journal Article&lt;/Template&gt;&lt;Star&gt;0&lt;/Star&gt;&lt;Tag&gt;0&lt;/Tag&gt;&lt;Author&gt;Saletu-Zyhlarz, G; Anderer, P; Gruber, G; Mandl, M; Gruber, D; Metka, M; Huber, J; Oettel, M; Graser, T; Abu-Bakr, M H; Gratzhofer, E; Saletu, B&lt;/Author&gt;&lt;Year&gt;2003&lt;/Year&gt;&lt;Details&gt;&lt;_created&gt;65270792&lt;/_created&gt;&lt;_modified&gt;65270794&lt;/_modified&gt;&lt;_url&gt;http://www.ncbi.nlm.nih.gov/entrez/query.fcgi?cmd=Retrieve&amp;amp;db=pubmed&amp;amp;dopt=Abstract&amp;amp;list_uids=12941063&amp;amp;query_hl=1&lt;/_url&gt;&lt;_journal&gt;J Sleep Res&lt;/_journal&gt;&lt;_volume&gt;12&lt;/_volume&gt;&lt;_issue&gt;3&lt;/_issue&gt;&lt;_pages&gt;239-54&lt;/_pages&gt;&lt;_tertiary_title&gt;Journal of sleep research&lt;/_tertiary_title&gt;&lt;_doi&gt;10.1046/j.1365-2869.2003.00356.x&lt;/_doi&gt;&lt;_date_display&gt;2003 Sep&lt;/_date_display&gt;&lt;_date&gt;54522720&lt;/_date&gt;&lt;_type_work&gt;Clinical Trial; Journal Article; Randomized Controlled Trial; Research Support, Non-U.S. Gov&amp;apos;t&lt;/_type_work&gt;&lt;_isbn&gt;0962-1105 (Print); 0962-1105 (Linking)&lt;/_isbn&gt;&lt;_accession_num&gt;12941063&lt;/_accession_num&gt;&lt;_subject_headings&gt;Aged; Double-Blind Method; Drug Combinations; Estradiol/*administration &amp;amp; dosage/*analogs &amp;amp; _x000d__x000a_      derivatives/*pharmacology/therapeutic use; Estrogen Replacement Therapy/*methods; Female; Humans; Memory/drug effects; Middle Aged; Nandrolone/*administration &amp;amp; dosage/*analogs &amp;amp; _x000d__x000a_      derivatives/*pharmacology/therapeutic use; Polysomnography; Postmenopause/*drug effects; Reaction Time/drug effects; Severity of Illness Index; Sleep Apnea Syndromes/drug therapy; Sleep Initiation and Maintenance Disorders/diagnosis/*therapy; Sleep, REM/drug effects; Wakefulness/drug effects&lt;/_subject_headings&gt;&lt;_author_adr&gt;Department of Psychiatry, University of Vienna, Vienna, Austria.&lt;/_author_adr&gt;&lt;_language&gt;eng&lt;/_language&gt;&lt;_accessed&gt;65270794&lt;/_accessed&gt;&lt;_db_updated&gt;PubMed&lt;/_db_updated&gt;&lt;_impact_factor&gt;   4.400&lt;/_impact_factor&gt;&lt;_social_category&gt;临床神经病学(3) &amp;amp; 神经科学(3)&lt;/_social_category&gt;&lt;_collection_scope&gt;SCIE&lt;/_collection_scope&gt;&lt;/Details&gt;&lt;Extra&gt;&lt;DBUID&gt;{B8A3A9EF-6025-4DFB-A35A-6562ACE07897}&lt;/DBUID&gt;&lt;/Extra&gt;&lt;/Item&gt;&lt;/References&gt;&lt;/Group&gt;&lt;Group&gt;&lt;References&gt;&lt;Item&gt;&lt;ID&gt;123950&lt;/ID&gt;&lt;UID&gt;{3ECB7378-4ECD-4720-AA54-400359CC92E7}&lt;/UID&gt;&lt;Title&gt;Kava-Kava administration reduces anxiety in perimenopausal women&lt;/Title&gt;&lt;Template&gt;Journal Article&lt;/Template&gt;&lt;Star&gt;0&lt;/Star&gt;&lt;Tag&gt;0&lt;/Tag&gt;&lt;Author&gt;Cagnacci, A; Arangino, S; Renzi, A; Zanni, A L; Malmusi, S; Volpe, A&lt;/Author&gt;&lt;Year&gt;2003&lt;/Year&gt;&lt;Details&gt;&lt;_created&gt;65270792&lt;/_created&gt;&lt;_modified&gt;65270794&lt;/_modified&gt;&lt;_url&gt;http://www.ncbi.nlm.nih.gov/entrez/query.fcgi?cmd=Retrieve&amp;amp;db=pubmed&amp;amp;dopt=Abstract&amp;amp;list_uids=12590005&amp;amp;query_hl=1&lt;/_url&gt;&lt;_journal&gt;Maturitas&lt;/_journal&gt;&lt;_volume&gt;44&lt;/_volume&gt;&lt;_issue&gt;2&lt;/_issue&gt;&lt;_pages&gt;103-9&lt;/_pages&gt;&lt;_tertiary_title&gt;Maturitas&lt;/_tertiary_title&gt;&lt;_doi&gt;10.1016/s0378-5122(02)00317-1&lt;/_doi&gt;&lt;_date_display&gt;2003 Feb 25&lt;/_date_display&gt;&lt;_date&gt;54252000&lt;/_date&gt;&lt;_type_work&gt;Clinical Trial; Journal Article; Randomized Controlled Trial&lt;/_type_work&gt;&lt;_isbn&gt;0378-5122 (Print); 0378-5122 (Linking)&lt;/_isbn&gt;&lt;_accession_num&gt;12590005&lt;/_accession_num&gt;&lt;_subject_headings&gt;Anxiety/*drug therapy/pathology; Calcium/administration &amp;amp; dosage; Climacteric; Dietary Supplements; Female; Humans; *Kava; Middle Aged; *Phytotherapy; Plant Extracts/administration &amp;amp; dosage/*therapeutic use; Prospective Studies; Psychiatric Status Rating Scales; Treatment Outcome&lt;/_subject_headings&gt;&lt;_author_adr&gt;Institute of Obstetrics and Gynecology, University of Modena, Via del Pozzo 71,  41100, Modena, Italy. cagnacci@unime.it&lt;/_author_adr&gt;&lt;_language&gt;eng&lt;/_language&gt;&lt;_accessed&gt;65270794&lt;/_accessed&gt;&lt;_db_updated&gt;PubMed&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67&lt;/ID&gt;&lt;UID&gt;{20E7F23D-4068-4FF3-B823-A9799F715767}&lt;/UID&gt;&lt;Title&gt;Quality-of-life and depressive symptoms in postmenopausal women after receiving  hormone therapy: results from the Heart and Estrogen/Progestin Replacement Study  (HERS) trial&lt;/Title&gt;&lt;Template&gt;Journal Article&lt;/Template&gt;&lt;Star&gt;0&lt;/Star&gt;&lt;Tag&gt;0&lt;/Tag&gt;&lt;Author&gt;Hlatky, M A; Boothroyd, D; Vittinghoff, E; Sharp, P; Whooley, M A&lt;/Author&gt;&lt;Year&gt;2002&lt;/Year&gt;&lt;Details&gt;&lt;_created&gt;65270792&lt;/_created&gt;&lt;_modified&gt;65270812&lt;/_modified&gt;&lt;_accessed&gt;65270812&lt;/_accessed&gt;&lt;_url&gt;http://www.ncbi.nlm.nih.gov/entrez/query.fcgi?cmd=Retrieve&amp;amp;db=pubmed&amp;amp;dopt=Abstract&amp;amp;list_uids=11829697&amp;amp;query_hl=1&lt;/_url&gt;&lt;_journal&gt;JAMA&lt;/_journal&gt;&lt;_volume&gt;287&lt;/_volume&gt;&lt;_issue&gt;5&lt;/_issue&gt;&lt;_pages&gt;591-7&lt;/_pages&gt;&lt;_tertiary_title&gt;JAMA&lt;/_tertiary_title&gt;&lt;_doi&gt;10.1001/jama.287.5.591&lt;/_doi&gt;&lt;_date_display&gt;2002 Feb 6&lt;/_date_display&gt;&lt;_date&gt;53699040&lt;/_date&gt;&lt;_type_work&gt;Clinical Trial; Journal Article; Multicenter Study; Randomized Controlled Trial; Research Support, Non-U.S. Gov&amp;apos;t; Research Support, U.S. Gov&amp;apos;t, Non-P.H.S.&lt;/_type_work&gt;&lt;_isbn&gt;0098-7484 (Print); 0098-7484 (Linking)&lt;/_isbn&gt;&lt;_accession_num&gt;11829697&lt;/_accession_num&gt;&lt;_subject_headings&gt;Aged; Coronary Artery Disease/prevention &amp;amp; control; Depression/*epidemiology; Double-Blind Method; *Estrogen Replacement Therapy/adverse effects; Estrogens, Conjugated (USP)/pharmacology; Fatigue/*epidemiology; Female; Hot Flashes; Humans; Linear Models; Medroxyprogesterone Acetate/pharmacology; Mental Health; Multivariate Analysis; *Physical Exertion; Postmenopause; Progesterone Congeners/pharmacology; *Quality-Adjusted Life Years&lt;/_subject_headings&gt;&lt;_author_adr&gt;Stanford University School of Medicine, HRP Redwood Bldg, Room 150, Stanford, CA  94305-5405, USA. hlatky@stanford.edu&lt;/_author_adr&gt;&lt;_language&gt;eng&lt;/_language&gt;&lt;_db_updated&gt;PubMed&lt;/_db_updated&gt;&lt;_impact_factor&gt; 120.700&lt;/_impact_factor&gt;&lt;_social_category&gt;医学：内科(1)&lt;/_social_category&gt;&lt;_collection_scope&gt;SCIE&lt;/_collection_scope&gt;&lt;/Details&gt;&lt;Extra&gt;&lt;DBUID&gt;{B8A3A9EF-6025-4DFB-A35A-6562ACE07897}&lt;/DBUID&gt;&lt;/Extra&gt;&lt;/Item&gt;&lt;/References&gt;&lt;/Group&gt;&lt;Group&gt;&lt;References&gt;&lt;Item&gt;&lt;ID&gt;123948&lt;/ID&gt;&lt;UID&gt;{DA9E1557-9CA7-453B-BDB6-2440B0F6A657}&lt;/UID&gt;&lt;Title&gt;The influence of tibolone on quality of life in postmenopausal women&lt;/Title&gt;&lt;Template&gt;Journal Article&lt;/Template&gt;&lt;Star&gt;0&lt;/Star&gt;&lt;Tag&gt;0&lt;/Tag&gt;&lt;Author&gt;Meeuwsen, Ingrid B; Samson, Monique M; Duursma, Sijmen A; Verhaar, Harald J&lt;/Author&gt;&lt;Year&gt;2002&lt;/Year&gt;&lt;Details&gt;&lt;_created&gt;65270792&lt;/_created&gt;&lt;_modified&gt;65270794&lt;/_modified&gt;&lt;_url&gt;https://www.sciencedirect.com/science/article/pii/S0378512201002511&lt;/_url&gt;&lt;_journal&gt;Maturitas&lt;/_journal&gt;&lt;_volume&gt;41&lt;/_volume&gt;&lt;_issue&gt;1&lt;/_issue&gt;&lt;_pages&gt;35-43&lt;/_pages&gt;&lt;_doi&gt;https://doi.org/10.1016/S0378-5122(01)00251-1&lt;/_doi&gt;&lt;_date_display&gt;2002&lt;/_date_display&gt;&lt;_date&gt;53647200&lt;/_date&gt;&lt;_alternate_title&gt;Maturitas&lt;/_alternate_title&gt;&lt;_isbn&gt;0378-5122&lt;/_isbn&gt;&lt;_keywords&gt;Tibolone; Steroid; Quality of life&lt;/_keywords&gt;&lt;_accessed&gt;65270794&lt;/_accessed&gt;&lt;_db_updated&gt;ScienceDirect&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14425&lt;/ID&gt;&lt;UID&gt;{D231C647-124B-4530-AAFD-B90DA99D87FE}&lt;/UID&gt;&lt;Title&gt;Efficacy of estradiol for the treatment of depressive disorders in perimenopausal  women: a double-blind, randomized, placebo-controlled trial&lt;/Title&gt;&lt;Template&gt;Journal Article&lt;/Template&gt;&lt;Star&gt;0&lt;/Star&gt;&lt;Tag&gt;0&lt;/Tag&gt;&lt;Author&gt;Soares, C N; Almeida, O P; Joffe, H; Cohen, L S&lt;/Author&gt;&lt;Year&gt;2001&lt;/Year&gt;&lt;Details&gt;&lt;_accessed&gt;64991297&lt;/_accessed&gt;&lt;_accession_num&gt;11386980&lt;/_accession_num&gt;&lt;_author_adr&gt;Perinatal and Reproductive Psychiatry Clinical Research Program, Massachusetts  General Hospital, Harvard Medical School, 15 Parkman St, WACC 812, Boston, MA  02114, USA. csoares@partners.org&lt;/_author_adr&gt;&lt;_created&gt;64989574&lt;/_created&gt;&lt;_custom1&gt;45&lt;/_custom1&gt;&lt;_date&gt;2001-06-01&lt;/_date&gt;&lt;_date_display&gt;2001 Jun&lt;/_date_display&gt;&lt;_db_updated&gt;PubMed&lt;/_db_updated&gt;&lt;_doi&gt;10.1001/archpsyc.58.6.529&lt;/_doi&gt;&lt;_isbn&gt;0003-990X (Print); 0003-990X (Linking)&lt;/_isbn&gt;&lt;_issue&gt;6&lt;/_issue&gt;&lt;_journal&gt;Arch Gen Psychiatry&lt;/_journal&gt;&lt;_language&gt;eng&lt;/_language&gt;&lt;_modified&gt;64991408&lt;/_modified&gt;&lt;_pages&gt;529-34&lt;/_pages&gt;&lt;_subject_headings&gt;Administration, Cutaneous; Adult; Depression/diagnosis/drug therapy/psychology; Depressive Disorder/diagnosis/*drug therapy/psychology; Double-Blind Method; Dysthymic Disorder/diagnosis/drug therapy/psychology; Estradiol/administration &amp;amp; dosage/*therapeutic use; Estrogen Replacement Therapy/methods; Female; Follicle Stimulating Hormone/blood; Humans; Menopause/*psychology; Middle Aged; Placebos; Psychiatric Status Rating Scales/statistics &amp;amp; numerical data; Severity of Illness Index; Treatment Outcome&lt;/_subject_headings&gt;&lt;_tertiary_title&gt;Archives of general psychiatry&lt;/_tertiary_title&gt;&lt;_type_work&gt;Clinical Trial; Journal Article; Randomized Controlled Trial; Research Support, Non-U.S. Gov&amp;apos;t&lt;/_type_work&gt;&lt;_url&gt;http://www.ncbi.nlm.nih.gov/entrez/query.fcgi?cmd=Retrieve&amp;amp;db=pubmed&amp;amp;dopt=Abstract&amp;amp;list_uids=11386980&amp;amp;query_hl=1&lt;/_url&gt;&lt;_volume&gt;58&lt;/_volume&gt;&lt;/Details&gt;&lt;Extra&gt;&lt;DBUID&gt;{B8A3A9EF-6025-4DFB-A35A-6562ACE07897}&lt;/DBUID&gt;&lt;/Extra&gt;&lt;/Item&gt;&lt;/References&gt;&lt;/Group&gt;&lt;Group&gt;&lt;References&gt;&lt;Item&gt;&lt;ID&gt;123974&lt;/ID&gt;&lt;UID&gt;{5AA0067F-61FA-4124-8CD1-CDCD5D99CB97}&lt;/UID&gt;&lt;Title&gt;Evidence that cyproterone acetate improves psychological symptoms and enhances  the activity of the dopaminergic system in postmenopause&lt;/Title&gt;&lt;Template&gt;Journal Article&lt;/Template&gt;&lt;Star&gt;0&lt;/Star&gt;&lt;Tag&gt;0&lt;/Tag&gt;&lt;Author&gt;Paoletti, A M; Floris, S; Mannias, M; Orru, M; Crippa, D; Orlandi, R; Del, Zompo M M; Melis, G B&lt;/Author&gt;&lt;Year&gt;2001&lt;/Year&gt;&lt;Details&gt;&lt;_created&gt;65270792&lt;/_created&gt;&lt;_modified&gt;65270795&lt;/_modified&gt;&lt;_url&gt;http://www.ncbi.nlm.nih.gov/entrez/query.fcgi?cmd=Retrieve&amp;amp;db=pubmed&amp;amp;dopt=Abstract&amp;amp;list_uids=11158017&amp;amp;query_hl=1&lt;/_url&gt;&lt;_journal&gt;J Clin Endocrinol Metab&lt;/_journal&gt;&lt;_volume&gt;86&lt;/_volume&gt;&lt;_issue&gt;2&lt;/_issue&gt;&lt;_pages&gt;608-12&lt;/_pages&gt;&lt;_tertiary_title&gt;The Journal of clinical endocrinology and metabolism&lt;/_tertiary_title&gt;&lt;_doi&gt;10.1210/jcem.86.2.7179&lt;/_doi&gt;&lt;_date_display&gt;2001 Feb&lt;/_date_display&gt;&lt;_date&gt;53166240&lt;/_date&gt;&lt;_type_work&gt;Clinical Trial; Journal Article; Randomized Controlled Trial&lt;/_type_work&gt;&lt;_isbn&gt;0021-972X (Print); 0021-972X (Linking)&lt;/_isbn&gt;&lt;_accession_num&gt;11158017&lt;/_accession_num&gt;&lt;_subject_headings&gt;Adult; Androgen Antagonists/*therapeutic use; Anxiety; Area Under Curve; Cyproterone Acetate/*therapeutic use; Depression; Dopamine/*physiology; Estradiol/administration &amp;amp; dosage/*analogs &amp;amp; derivatives; *Estrogen Replacement Therapy; Female; Humans; Mental Disorders/*drug therapy/etiology; Middle Aged; Postmenopause/physiology/*psychology; Premenopause/physiology/psychology; Prolactin/blood/metabolism; Psychological Tests; Psychometrics; Reproducibility of Results; Sulpiride&lt;/_subject_headings&gt;&lt;_author_adr&gt;Clinica Ginecologica Ostetrica e di Fisiopatologia della Riproduzione Umana del  Dipartimento Chirurgico Materno-Infantile e di Scienze delle Immagini, Universita  degli Studi di Cagliari, 09124 Cagliari, Italy. paoletti@freemail.it&lt;/_author_adr&gt;&lt;_language&gt;eng&lt;/_language&gt;&lt;_accessed&gt;65270795&lt;/_accessed&gt;&lt;_db_updated&gt;PubMed&lt;/_db_updated&gt;&lt;_impact_factor&gt;   5.800&lt;/_impact_factor&gt;&lt;_social_category&gt;内分泌学与代谢(2)&lt;/_social_category&gt;&lt;_collection_scope&gt;SCIE&lt;/_collection_scope&gt;&lt;/Details&gt;&lt;Extra&gt;&lt;DBUID&gt;{B8A3A9EF-6025-4DFB-A35A-6562ACE07897}&lt;/DBUID&gt;&lt;/Extra&gt;&lt;/Item&gt;&lt;/References&gt;&lt;/Group&gt;&lt;Group&gt;&lt;References&gt;&lt;Item&gt;&lt;ID&gt;123977&lt;/ID&gt;&lt;UID&gt;{2C4BC47D-7088-4835-BF73-DF2355344358}&lt;/UID&gt;&lt;Title&gt;Estrogen replacement in perimenopause-related depression: A preliminary report&lt;/Title&gt;&lt;Template&gt;Journal Article&lt;/Template&gt;&lt;Star&gt;0&lt;/Star&gt;&lt;Tag&gt;0&lt;/Tag&gt;&lt;Author&gt;Schmidt, Peter J; Nieman, Lynnette; Danaceau, Merry A; Tobin, Marie B; Roca, Catherine A; Murphy, Jean H; Rubinow, David R&lt;/Author&gt;&lt;Year&gt;2000&lt;/Year&gt;&lt;Details&gt;&lt;_doi&gt;https://doi.org/10.1067/mob.2000.106004&lt;/_doi&gt;&lt;_created&gt;65270792&lt;/_created&gt;&lt;_modified&gt;65270796&lt;/_modified&gt;&lt;_url&gt;https://www.sciencedirect.com/science/article/pii/S0002937800199648&lt;/_url&gt;&lt;_journal&gt;American Journal of Obstetrics and Gynecology&lt;/_journal&gt;&lt;_volume&gt;183&lt;/_volume&gt;&lt;_issue&gt;2&lt;/_issue&gt;&lt;_pages&gt;414-420&lt;/_pages&gt;&lt;_date_display&gt;2000&lt;/_date_display&gt;&lt;_date&gt;52594560&lt;/_date&gt;&lt;_alternate_title&gt;American Journal of Obstetrics and Gynecology&lt;/_alternate_title&gt;&lt;_isbn&gt;0002-9378&lt;/_isbn&gt;&lt;_keywords&gt;Perimenopause; estrogen replacement therapy; depression; antidepressants&lt;/_keywords&gt;&lt;_accessed&gt;65270796&lt;/_accessed&gt;&lt;_db_updated&gt;ScienceDirect&lt;/_db_updated&gt;&lt;_impact_factor&gt;   9.800&lt;/_impact_factor&gt;&lt;_social_category&gt;妇产科学(1)&lt;/_social_category&gt;&lt;_collection_scope&gt;SCIE&lt;/_collection_scope&gt;&lt;/Details&gt;&lt;Extra&gt;&lt;DBUID&gt;{B8A3A9EF-6025-4DFB-A35A-6562ACE07897}&lt;/DBUID&gt;&lt;/Extra&gt;&lt;/Item&gt;&lt;/References&gt;&lt;/Group&gt;&lt;Group&gt;&lt;References&gt;&lt;Item&gt;&lt;ID&gt;123993&lt;/ID&gt;&lt;UID&gt;{7CCBC505-D4C2-41A9-9844-47801F57A4B7}&lt;/UID&gt;&lt;Title&gt;The effects of soy protein containing phytoestrogens on menopausal symptoms in postmenopausal women&lt;/Title&gt;&lt;Template&gt;Journal Article&lt;/Template&gt;&lt;Star&gt;0&lt;/Star&gt;&lt;Tag&gt;0&lt;/Tag&gt;&lt;Author&gt;Kotsopoulos, D; Dalais, F S; Liang, Y L; McGrath, B P; Teede, H J&lt;/Author&gt;&lt;Year&gt;2000&lt;/Year&gt;&lt;Details&gt;&lt;_created&gt;65270792&lt;/_created&gt;&lt;_modified&gt;65270797&lt;/_modified&gt;&lt;_url&gt;https://go.exlibris.link/z7b2N176&lt;/_url&gt;&lt;_place_published&gt;England&lt;/_place_published&gt;&lt;_journal&gt;Climacteric : the journal of the International Menopause Society&lt;/_journal&gt;&lt;_volume&gt;3&lt;/_volume&gt;&lt;_issue&gt;3&lt;/_issue&gt;&lt;_number&gt;1&lt;/_number&gt;&lt;_pages&gt;161-167&lt;/_pages&gt;&lt;_doi&gt;10.1080/13697130008500108&lt;/_doi&gt;&lt;_date_display&gt;2000&lt;/_date_display&gt;&lt;_date&gt;52594560&lt;/_date&gt;&lt;_isbn&gt;1369-7137&lt;/_isbn&gt;&lt;_ori_publication&gt;Informa UK Ltd&lt;/_ori_publication&gt;&lt;_keywords&gt;Aged; ALTERNATIVE THERAPY; Daidzein; Double-Blind Method; Endocrinology; Estrogens, Non-Steroidal - administration &amp;amp; dosage; Estrogens, Non-Steroidal - therapeutic use; Female; food and beverages; Genistein; Genistein - administration &amp;amp; dosage; Genistein - urine; Glycitein; Hirsutism - drug therapy; HOT FLUSHES; Humans; Internal medicine; Isoflavones; Isoflavones - administration &amp;amp; dosage; Isoflavones - urine; Libido; Menopause; Middle Aged; Physiology; PHYTOESTROGENS; Placebo; Placebos; Plant Preparations; Postmenopause; Skin Diseases - drug therapy; SOY PROTEIN; Soybean Proteins - administration &amp;amp; dosage; Soybean Proteins - therapeutic use; Surveys and Questionnaires; Treatment Outcome; Vaginal Diseases - drug therapy; VAGINAL DRYNESS&lt;/_keywords&gt;&lt;_accessed&gt;65270797&lt;/_accessed&gt;&lt;_db_updated&gt;PKU Search&lt;/_db_updated&gt;&lt;_impact_factor&gt;   2.800&lt;/_impact_factor&gt;&lt;_social_category&gt;妇产科学(4)&lt;/_social_category&gt;&lt;/Details&gt;&lt;Extra&gt;&lt;DBUID&gt;{B8A3A9EF-6025-4DFB-A35A-6562ACE07897}&lt;/DBUID&gt;&lt;/Extra&gt;&lt;/Item&gt;&lt;/References&gt;&lt;/Group&gt;&lt;Group&gt;&lt;References&gt;&lt;Item&gt;&lt;ID&gt;114417&lt;/ID&gt;&lt;UID&gt;{1FC48C50-23CB-4762-955F-65691984AF74}&lt;/UID&gt;&lt;Title&gt;A comparison of the effect of estrogen with or without progesterone on mood and  physical symptoms in postmenopausal women&lt;/Title&gt;&lt;Template&gt;Journal Article&lt;/Template&gt;&lt;Star&gt;0&lt;/Star&gt;&lt;Tag&gt;0&lt;/Tag&gt;&lt;Author&gt;Girdler, S S; O&amp;apos;Briant, C; Steege, J; Grewen, K; Light, K C&lt;/Author&gt;&lt;Year&gt;1999&lt;/Year&gt;&lt;Details&gt;&lt;_accessed&gt;64988580&lt;/_accessed&gt;&lt;_accession_num&gt;10839650&lt;/_accession_num&gt;&lt;_author_adr&gt;Department of Psychiatry, University of North Carolina at Chapel Hill,  27599-7175, USA.&lt;/_author_adr&gt;&lt;_created&gt;64988579&lt;/_created&gt;&lt;_custom1&gt;32&lt;/_custom1&gt;&lt;_date&gt;1999-06-01&lt;/_date&gt;&lt;_date_display&gt;1999 Jun&lt;/_date_display&gt;&lt;_db_updated&gt;PubMed&lt;/_db_updated&gt;&lt;_doi&gt;10.1089/jwh.1.1999.8.637&lt;/_doi&gt;&lt;_isbn&gt;1524-6094 (Print); 1524-6094 (Linking)&lt;/_isbn&gt;&lt;_issue&gt;5&lt;/_issue&gt;&lt;_journal&gt;J Womens Health Gend Based Med&lt;/_journal&gt;&lt;_language&gt;eng&lt;/_language&gt;&lt;_modified&gt;64988582&lt;/_modified&gt;&lt;_pages&gt;637-46&lt;/_pages&gt;&lt;_subject_headings&gt;Affect/*drug effects; *Estrogen Replacement Therapy; Estrogens/*pharmacology; Female; Humans; Middle Aged; Postmenopause/*drug effects; Progesterone/*pharmacology&lt;/_subject_headings&gt;&lt;_tertiary_title&gt;Journal of women&amp;apos;s health &amp;amp; gender-based medicine&lt;/_tertiary_title&gt;&lt;_type_work&gt;Clinical Trial; Journal Article; Randomized Controlled Trial; Research Support, U.S. Gov&amp;apos;t, P.H.S.&lt;/_type_work&gt;&lt;_url&gt;http://www.ncbi.nlm.nih.gov/entrez/query.fcgi?cmd=Retrieve&amp;amp;db=pubmed&amp;amp;dopt=Abstract&amp;amp;list_uids=10839650&amp;amp;query_hl=1&lt;/_url&gt;&lt;_volume&gt;8&lt;/_volume&gt;&lt;/Details&gt;&lt;Extra&gt;&lt;DBUID&gt;{B8A3A9EF-6025-4DFB-A35A-6562ACE07897}&lt;/DBUID&gt;&lt;/Extra&gt;&lt;/Item&gt;&lt;/References&gt;&lt;/Group&gt;&lt;Group&gt;&lt;References&gt;&lt;Item&gt;&lt;ID&gt;123960&lt;/ID&gt;&lt;UID&gt;{8FD993B6-8CDE-4930-924A-9BA0FB4CF3A1}&lt;/UID&gt;&lt;Title&gt;Estrogen therapy for depression in postmenopausal women&lt;/Title&gt;&lt;Template&gt;Journal Article&lt;/Template&gt;&lt;Star&gt;0&lt;/Star&gt;&lt;Tag&gt;0&lt;/Tag&gt;&lt;Author&gt;Carranza-Lira, S; Valentino-Figueroa, M L&lt;/Author&gt;&lt;Year&gt;1999&lt;/Year&gt;&lt;Details&gt;&lt;_created&gt;65270792&lt;/_created&gt;&lt;_modified&gt;65270795&lt;/_modified&gt;&lt;_url&gt;https://www.sciencedirect.com/science/article/pii/S002072929900017X&lt;/_url&gt;&lt;_journal&gt;International Journal of Gynecology &amp;amp; Obstetrics&lt;/_journal&gt;&lt;_volume&gt;65&lt;/_volume&gt;&lt;_issue&gt;1&lt;/_issue&gt;&lt;_pages&gt;35-38&lt;/_pages&gt;&lt;_doi&gt;https://doi.org/10.1016/S0020-7292(99)00017-X&lt;/_doi&gt;&lt;_date_display&gt;1999&lt;/_date_display&gt;&lt;_date&gt;52068960&lt;/_date&gt;&lt;_alternate_title&gt;International Journal of Gynecology &amp;amp; Obstetrics&lt;/_alternate_title&gt;&lt;_isbn&gt;0020-7292&lt;/_isbn&gt;&lt;_keywords&gt;Depressive mood; Postmenopause; Climactery; Estrogen replacement therapy; Conjugated equine estrogens&lt;/_keywords&gt;&lt;_accessed&gt;65270795&lt;/_accessed&gt;&lt;_db_updated&gt;ScienceDirect&lt;/_db_updated&gt;&lt;_impact_factor&gt;   3.800&lt;/_impact_factor&gt;&lt;_social_category&gt;妇产科学(4)&lt;/_social_category&gt;&lt;_collection_scope&gt;SCIE&lt;/_collection_scope&gt;&lt;/Details&gt;&lt;Extra&gt;&lt;DBUID&gt;{B8A3A9EF-6025-4DFB-A35A-6562ACE07897}&lt;/DBUID&gt;&lt;/Extra&gt;&lt;/Item&gt;&lt;/References&gt;&lt;/Group&gt;&lt;Group&gt;&lt;References&gt;&lt;Item&gt;&lt;ID&gt;123963&lt;/ID&gt;&lt;UID&gt;{EA976634-332C-4319-9600-AEE44E5730FE}&lt;/UID&gt;&lt;Title&gt;Combined versus Sequential Hormonal Replacement Therapy: A Double-Blind, Placebo-Controlled Study on Quality of Life-Related Outcome Measures&lt;/Title&gt;&lt;Template&gt;Journal Article&lt;/Template&gt;&lt;Star&gt;0&lt;/Star&gt;&lt;Tag&gt;0&lt;/Tag&gt;&lt;Author&gt;Bech, P; Munk-Jensen, N; Obel, E B; Ulrich, L G; Eiken, P; Nielsen, S Pors&lt;/Author&gt;&lt;Year&gt;1998&lt;/Year&gt;&lt;Details&gt;&lt;_created&gt;65270792&lt;/_created&gt;&lt;_modified&gt;65270795&lt;/_modified&gt;&lt;_url&gt;http://pku.summon.serialssolutions.com/2.0.0/link/0/eLvHCXMwtV1db9MwFLXYkBASQnxNKzCIQOItwXHipBbiYaBu07SxStteeImc2JaqsrRa2__PcZw4GagCHniJqsRy03uPr8917wchCYto-ItNwKZrDMtNxjU2bMHz0ohKUpMKWFFFbXLy9_Px2ZQdTfhpf8Tb3_uvisc9qN4m0v6D8v2kuIHPgACuAAGufwUDrHf4vmCVNvxis4JtsKHT61nTMuT2pjkHBAm3h-lNWMDVoMpAy1mng0QtV63JpW6tFk251_6cXbu2UtOo12I9D0913Z7yfPMPLkoXHDCJvvh71z9gkpsJzqLjqD-NcOl5-fA04jKySWw2X_nweGh2E5vE5_qCRtpZWvC4kCauzGZnil1njhZyKWTLh7a1LR3utmnmWkz8vgNw0YZMxoyNRb_N-eDDFCQTdot9sMXVb9SsWn_WdbhZ7ZD7tlWXbcBwEZ_47Rz-Vlvb0_2GtjwVvuej_5Y7pMbFtYLRzBtJ4JlthCZntkrro6VcYe0Z1zRlu1fTsJurJ-Rx65YEhw5AT8k9XT8jD87bwIvnJO9wFDgcBT2Ogg5HwQBHQYujF-T6aHL19SRse26EFaSyDg1nVBsBmmpyprBKjS04ySsNWq9NPo4NHAKlUlUKWmlV5bHKVCxjamSqZKmTPbJbL2q9TwKTVKmBzc9MBdKtszKJpVQJPFRLCzkfkXed0IqlK61SNC4pF4WX7IjsNeL0IzrtjchbJ1__ZDq9tIgE_UoLDrCMyPs_jCiWyozIp049fhywVCgwvWWR0VgxQ-MyYyrTZVWZUgsmczmGJyI13uLgjkb9FCDGaSZSvGWn4QJ22_4ZJ2u92KwKRuGYQKjbR4xdsVIKETho-MlFJpKEpy-3yeYVedivzddkd3270QdkZznfvGmw_RNt3r54&lt;/_url&gt;&lt;_place_published&gt;Basel, Switzerland&lt;/_place_published&gt;&lt;_journal&gt;Psychotherapy and psychosomatics&lt;/_journal&gt;&lt;_volume&gt;67&lt;/_volume&gt;&lt;_issue&gt;4/5&lt;/_issue&gt;&lt;_number&gt;1&lt;/_number&gt;&lt;_pages&gt;259-265&lt;/_pages&gt;&lt;_doi&gt;10.1159/000012289&lt;/_doi&gt;&lt;_date_display&gt;1998&lt;/_date_display&gt;&lt;_date&gt;51543360&lt;/_date&gt;&lt;_isbn&gt;0033-3190&lt;/_isbn&gt;&lt;_ori_publication&gt;S. Karger AG&lt;/_ori_publication&gt;&lt;_keywords&gt;Analysis of Variance; Biological and medical sciences; Chemotherapy; Denmark; Double-Blind Method; Drug Administration Schedule; Drug Therapy, Combination; Estradiol - administration &amp;amp; dosage; Estrogen; Estrogen Replacement Therapy - methods; Estrogen Replacement Therapy - standards; Female; Health Status; Health Surveys; Hormones. Endocrine system; Humans; Internal medicine; Medical sciences; Menopause; Menopause - drug effects; Menopause - psychology; Middle Aged; Norethindrone - administration &amp;amp; dosage; Norethisterone; Norethisterone acetate; Pharmacology. Drug treatments; Placebo; Placebo-controlled study; Progesterone Congeners - administration &amp;amp; dosage; Prospective Studies; Quality of Life; Regular Article; Severity of Illness Index; Surgery; Treatment Outcome&lt;/_keywords&gt;&lt;_accessed&gt;65270795&lt;/_accessed&gt;&lt;_db_updated&gt;PKU Search&lt;/_db_updated&gt;&lt;_impact_factor&gt;  22.800&lt;/_impact_factor&gt;&lt;_social_category&gt;精神病学(1) &amp;amp; 心理学(1)&lt;/_social_category&gt;&lt;_collection_scope&gt;SSCI;SCIE&lt;/_collection_scope&gt;&lt;/Details&gt;&lt;Extra&gt;&lt;DBUID&gt;{B8A3A9EF-6025-4DFB-A35A-6562ACE07897}&lt;/DBUID&gt;&lt;/Extra&gt;&lt;/Item&gt;&lt;/References&gt;&lt;/Group&gt;&lt;Group&gt;&lt;References&gt;&lt;Item&gt;&lt;ID&gt;123968&lt;/ID&gt;&lt;UID&gt;{3E876B71-FBEA-4E44-BD22-C50061AEA81B}&lt;/UID&gt;&lt;Title&gt;Hormonal treatment and psychological function during the menopausal transition:  an evaluation of the effects of conjugated estrogens/cyclic medroxyprogesterone  acetate&lt;/Title&gt;&lt;Template&gt;Journal Article&lt;/Template&gt;&lt;Star&gt;0&lt;/Star&gt;&lt;Tag&gt;0&lt;/Tag&gt;&lt;Author&gt;Khoo, S K; Coglan, M; Battistutta, D; Tippett, V; Raphael, B&lt;/Author&gt;&lt;Year&gt;1998&lt;/Year&gt;&lt;Details&gt;&lt;_created&gt;65270792&lt;/_created&gt;&lt;_modified&gt;65270812&lt;/_modified&gt;&lt;_accessed&gt;65270812&lt;/_accessed&gt;&lt;_url&gt;http://www.ncbi.nlm.nih.gov/entrez/query.fcgi?cmd=Retrieve&amp;amp;db=pubmed&amp;amp;dopt=Abstract&amp;amp;list_uids=11907928&amp;amp;query_hl=1&lt;/_url&gt;&lt;_journal&gt;Climacteric&lt;/_journal&gt;&lt;_volume&gt;1&lt;/_volume&gt;&lt;_issue&gt;1&lt;/_issue&gt;&lt;_pages&gt;55-62&lt;/_pages&gt;&lt;_tertiary_title&gt;Climacteric : the journal of the International Menopause Society&lt;/_tertiary_title&gt;&lt;_doi&gt;10.3109/13697139809080682&lt;/_doi&gt;&lt;_date_display&gt;1998 Mar&lt;/_date_display&gt;&lt;_date&gt;51628320&lt;/_date&gt;&lt;_type_work&gt;Clinical Trial; Journal Article; Randomized Controlled Trial; Research Support, Non-U.S. Gov&amp;apos;t&lt;/_type_work&gt;&lt;_isbn&gt;1369-7137 (Print); 1369-7137 (Linking)&lt;/_isbn&gt;&lt;_accession_num&gt;11907928&lt;/_accession_num&gt;&lt;_subject_headings&gt;Adult; Anxiety/drug therapy; Depression/drug therapy; *Estrogen Replacement Therapy; Estrogens, Conjugated (USP)/administration &amp;amp; dosage/*therapeutic use; Female; Humans; Medroxyprogesterone Acetate/administration &amp;amp; dosage/*therapeutic use; Menopause/*psychology; Middle Aged; Patient Dropouts; Placebos; Surveys and Questionnaires&lt;/_subject_headings&gt;&lt;_author_adr&gt;University of Queensland, Department of Obstetrics and Gynaecology, Australia.&lt;/_author_adr&gt;&lt;_language&gt;eng&lt;/_language&gt;&lt;_db_updated&gt;PubMed&lt;/_db_updated&gt;&lt;_impact_factor&gt;   2.800&lt;/_impact_factor&gt;&lt;_social_category&gt;妇产科学(4)&lt;/_social_category&gt;&lt;_collection_scope&gt;SCIE&lt;/_collection_scope&gt;&lt;/Details&gt;&lt;Extra&gt;&lt;DBUID&gt;{B8A3A9EF-6025-4DFB-A35A-6562ACE07897}&lt;/DBUID&gt;&lt;/Extra&gt;&lt;/Item&gt;&lt;/References&gt;&lt;/Group&gt;&lt;Group&gt;&lt;References&gt;&lt;Item&gt;&lt;ID&gt;123969&lt;/ID&gt;&lt;UID&gt;{7A0F2DA1-49AA-476B-894B-BD1E94932F42}&lt;/UID&gt;&lt;Title&gt;Psychological effects of continuation versus discontinuation of hormone  replacement therapy by estrogen implants: a placebo-controlled study&lt;/Title&gt;&lt;Template&gt;Journal Article&lt;/Template&gt;&lt;Star&gt;0&lt;/Star&gt;&lt;Tag&gt;0&lt;/Tag&gt;&lt;Author&gt;Pearce, J; Hawton, K; Blake, F; Barlow, D; Rees, M; Fagg, J; Keenan, J&lt;/Author&gt;&lt;Year&gt;1997&lt;/Year&gt;&lt;Details&gt;&lt;_created&gt;65270792&lt;/_created&gt;&lt;_modified&gt;65270795&lt;/_modified&gt;&lt;_url&gt;http://www.ncbi.nlm.nih.gov/entrez/query.fcgi?cmd=Retrieve&amp;amp;db=pubmed&amp;amp;dopt=Abstract&amp;amp;list_uids=9076645&amp;amp;query_hl=1&lt;/_url&gt;&lt;_journal&gt;J Psychosom Res&lt;/_journal&gt;&lt;_volume&gt;42&lt;/_volume&gt;&lt;_issue&gt;2&lt;/_issue&gt;&lt;_pages&gt;177-86&lt;/_pages&gt;&lt;_tertiary_title&gt;Journal of psychosomatic research&lt;/_tertiary_title&gt;&lt;_doi&gt;10.1016/s0022-3999(96)00265-6&lt;/_doi&gt;&lt;_date_display&gt;1997 Feb&lt;/_date_display&gt;&lt;_date&gt;51062400&lt;/_date&gt;&lt;_type_work&gt;Clinical Trial; Journal Article; Randomized Controlled Trial; Research Support, Non-U.S. Gov&amp;apos;t&lt;/_type_work&gt;&lt;_isbn&gt;0022-3999 (Print); 0022-3999 (Linking)&lt;/_isbn&gt;&lt;_accession_num&gt;9076645&lt;/_accession_num&gt;&lt;_subject_headings&gt;Adult; Climacteric/drug effects/*psychology; Drug Implants; Estradiol/administration &amp;amp; dosage; Estrogen Replacement Therapy/*psychology; Female; Humans; Male; Middle Aged; *Patient Acceptance of Health Care&lt;/_subject_headings&gt;&lt;_author_adr&gt;University Department of Psychiatry, Warneford Hospital, Oxford, UK.&lt;/_author_adr&gt;&lt;_language&gt;eng&lt;/_language&gt;&lt;_accessed&gt;65270795&lt;/_accessed&gt;&lt;_db_updated&gt;PubMed&lt;/_db_updated&gt;&lt;_impact_factor&gt;   4.700&lt;/_impact_factor&gt;&lt;_social_category&gt;精神病学(3)&lt;/_social_category&gt;&lt;_collection_scope&gt;SSCI;SCIE&lt;/_collection_scope&gt;&lt;/Details&gt;&lt;Extra&gt;&lt;DBUID&gt;{B8A3A9EF-6025-4DFB-A35A-6562ACE07897}&lt;/DBUID&gt;&lt;/Extra&gt;&lt;/Item&gt;&lt;/References&gt;&lt;/Group&gt;&lt;Group&gt;&lt;References&gt;&lt;Item&gt;&lt;ID&gt;123951&lt;/ID&gt;&lt;UID&gt;{CEB3D3E1-38D5-47A1-AAC3-588C3E370CBE}&lt;/UID&gt;&lt;Title&gt;Hormone replacement therapy, sleep quality and psychological wellbeing&lt;/Title&gt;&lt;Template&gt;Journal Article&lt;/Template&gt;&lt;Star&gt;0&lt;/Star&gt;&lt;Tag&gt;0&lt;/Tag&gt;&lt;Author&gt;Purdie, D W; Empson, J A C; Crichton, C; MacDonald, L&lt;/Author&gt;&lt;Year&gt;1996&lt;/Year&gt;&lt;Details&gt;&lt;_created&gt;65270792&lt;/_created&gt;&lt;_modified&gt;65270794&lt;/_modified&gt;&lt;_url&gt;https://www.sciencedirect.com/science/article/pii/0378512295281959&lt;/_url&gt;&lt;_journal&gt;Maturitas&lt;/_journal&gt;&lt;_volume&gt;24&lt;/_volume&gt;&lt;_issue&gt;1&lt;/_issue&gt;&lt;_pages&gt;120&lt;/_pages&gt;&lt;_doi&gt;https://doi.org/10.1016/0378-5122(95)28195-9&lt;/_doi&gt;&lt;_date_display&gt;1996&lt;/_date_display&gt;&lt;_date&gt;50490720&lt;/_date&gt;&lt;_alternate_title&gt;Maturitas&lt;/_alternate_title&gt;&lt;_isbn&gt;0378-5122&lt;/_isbn&gt;&lt;_accessed&gt;65270794&lt;/_accessed&gt;&lt;_db_updated&gt;ScienceDirect&lt;/_db_updated&gt;&lt;_impact_factor&gt;   4.900&lt;/_impact_factor&gt;&lt;_social_category&gt;老年医学(3) &amp;amp; 妇产科学(3)&lt;/_social_category&gt;&lt;_collection_scope&gt;SCIE&lt;/_collection_scope&gt;&lt;/Details&gt;&lt;Extra&gt;&lt;DBUID&gt;{B8A3A9EF-6025-4DFB-A35A-6562ACE07897}&lt;/DBUID&gt;&lt;/Extra&gt;&lt;/Item&gt;&lt;/References&gt;&lt;/Group&gt;&lt;Group&gt;&lt;References&gt;&lt;Item&gt;&lt;ID&gt;123992&lt;/ID&gt;&lt;UID&gt;{5D47D2BA-F445-4DE3-BC1B-D5A3DD713D20}&lt;/UID&gt;&lt;Title&gt;Double-blind, placebo-controlled, hormonal, syndromal and EEG mapping studies  with transdermal oestradiol therapy in menopausal depression&lt;/Title&gt;&lt;Template&gt;Journal Article&lt;/Template&gt;&lt;Star&gt;0&lt;/Star&gt;&lt;Tag&gt;0&lt;/Tag&gt;&lt;Author&gt;Saletu, B; Brandstatter, N; Metka, M; Stamenkovic, M; Anderer, P; Semlitsch, H V; Heytmanek, G; Huber, J; Grunberger, J; Linzmayer, L; Et, Al.&lt;/Author&gt;&lt;Year&gt;1995&lt;/Year&gt;&lt;Details&gt;&lt;_created&gt;65270792&lt;/_created&gt;&lt;_modified&gt;65270797&lt;/_modified&gt;&lt;_url&gt;http://www.ncbi.nlm.nih.gov/entrez/query.fcgi?cmd=Retrieve&amp;amp;db=pubmed&amp;amp;dopt=Abstract&amp;amp;list_uids=8657828&amp;amp;query_hl=1&lt;/_url&gt;&lt;_journal&gt;Psychopharmacology (Berl)&lt;/_journal&gt;&lt;_volume&gt;122&lt;/_volume&gt;&lt;_issue&gt;4&lt;/_issue&gt;&lt;_pages&gt;321-9&lt;/_pages&gt;&lt;_tertiary_title&gt;Psychopharmacology&lt;/_tertiary_title&gt;&lt;_doi&gt;10.1007/BF02246261&lt;/_doi&gt;&lt;_date_display&gt;1995 Dec&lt;/_date_display&gt;&lt;_date&gt;50446080&lt;/_date&gt;&lt;_type_work&gt;Clinical Trial; Journal Article; Randomized Controlled Trial&lt;/_type_work&gt;&lt;_isbn&gt;0033-3158 (Print); 0033-3158 (Linking)&lt;/_isbn&gt;&lt;_accession_num&gt;8657828&lt;/_accession_num&gt;&lt;_subject_headings&gt;Administration, Cutaneous; Brain Mapping; Delayed-Action Preparations; Depression/*drug therapy/etiology; Double-Blind Method; Electroencephalography/drug effects; Estradiol/administration &amp;amp; dosage/adverse effects/*therapeutic use; *Estrogen Replacement Therapy; Female; Follicle Stimulating Hormone/biosynthesis; Humans; Middle Aged; Multivariate Analysis; Postmenopause/*drug effects&lt;/_subject_headings&gt;&lt;_author_adr&gt;Department of Psychiatry, University of Vienna, Austria.&lt;/_author_adr&gt;&lt;_language&gt;eng&lt;/_language&gt;&lt;_accessed&gt;65270797&lt;/_accessed&gt;&lt;_db_updated&gt;PubMed&lt;/_db_updated&gt;&lt;_impact_factor&gt;   3.400&lt;/_impact_factor&gt;&lt;_social_category&gt;神经科学(3) &amp;amp; 药学(2) &amp;amp; 精神病学(3)&lt;/_social_category&gt;&lt;_collection_scope&gt;SCIE&lt;/_collection_scope&gt;&lt;/Details&gt;&lt;Extra&gt;&lt;DBUID&gt;{B8A3A9EF-6025-4DFB-A35A-6562ACE07897}&lt;/DBUID&gt;&lt;/Extra&gt;&lt;/Item&gt;&lt;/References&gt;&lt;/Group&gt;&lt;Group&gt;&lt;References&gt;&lt;Item&gt;&lt;ID&gt;123996&lt;/ID&gt;&lt;UID&gt;{99E82260-F0C4-4514-8005-659F4543D8AE}&lt;/UID&gt;&lt;Title&gt;Quality of life of postmenopausal women on a regimen of transdermal estradiol therapy: A double-blind placebo-controlled study&lt;/Title&gt;&lt;Template&gt;Journal Article&lt;/Template&gt;&lt;Star&gt;0&lt;/Star&gt;&lt;Tag&gt;0&lt;/Tag&gt;&lt;Author&gt;Wiklund, Ingela; Karlberg, Johan; Mattsson, Lars-?ke&lt;/Author&gt;&lt;Year&gt;1993&lt;/Year&gt;&lt;Details&gt;&lt;_created&gt;65270792&lt;/_created&gt;&lt;_modified&gt;65270797&lt;/_modified&gt;&lt;_url&gt;https://www.sciencedirect.com/science/article/pii/S0002937812908285&lt;/_url&gt;&lt;_journal&gt;American Journal of Obstetrics and Gynecology&lt;/_journal&gt;&lt;_volume&gt;168&lt;/_volume&gt;&lt;_issue&gt;3, Part 1&lt;/_issue&gt;&lt;_pages&gt;824-830&lt;/_pages&gt;&lt;_doi&gt;https://doi.org/10.1016/S0002-9378(12)90828-5&lt;/_doi&gt;&lt;_date_display&gt;1993&lt;/_date_display&gt;&lt;_date&gt;48913920&lt;/_date&gt;&lt;_alternate_title&gt;American Journal of Obstetrics and Gynecology&lt;/_alternate_title&gt;&lt;_isbn&gt;0002-9378&lt;/_isbn&gt;&lt;_keywords&gt;Quality of life; estradiol therapy; climacteric complaints&lt;/_keywords&gt;&lt;_accessed&gt;65270797&lt;/_accessed&gt;&lt;_db_updated&gt;ScienceDirect&lt;/_db_updated&gt;&lt;_impact_factor&gt;   9.800&lt;/_impact_factor&gt;&lt;_social_category&gt;妇产科学(1)&lt;/_social_category&gt;&lt;_collection_scope&gt;SCIE&lt;/_collection_scope&gt;&lt;/Details&gt;&lt;Extra&gt;&lt;DBUID&gt;{B8A3A9EF-6025-4DFB-A35A-6562ACE07897}&lt;/DBUID&gt;&lt;/Extra&gt;&lt;/Item&gt;&lt;/References&gt;&lt;/Group&gt;&lt;Group&gt;&lt;References&gt;&lt;Item&gt;&lt;ID&gt;123934&lt;/ID&gt;&lt;UID&gt;{05843AFB-DA9C-428C-BE3C-B75E884D6B82}&lt;/UID&gt;&lt;Title&gt;Menopause, medroxyprogesterone and breathing during sleep&lt;/Title&gt;&lt;Template&gt;Journal Article&lt;/Template&gt;&lt;Star&gt;0&lt;/Star&gt;&lt;Tag&gt;0&lt;/Tag&gt;&lt;Author&gt;Block, A J; Wynne, J W; Boysen, P G; Lindsey, S; Martin, C; Cantor, B&lt;/Author&gt;&lt;Year&gt;1981&lt;/Year&gt;&lt;Details&gt;&lt;_created&gt;65270792&lt;/_created&gt;&lt;_modified&gt;65270812&lt;/_modified&gt;&lt;_accessed&gt;65270812&lt;/_accessed&gt;&lt;_url&gt;http://www.ncbi.nlm.nih.gov/entrez/query.fcgi?cmd=Retrieve&amp;amp;db=pubmed&amp;amp;dopt=Abstract&amp;amp;list_uids=7211892&amp;amp;query_hl=1&lt;/_url&gt;&lt;_journal&gt;Am J Med&lt;/_journal&gt;&lt;_volume&gt;70&lt;/_volume&gt;&lt;_issue&gt;3&lt;/_issue&gt;&lt;_pages&gt;506-10&lt;/_pages&gt;&lt;_tertiary_title&gt;The American journal of medicine&lt;/_tertiary_title&gt;&lt;_doi&gt;10.1016/0002-9343(81)90572-6&lt;/_doi&gt;&lt;_date_display&gt;1981 Mar&lt;/_date_display&gt;&lt;_date&gt;42687360&lt;/_date&gt;&lt;_type_work&gt;Clinical Trial; Journal Article; Randomized Controlled Trial; Research Support, Non-U.S. Gov&amp;apos;t; Research Support, U.S. Gov&amp;apos;t, Non-P.H.S.; Research Support, U.S. Gov&amp;apos;t, P.H.S.&lt;/_type_work&gt;&lt;_isbn&gt;0002-9343 (Print); 0002-9343 (Linking)&lt;/_isbn&gt;&lt;_accession_num&gt;7211892&lt;/_accession_num&gt;&lt;_keywords&gt;*Age Factors; Contraception; Contraceptive Agents, Female--side effects; Contraceptive Agents, Progestin--side effects; Contraceptive Agents--side effects; Demographic Factors; *Double-blind Studies; Family Planning; *Incidence; Measurement; *Medroxyprogesterone Acetate--side effects; Men; *Menopause; Population; Population Characteristics; Progesterone; Reproduction; Research Methodology; Studies&lt;/_keywords&gt;&lt;_subject_headings&gt;Adult; Age Factors; Aged; Double-Blind Method; Electroencephalography; Female; Humans; Medroxyprogesterone/*pharmacology; *Menopause; Middle Aged; Oxygen/blood; Placebos; Progesterone/physiology; Random Allocation; Sleep Apnea Syndromes/*etiology&lt;/_subject_headings&gt;&lt;_language&gt;eng&lt;/_language&gt;&lt;_db_updated&gt;PubMed&lt;/_db_updated&gt;&lt;_impact_factor&gt;   5.900&lt;/_impact_factor&gt;&lt;_social_category&gt;医学：内科(2)&lt;/_social_category&gt;&lt;_collection_scope&gt;SCIE&lt;/_collection_scope&gt;&lt;/Details&gt;&lt;Extra&gt;&lt;DBUID&gt;{B8A3A9EF-6025-4DFB-A35A-6562ACE07897}&lt;/DBUID&gt;&lt;/Extra&gt;&lt;/Item&gt;&lt;/References&gt;&lt;/Group&gt;&lt;/Citation&gt;_x000a_"/>
    <w:docVar w:name="NE.Ref{4D6E0A2C-5CF2-43CB-9A58-EFEC36858251}" w:val="NE.Data.1{4D6E0A2C-5CF2-43CB-9A58-EFEC36858251}=NE.Data.2{4D6E0A2C-5CF2-43CB-9A58-EFEC36858251}"/>
    <w:docVar w:name="ne_docsoft" w:val="MSWord"/>
    <w:docVar w:name="ne_docversion" w:val="NoteExpress 2.0"/>
    <w:docVar w:name="ne_stylename" w:val="Transl Psychiatry"/>
  </w:docVars>
  <w:rsids>
    <w:rsidRoot w:val="00172A27"/>
    <w:rsid w:val="013B14F3"/>
    <w:rsid w:val="01D12D9D"/>
    <w:rsid w:val="023F66B6"/>
    <w:rsid w:val="02B84352"/>
    <w:rsid w:val="02CE6244"/>
    <w:rsid w:val="03036E8B"/>
    <w:rsid w:val="035C5539"/>
    <w:rsid w:val="038325D2"/>
    <w:rsid w:val="03D71CDD"/>
    <w:rsid w:val="03DD4D50"/>
    <w:rsid w:val="051D7B77"/>
    <w:rsid w:val="0538101B"/>
    <w:rsid w:val="05BF74F0"/>
    <w:rsid w:val="05CE1277"/>
    <w:rsid w:val="06564D50"/>
    <w:rsid w:val="073256DB"/>
    <w:rsid w:val="075F704E"/>
    <w:rsid w:val="07B13BB2"/>
    <w:rsid w:val="07E728EB"/>
    <w:rsid w:val="08600B65"/>
    <w:rsid w:val="0961052E"/>
    <w:rsid w:val="09824989"/>
    <w:rsid w:val="09C3197A"/>
    <w:rsid w:val="0B2527F9"/>
    <w:rsid w:val="0CC23647"/>
    <w:rsid w:val="0D594C84"/>
    <w:rsid w:val="0E6A54A7"/>
    <w:rsid w:val="0EE3079E"/>
    <w:rsid w:val="0EE546A2"/>
    <w:rsid w:val="0F0C0CCA"/>
    <w:rsid w:val="0F674177"/>
    <w:rsid w:val="0FAD34CB"/>
    <w:rsid w:val="1055541B"/>
    <w:rsid w:val="108654B0"/>
    <w:rsid w:val="10A87B1C"/>
    <w:rsid w:val="10C2209D"/>
    <w:rsid w:val="11220D87"/>
    <w:rsid w:val="119575C2"/>
    <w:rsid w:val="11F835EF"/>
    <w:rsid w:val="12CD48F1"/>
    <w:rsid w:val="135543E9"/>
    <w:rsid w:val="13827BBF"/>
    <w:rsid w:val="13E27EE6"/>
    <w:rsid w:val="141E0668"/>
    <w:rsid w:val="14F061AE"/>
    <w:rsid w:val="15F464B7"/>
    <w:rsid w:val="16345328"/>
    <w:rsid w:val="171B2DF6"/>
    <w:rsid w:val="17901657"/>
    <w:rsid w:val="17FD699F"/>
    <w:rsid w:val="17FE5302"/>
    <w:rsid w:val="18296119"/>
    <w:rsid w:val="18B11FFB"/>
    <w:rsid w:val="193261D5"/>
    <w:rsid w:val="1A642549"/>
    <w:rsid w:val="1ABA36E3"/>
    <w:rsid w:val="1AD32C6B"/>
    <w:rsid w:val="1B7A328F"/>
    <w:rsid w:val="1BD5341B"/>
    <w:rsid w:val="1C2453B2"/>
    <w:rsid w:val="1D2A0AC0"/>
    <w:rsid w:val="1DA33F55"/>
    <w:rsid w:val="1DE67BE0"/>
    <w:rsid w:val="1EA92A4B"/>
    <w:rsid w:val="1EDD3339"/>
    <w:rsid w:val="1EF124FF"/>
    <w:rsid w:val="1F557880"/>
    <w:rsid w:val="1F8B5F55"/>
    <w:rsid w:val="1F9D39D1"/>
    <w:rsid w:val="210B41D8"/>
    <w:rsid w:val="21461E98"/>
    <w:rsid w:val="215E711D"/>
    <w:rsid w:val="218E68BA"/>
    <w:rsid w:val="22063681"/>
    <w:rsid w:val="22066450"/>
    <w:rsid w:val="22BB466F"/>
    <w:rsid w:val="233E3859"/>
    <w:rsid w:val="238337F6"/>
    <w:rsid w:val="23A734CA"/>
    <w:rsid w:val="23FA7FD8"/>
    <w:rsid w:val="24BA68C7"/>
    <w:rsid w:val="24E8008F"/>
    <w:rsid w:val="24F609FE"/>
    <w:rsid w:val="25712920"/>
    <w:rsid w:val="268A657C"/>
    <w:rsid w:val="27264C48"/>
    <w:rsid w:val="2799071E"/>
    <w:rsid w:val="27C30A31"/>
    <w:rsid w:val="285D7CED"/>
    <w:rsid w:val="28C1005C"/>
    <w:rsid w:val="28CB3DD6"/>
    <w:rsid w:val="28D252DE"/>
    <w:rsid w:val="291177E2"/>
    <w:rsid w:val="293538DF"/>
    <w:rsid w:val="2A293624"/>
    <w:rsid w:val="2AE321E1"/>
    <w:rsid w:val="2B1F7C62"/>
    <w:rsid w:val="2E00000F"/>
    <w:rsid w:val="2F6C1298"/>
    <w:rsid w:val="2F6C61BC"/>
    <w:rsid w:val="2F7C5FA4"/>
    <w:rsid w:val="30053097"/>
    <w:rsid w:val="301A5E71"/>
    <w:rsid w:val="311A2C89"/>
    <w:rsid w:val="317C04DD"/>
    <w:rsid w:val="31E602A8"/>
    <w:rsid w:val="323A4094"/>
    <w:rsid w:val="327E7EE2"/>
    <w:rsid w:val="32EF24C6"/>
    <w:rsid w:val="336620BE"/>
    <w:rsid w:val="348D04A0"/>
    <w:rsid w:val="357B1487"/>
    <w:rsid w:val="378A5DAD"/>
    <w:rsid w:val="37AA32A3"/>
    <w:rsid w:val="37DA41AF"/>
    <w:rsid w:val="380073A3"/>
    <w:rsid w:val="38912AC0"/>
    <w:rsid w:val="39053799"/>
    <w:rsid w:val="39201527"/>
    <w:rsid w:val="396B4F6D"/>
    <w:rsid w:val="399E5B5F"/>
    <w:rsid w:val="3A017592"/>
    <w:rsid w:val="3A4B3E41"/>
    <w:rsid w:val="3AA90A76"/>
    <w:rsid w:val="3AAB7DDB"/>
    <w:rsid w:val="3B287FE6"/>
    <w:rsid w:val="3BC82016"/>
    <w:rsid w:val="3C1A367B"/>
    <w:rsid w:val="3C3C13BC"/>
    <w:rsid w:val="3CA036B8"/>
    <w:rsid w:val="3D2B37D0"/>
    <w:rsid w:val="3D557CEA"/>
    <w:rsid w:val="3D65451B"/>
    <w:rsid w:val="3DAE3831"/>
    <w:rsid w:val="3E930198"/>
    <w:rsid w:val="3EDC3FC1"/>
    <w:rsid w:val="3F4D48F0"/>
    <w:rsid w:val="3FC136F5"/>
    <w:rsid w:val="40377B31"/>
    <w:rsid w:val="41052A7E"/>
    <w:rsid w:val="42422325"/>
    <w:rsid w:val="426C7777"/>
    <w:rsid w:val="430B26E7"/>
    <w:rsid w:val="43D61CCF"/>
    <w:rsid w:val="441D3743"/>
    <w:rsid w:val="452C036C"/>
    <w:rsid w:val="45DC7682"/>
    <w:rsid w:val="46332A8E"/>
    <w:rsid w:val="46776944"/>
    <w:rsid w:val="47645CA5"/>
    <w:rsid w:val="48096345"/>
    <w:rsid w:val="480D7C89"/>
    <w:rsid w:val="481A48EC"/>
    <w:rsid w:val="4931055C"/>
    <w:rsid w:val="49DF572A"/>
    <w:rsid w:val="4AAC3789"/>
    <w:rsid w:val="4B002162"/>
    <w:rsid w:val="4B1B2BC1"/>
    <w:rsid w:val="4B751338"/>
    <w:rsid w:val="4BBA1E00"/>
    <w:rsid w:val="4BEE4647"/>
    <w:rsid w:val="4C257DDB"/>
    <w:rsid w:val="4C5A2F9E"/>
    <w:rsid w:val="4D756484"/>
    <w:rsid w:val="4DD95DDC"/>
    <w:rsid w:val="4ED20DB0"/>
    <w:rsid w:val="4EF16367"/>
    <w:rsid w:val="4F72345F"/>
    <w:rsid w:val="4FAE4711"/>
    <w:rsid w:val="50834F8C"/>
    <w:rsid w:val="50C852DC"/>
    <w:rsid w:val="5182450A"/>
    <w:rsid w:val="51911A31"/>
    <w:rsid w:val="51992ADE"/>
    <w:rsid w:val="55C7591B"/>
    <w:rsid w:val="56CC0C14"/>
    <w:rsid w:val="578063ED"/>
    <w:rsid w:val="59673A8D"/>
    <w:rsid w:val="596A0A97"/>
    <w:rsid w:val="59B76BFD"/>
    <w:rsid w:val="5A6A128B"/>
    <w:rsid w:val="5AC660C9"/>
    <w:rsid w:val="5B0510A5"/>
    <w:rsid w:val="5B1C392B"/>
    <w:rsid w:val="5B950EA3"/>
    <w:rsid w:val="5BA45F9E"/>
    <w:rsid w:val="5C096195"/>
    <w:rsid w:val="5CE47C3F"/>
    <w:rsid w:val="5DA73CC8"/>
    <w:rsid w:val="5E190D62"/>
    <w:rsid w:val="5E3B18C4"/>
    <w:rsid w:val="5EC130D7"/>
    <w:rsid w:val="5ED30B2C"/>
    <w:rsid w:val="5F265461"/>
    <w:rsid w:val="5FD35A93"/>
    <w:rsid w:val="611B436B"/>
    <w:rsid w:val="614B38A4"/>
    <w:rsid w:val="615D0E1D"/>
    <w:rsid w:val="61927223"/>
    <w:rsid w:val="62BB5122"/>
    <w:rsid w:val="62C4471E"/>
    <w:rsid w:val="63156977"/>
    <w:rsid w:val="64FA5B16"/>
    <w:rsid w:val="67BF4EFB"/>
    <w:rsid w:val="67DE490E"/>
    <w:rsid w:val="6866774C"/>
    <w:rsid w:val="687E0F07"/>
    <w:rsid w:val="68A22F3D"/>
    <w:rsid w:val="695F0D3D"/>
    <w:rsid w:val="6C150D09"/>
    <w:rsid w:val="6C29138C"/>
    <w:rsid w:val="6C5555D7"/>
    <w:rsid w:val="6C751E94"/>
    <w:rsid w:val="6CCB26DE"/>
    <w:rsid w:val="6EA950A4"/>
    <w:rsid w:val="6FED24B6"/>
    <w:rsid w:val="70B34465"/>
    <w:rsid w:val="72012CBA"/>
    <w:rsid w:val="72D60AF4"/>
    <w:rsid w:val="738505EC"/>
    <w:rsid w:val="73D438F3"/>
    <w:rsid w:val="74343278"/>
    <w:rsid w:val="75783F88"/>
    <w:rsid w:val="75D0399E"/>
    <w:rsid w:val="766A1C7F"/>
    <w:rsid w:val="768B4C20"/>
    <w:rsid w:val="77F7266A"/>
    <w:rsid w:val="787B4617"/>
    <w:rsid w:val="7995470F"/>
    <w:rsid w:val="7A3E3B4E"/>
    <w:rsid w:val="7A5B534E"/>
    <w:rsid w:val="7A6F1F5A"/>
    <w:rsid w:val="7CF61DA5"/>
    <w:rsid w:val="7D425704"/>
    <w:rsid w:val="7DB2304A"/>
    <w:rsid w:val="7E3C33CE"/>
    <w:rsid w:val="7EFF5690"/>
    <w:rsid w:val="7F565D15"/>
    <w:rsid w:val="7F622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Lines="0" w:beforeAutospacing="0" w:after="50" w:afterLines="50" w:afterAutospacing="0" w:line="413" w:lineRule="auto"/>
      <w:jc w:val="center"/>
      <w:outlineLvl w:val="2"/>
    </w:pPr>
    <w:rPr>
      <w:rFonts w:ascii="Times New Roman" w:hAnsi="Times New Roman" w:eastAsia="宋体"/>
      <w:b/>
      <w:sz w:val="32"/>
    </w:rPr>
  </w:style>
  <w:style w:type="paragraph" w:styleId="5">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6">
    <w:name w:val="toc 3"/>
    <w:basedOn w:val="1"/>
    <w:next w:val="1"/>
    <w:autoRedefine/>
    <w:qFormat/>
    <w:uiPriority w:val="0"/>
    <w:pPr>
      <w:spacing w:line="360" w:lineRule="auto"/>
      <w:ind w:left="567" w:leftChars="0"/>
    </w:pPr>
    <w:rPr>
      <w:rFonts w:eastAsia="Times New Roman Uni" w:asciiTheme="minorAscii" w:hAnsiTheme="minorAscii"/>
      <w:sz w:val="28"/>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rPr>
      <w:b/>
      <w:bCs/>
    </w:rPr>
  </w:style>
  <w:style w:type="paragraph" w:customStyle="1" w:styleId="14">
    <w:name w:val="WPSOffice手动目录 1"/>
    <w:autoRedefine/>
    <w:qFormat/>
    <w:uiPriority w:val="0"/>
    <w:pPr>
      <w:ind w:leftChars="0"/>
    </w:pPr>
    <w:rPr>
      <w:rFonts w:ascii="Times New Roman" w:hAnsi="Times New Roman" w:eastAsia="宋体" w:cs="Times New Roman"/>
      <w:sz w:val="20"/>
      <w:szCs w:val="20"/>
    </w:rPr>
  </w:style>
  <w:style w:type="paragraph" w:customStyle="1" w:styleId="15">
    <w:name w:val="WPSOffice手动目录 3"/>
    <w:autoRedefine/>
    <w:qFormat/>
    <w:uiPriority w:val="0"/>
    <w:pPr>
      <w:ind w:leftChars="400"/>
    </w:pPr>
    <w:rPr>
      <w:rFonts w:ascii="Times New Roman" w:hAnsi="Times New Roman" w:eastAsia="宋体" w:cs="Times New Roman"/>
      <w:sz w:val="20"/>
      <w:szCs w:val="20"/>
    </w:rPr>
  </w:style>
  <w:style w:type="paragraph" w:customStyle="1" w:styleId="16">
    <w:name w:val="Default"/>
    <w:autoRedefine/>
    <w:qFormat/>
    <w:uiPriority w:val="0"/>
    <w:pPr>
      <w:widowControl w:val="0"/>
      <w:autoSpaceDE w:val="0"/>
      <w:autoSpaceDN w:val="0"/>
      <w:adjustRightInd w:val="0"/>
    </w:pPr>
    <w:rPr>
      <w:rFonts w:ascii="Calibri" w:hAnsi="Calibri" w:eastAsia="宋体" w:cs="Calibri"/>
      <w:color w:val="000000"/>
      <w:sz w:val="24"/>
      <w:szCs w:val="24"/>
      <w:lang w:val="en-CA" w:eastAsia="en-CA" w:bidi="ar-SA"/>
    </w:rPr>
  </w:style>
  <w:style w:type="paragraph" w:customStyle="1" w:styleId="17">
    <w:name w:val="CM1"/>
    <w:basedOn w:val="16"/>
    <w:next w:val="16"/>
    <w:autoRedefine/>
    <w:qFormat/>
    <w:uiPriority w:val="0"/>
    <w:rPr>
      <w:rFonts w:cs="Times New Roman"/>
      <w:color w:val="auto"/>
    </w:rPr>
  </w:style>
  <w:style w:type="paragraph" w:customStyle="1" w:styleId="18">
    <w:name w:val="CM2"/>
    <w:basedOn w:val="16"/>
    <w:next w:val="16"/>
    <w:autoRedefine/>
    <w:qFormat/>
    <w:uiPriority w:val="0"/>
    <w:pPr>
      <w:spacing w:after="373"/>
    </w:pPr>
    <w:rPr>
      <w:rFonts w:cs="Times New Roman"/>
      <w:color w:val="auto"/>
    </w:rPr>
  </w:style>
  <w:style w:type="character" w:customStyle="1" w:styleId="19">
    <w:name w:val="font31"/>
    <w:basedOn w:val="12"/>
    <w:autoRedefine/>
    <w:qFormat/>
    <w:uiPriority w:val="0"/>
    <w:rPr>
      <w:rFonts w:hint="eastAsia" w:ascii="宋体" w:hAnsi="宋体" w:eastAsia="宋体" w:cs="宋体"/>
      <w:color w:val="000000"/>
      <w:sz w:val="20"/>
      <w:szCs w:val="20"/>
      <w:u w:val="none"/>
    </w:rPr>
  </w:style>
  <w:style w:type="character" w:customStyle="1" w:styleId="20">
    <w:name w:val="font11"/>
    <w:basedOn w:val="12"/>
    <w:autoRedefine/>
    <w:qFormat/>
    <w:uiPriority w:val="0"/>
    <w:rPr>
      <w:rFonts w:hint="default" w:ascii="Times New Roman" w:hAnsi="Times New Roman" w:cs="Times New Roman"/>
      <w:color w:val="000000"/>
      <w:sz w:val="20"/>
      <w:szCs w:val="20"/>
      <w:u w:val="none"/>
    </w:rPr>
  </w:style>
  <w:style w:type="paragraph" w:customStyle="1" w:styleId="21">
    <w:name w:val="全文"/>
    <w:autoRedefine/>
    <w:qFormat/>
    <w:uiPriority w:val="0"/>
    <w:pPr>
      <w:widowControl w:val="0"/>
      <w:spacing w:line="360" w:lineRule="auto"/>
      <w:ind w:firstLine="883" w:firstLineChars="200"/>
      <w:jc w:val="both"/>
    </w:pPr>
    <w:rPr>
      <w:rFonts w:ascii="Times New Roman" w:hAnsi="Times New Roman" w:eastAsia="宋体" w:cs="宋体"/>
      <w:kern w:val="2"/>
      <w:sz w:val="24"/>
      <w:szCs w:val="24"/>
      <w:lang w:val="en-US" w:eastAsia="zh-CN" w:bidi="ar-SA"/>
    </w:rPr>
  </w:style>
  <w:style w:type="character" w:customStyle="1" w:styleId="22">
    <w:name w:val="font21"/>
    <w:basedOn w:val="12"/>
    <w:qFormat/>
    <w:uiPriority w:val="0"/>
    <w:rPr>
      <w:rFonts w:hint="eastAsia" w:ascii="宋体" w:hAnsi="宋体" w:eastAsia="宋体" w:cs="宋体"/>
      <w:b/>
      <w:bCs/>
      <w:color w:val="000000"/>
      <w:sz w:val="22"/>
      <w:szCs w:val="22"/>
      <w:u w:val="none"/>
    </w:rPr>
  </w:style>
  <w:style w:type="character" w:customStyle="1" w:styleId="23">
    <w:name w:val="font41"/>
    <w:basedOn w:val="12"/>
    <w:qFormat/>
    <w:uiPriority w:val="0"/>
    <w:rPr>
      <w:rFonts w:hint="default" w:ascii="Times New Roman" w:hAnsi="Times New Roman" w:cs="Times New Roman"/>
      <w:b/>
      <w:bCs/>
      <w:i/>
      <w:iCs/>
      <w:color w:val="000000"/>
      <w:sz w:val="20"/>
      <w:szCs w:val="20"/>
      <w:u w:val="none"/>
    </w:rPr>
  </w:style>
  <w:style w:type="character" w:customStyle="1" w:styleId="24">
    <w:name w:val="font61"/>
    <w:basedOn w:val="12"/>
    <w:uiPriority w:val="0"/>
    <w:rPr>
      <w:rFonts w:hint="default" w:ascii="Times New Roman" w:hAnsi="Times New Roman" w:cs="Times New Roman"/>
      <w:color w:val="000000"/>
      <w:sz w:val="20"/>
      <w:szCs w:val="20"/>
      <w:u w:val="none"/>
    </w:rPr>
  </w:style>
  <w:style w:type="character" w:customStyle="1" w:styleId="25">
    <w:name w:val="font51"/>
    <w:basedOn w:val="12"/>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790</Words>
  <Characters>4863</Characters>
  <Lines>0</Lines>
  <Paragraphs>0</Paragraphs>
  <TotalTime>2</TotalTime>
  <ScaleCrop>false</ScaleCrop>
  <LinksUpToDate>false</LinksUpToDate>
  <CharactersWithSpaces>5500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2021-04-28T09:53:00Z</dcterms:created>
  <dc:creator>Administrator</dc:creator>
  <cp:lastModifiedBy>Murphy</cp:lastModifiedBy>
  <dcterms:modified xsi:type="dcterms:W3CDTF">2026-06-04T08:18:47Z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61492D4857C144DC87033008630E9178_13</vt:lpwstr>
  </property>
  <property fmtid="{D5CDD505-2E9C-101B-9397-08002B2CF9AE}" pid="4" name="KSOTemplateDocerSaveRecord">
    <vt:lpwstr>eyJoZGlkIjoiNTczYzk2MGU3ZWNiOTg5MThkYmQzZDVkNzU4YmYwMWMiLCJ1c2VySWQiOiIyNDg1NTc4MDUifQ==</vt:lpwstr>
  </property>
</Properties>
</file>