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2B428">
      <w:pPr>
        <w:jc w:val="center"/>
        <w:rPr>
          <w:rFonts w:hint="default"/>
          <w:b/>
          <w:sz w:val="32"/>
          <w:lang w:val="en-US" w:eastAsia="zh-CN"/>
        </w:rPr>
      </w:pPr>
      <w:r>
        <w:rPr>
          <w:rFonts w:hint="eastAsia" w:ascii="Times New Roman" w:hAnsi="Times New Roman" w:eastAsia="Times New Roman"/>
          <w:b/>
          <w:sz w:val="32"/>
          <w:lang w:val="en-US" w:eastAsia="zh-CN"/>
        </w:rPr>
        <w:t xml:space="preserve">Supplementary File </w:t>
      </w:r>
      <w:r>
        <w:rPr>
          <w:rFonts w:hint="eastAsia"/>
          <w:b/>
          <w:sz w:val="32"/>
          <w:lang w:val="en-US" w:eastAsia="zh-CN"/>
        </w:rPr>
        <w:t>4</w:t>
      </w:r>
      <w:bookmarkStart w:id="0" w:name="_GoBack"/>
      <w:bookmarkEnd w:id="0"/>
    </w:p>
    <w:p w14:paraId="038E8ED1">
      <w:pPr>
        <w:ind w:firstLine="1921" w:firstLineChars="600"/>
        <w:jc w:val="center"/>
        <w:rPr>
          <w:rFonts w:hint="eastAsia"/>
          <w:b/>
          <w:sz w:val="32"/>
          <w:lang w:val="en-US" w:eastAsia="zh-CN"/>
        </w:rPr>
      </w:pPr>
    </w:p>
    <w:p w14:paraId="1BC8C591">
      <w:pPr>
        <w:adjustRightInd w:val="0"/>
        <w:snapToGrid w:val="0"/>
        <w:spacing w:line="480" w:lineRule="auto"/>
        <w:rPr>
          <w:b/>
          <w:bCs/>
          <w:sz w:val="24"/>
          <w:szCs w:val="21"/>
        </w:rPr>
      </w:pPr>
      <w:r>
        <w:rPr>
          <w:b/>
          <w:bCs/>
          <w:sz w:val="24"/>
          <w:szCs w:val="21"/>
        </w:rPr>
        <w:t>Abbreviations</w:t>
      </w:r>
    </w:p>
    <w:p w14:paraId="5D60F538">
      <w:pPr>
        <w:adjustRightInd w:val="0"/>
        <w:snapToGrid w:val="0"/>
        <w:spacing w:line="480" w:lineRule="auto"/>
      </w:pPr>
      <w:r>
        <w:t>CRP</w:t>
      </w:r>
      <w:r>
        <w:tab/>
      </w:r>
      <w:r>
        <w:t>C-reactive protein</w:t>
      </w:r>
    </w:p>
    <w:p w14:paraId="6BAC4972">
      <w:pPr>
        <w:adjustRightInd w:val="0"/>
        <w:snapToGrid w:val="0"/>
        <w:spacing w:line="480" w:lineRule="auto"/>
      </w:pPr>
      <w:r>
        <w:t>EPDS</w:t>
      </w:r>
      <w:r>
        <w:tab/>
      </w:r>
      <w:r>
        <w:t>Edinburgh Postnatal Depression Scale</w:t>
      </w:r>
    </w:p>
    <w:p w14:paraId="4B8A8E07">
      <w:pPr>
        <w:adjustRightInd w:val="0"/>
        <w:snapToGrid w:val="0"/>
        <w:spacing w:line="480" w:lineRule="auto"/>
      </w:pPr>
      <w:r>
        <w:t>GEE</w:t>
      </w:r>
      <w:r>
        <w:tab/>
      </w:r>
      <w:r>
        <w:t>Generalized estimating equations</w:t>
      </w:r>
    </w:p>
    <w:p w14:paraId="7D9BFDBF">
      <w:pPr>
        <w:adjustRightInd w:val="0"/>
        <w:snapToGrid w:val="0"/>
        <w:spacing w:line="480" w:lineRule="auto"/>
      </w:pPr>
      <w:r>
        <w:t>IL-18</w:t>
      </w:r>
      <w:r>
        <w:tab/>
      </w:r>
      <w:r>
        <w:t>Interleukin-18</w:t>
      </w:r>
    </w:p>
    <w:p w14:paraId="1D7786E0">
      <w:pPr>
        <w:adjustRightInd w:val="0"/>
        <w:snapToGrid w:val="0"/>
        <w:spacing w:line="480" w:lineRule="auto"/>
      </w:pPr>
      <w:r>
        <w:t>ISI</w:t>
      </w:r>
      <w:r>
        <w:tab/>
      </w:r>
      <w:r>
        <w:tab/>
      </w:r>
      <w:r>
        <w:t>Insomnia Severity Index</w:t>
      </w:r>
    </w:p>
    <w:p w14:paraId="0D7DFB2C">
      <w:pPr>
        <w:adjustRightInd w:val="0"/>
        <w:snapToGrid w:val="0"/>
        <w:spacing w:line="480" w:lineRule="auto"/>
      </w:pPr>
      <w:r>
        <w:t>NMDA</w:t>
      </w:r>
      <w:r>
        <w:tab/>
      </w:r>
      <w:r>
        <w:t>N-methyl-D-aspartate</w:t>
      </w:r>
    </w:p>
    <w:p w14:paraId="35197883">
      <w:pPr>
        <w:adjustRightInd w:val="0"/>
        <w:snapToGrid w:val="0"/>
        <w:spacing w:line="480" w:lineRule="auto"/>
      </w:pPr>
      <w:r>
        <w:t>PCA</w:t>
      </w:r>
      <w:r>
        <w:tab/>
      </w:r>
      <w:r>
        <w:t>Patient-controlled analgesia</w:t>
      </w:r>
    </w:p>
    <w:p w14:paraId="2D3115E7">
      <w:pPr>
        <w:adjustRightInd w:val="0"/>
        <w:snapToGrid w:val="0"/>
        <w:spacing w:line="480" w:lineRule="auto"/>
      </w:pPr>
      <w:r>
        <w:t>PSQI</w:t>
      </w:r>
      <w:r>
        <w:tab/>
      </w:r>
      <w:r>
        <w:t>Pittsburgh Sleep Quality Index</w:t>
      </w:r>
    </w:p>
    <w:p w14:paraId="4F22105D">
      <w:pPr>
        <w:adjustRightInd w:val="0"/>
        <w:snapToGrid w:val="0"/>
        <w:spacing w:line="480" w:lineRule="auto"/>
      </w:pPr>
      <w:r>
        <w:t>SD</w:t>
      </w:r>
      <w:r>
        <w:tab/>
      </w:r>
      <w:r>
        <w:tab/>
      </w:r>
      <w:r>
        <w:t>Standard deviation</w:t>
      </w:r>
    </w:p>
    <w:p w14:paraId="68DAAAA1">
      <w:pPr>
        <w:adjustRightInd w:val="0"/>
        <w:snapToGrid w:val="0"/>
        <w:spacing w:line="480" w:lineRule="auto"/>
      </w:pPr>
      <w:r>
        <w:t>TAP</w:t>
      </w:r>
      <w:r>
        <w:tab/>
      </w:r>
      <w:r>
        <w:t>Transversus abdominis plane</w:t>
      </w:r>
    </w:p>
    <w:p w14:paraId="4C073EB7">
      <w:pPr>
        <w:adjustRightInd w:val="0"/>
        <w:snapToGrid w:val="0"/>
        <w:spacing w:line="480" w:lineRule="auto"/>
      </w:pPr>
      <w:r>
        <w:t>VAS</w:t>
      </w:r>
      <w:r>
        <w:tab/>
      </w:r>
      <w:r>
        <w:t>Visual analog scale</w:t>
      </w:r>
      <w:r>
        <w:br w:type="textWrapping"/>
      </w:r>
      <w:r>
        <w:br w:type="textWrapping"/>
      </w:r>
      <w:r>
        <w:br w:type="textWrapping"/>
      </w:r>
      <w:r>
        <w:br w:type="textWrapping"/>
      </w:r>
      <w:r>
        <w:br w:type="textWrapping"/>
      </w:r>
      <w:r>
        <w:br w:type="textWrapping"/>
      </w:r>
      <w:r>
        <w:br w:type="textWrapping"/>
      </w:r>
      <w:r>
        <w:br w:type="textWrapping"/>
      </w:r>
      <w:r>
        <w:br w:type="textWrapping"/>
      </w:r>
      <w:r>
        <w:br w:type="textWrapping"/>
      </w:r>
    </w:p>
    <w:p w14:paraId="3DB22850">
      <w:pPr>
        <w:rPr>
          <w:rFonts w:ascii="Times New Roman" w:hAnsi="Times New Roman" w:cs="Times New Roman"/>
          <w:b/>
          <w:bCs/>
        </w:rPr>
      </w:pPr>
    </w:p>
    <w:p w14:paraId="786566D8">
      <w:pPr>
        <w:rPr>
          <w:b/>
          <w:bCs/>
        </w:rPr>
      </w:pPr>
      <w:r>
        <w:rPr>
          <w:rFonts w:ascii="Times New Roman" w:hAnsi="Times New Roman" w:cs="Times New Roman"/>
          <w:b/>
          <w:bCs/>
        </w:rPr>
        <w:t>Figure 2</w:t>
      </w:r>
    </w:p>
    <w:p w14:paraId="1208E82B">
      <w:pPr>
        <w:adjustRightInd w:val="0"/>
        <w:snapToGrid w:val="0"/>
        <w:spacing w:line="480" w:lineRule="auto"/>
        <w:rPr>
          <w:b/>
          <w:bCs/>
        </w:rPr>
      </w:pPr>
      <w:r>
        <w:rPr>
          <w:rFonts w:ascii="Lucida Sans" w:hAnsi="Lucida Sans" w:eastAsia="Calibri" w:cs="Times New Roman"/>
          <w:kern w:val="0"/>
          <w:sz w:val="20"/>
          <w:szCs w:val="22"/>
          <w:lang w:val="en-US" w:eastAsia="en-US"/>
          <w14:ligatures w14:val="none"/>
        </w:rPr>
        <w:drawing>
          <wp:inline distT="0" distB="0" distL="114300" distR="114300">
            <wp:extent cx="3657600" cy="3150870"/>
            <wp:effectExtent l="0" t="0" r="0" b="1905"/>
            <wp:docPr id="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15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9D622">
      <w:pPr>
        <w:adjustRightInd w:val="0"/>
        <w:snapToGrid w:val="0"/>
        <w:spacing w:line="480" w:lineRule="auto"/>
        <w:jc w:val="left"/>
      </w:pPr>
      <w:r>
        <w:rPr>
          <w:b/>
          <w:sz w:val="24"/>
        </w:rPr>
        <w:t xml:space="preserve">Fig. 2 </w:t>
      </w:r>
      <w:r>
        <w:rPr>
          <w:sz w:val="24"/>
        </w:rPr>
        <w:t>Resting VAS pain scores at 2, 6, 24, and 48 h after surgery. Values are median (P</w:t>
      </w:r>
      <w:r>
        <w:rPr>
          <w:sz w:val="24"/>
          <w:vertAlign w:val="subscript"/>
        </w:rPr>
        <w:t>25</w:t>
      </w:r>
      <w:r>
        <w:rPr>
          <w:sz w:val="24"/>
        </w:rPr>
        <w:t>, P</w:t>
      </w:r>
      <w:r>
        <w:rPr>
          <w:sz w:val="24"/>
          <w:vertAlign w:val="subscript"/>
        </w:rPr>
        <w:t>75</w:t>
      </w:r>
      <w:r>
        <w:rPr>
          <w:sz w:val="24"/>
        </w:rPr>
        <w:t>); error bars indicate interquartile ranges. Between-group comparisons are shown above each time point. ns, not significant; *P &lt; 0.05; **P &lt; 0.01; ***P &lt; 0.001.</w:t>
      </w:r>
      <w:r>
        <w:t xml:space="preserve">  </w:t>
      </w:r>
      <w:r>
        <w:br w:type="textWrapping"/>
      </w:r>
      <w:r>
        <w:br w:type="textWrapping"/>
      </w:r>
      <w:r>
        <w:br w:type="textWrapping"/>
      </w:r>
      <w:r>
        <w:br w:type="textWrapping"/>
      </w:r>
      <w:r>
        <w:br w:type="textWrapping"/>
      </w:r>
      <w:r>
        <w:br w:type="textWrapping"/>
      </w:r>
      <w:r>
        <w:br w:type="textWrapping"/>
      </w:r>
      <w:r>
        <w:br w:type="textWrapping"/>
      </w:r>
      <w:r>
        <w:br w:type="textWrapping"/>
      </w:r>
      <w:r>
        <w:br w:type="textWrapping"/>
      </w:r>
      <w:r>
        <w:br w:type="textWrapping"/>
      </w:r>
      <w:r>
        <w:br w:type="textWrapping"/>
      </w:r>
    </w:p>
    <w:p w14:paraId="3AA9C3DF">
      <w:pPr>
        <w:adjustRightInd w:val="0"/>
        <w:snapToGrid w:val="0"/>
        <w:spacing w:line="480" w:lineRule="auto"/>
        <w:jc w:val="left"/>
      </w:pPr>
      <w:r>
        <w:rPr>
          <w:rFonts w:ascii="Times New Roman" w:hAnsi="Times New Roman" w:cs="Times New Roman"/>
          <w:b/>
          <w:bCs/>
        </w:rPr>
        <w:t>Figure 3</w:t>
      </w:r>
    </w:p>
    <w:p w14:paraId="58422935">
      <w:pPr>
        <w:adjustRightInd w:val="0"/>
        <w:snapToGrid w:val="0"/>
        <w:spacing w:line="480" w:lineRule="auto"/>
        <w:jc w:val="left"/>
      </w:pPr>
      <w:r>
        <w:rPr>
          <w:rFonts w:ascii="Lucida Sans" w:hAnsi="Lucida Sans" w:eastAsia="Calibri" w:cs="Times New Roman"/>
          <w:kern w:val="0"/>
          <w:sz w:val="20"/>
          <w:szCs w:val="22"/>
          <w:lang w:val="en-US" w:eastAsia="en-US"/>
          <w14:ligatures w14:val="none"/>
        </w:rPr>
        <w:drawing>
          <wp:inline distT="0" distB="0" distL="114300" distR="114300">
            <wp:extent cx="3657600" cy="3230880"/>
            <wp:effectExtent l="0" t="0" r="0" b="7620"/>
            <wp:docPr id="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23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C59DF">
      <w:pPr>
        <w:adjustRightInd w:val="0"/>
        <w:snapToGrid w:val="0"/>
        <w:spacing w:line="480" w:lineRule="auto"/>
        <w:jc w:val="left"/>
        <w:rPr>
          <w:sz w:val="24"/>
        </w:rPr>
      </w:pPr>
      <w:r>
        <w:rPr>
          <w:b/>
          <w:sz w:val="24"/>
        </w:rPr>
        <w:t xml:space="preserve">Fig. 3 </w:t>
      </w:r>
      <w:r>
        <w:rPr>
          <w:sz w:val="24"/>
        </w:rPr>
        <w:t>Movement-evoked VAS pain scores at 2, 6, 24, and 48 h after surgery. Values are median (P</w:t>
      </w:r>
      <w:r>
        <w:rPr>
          <w:sz w:val="24"/>
          <w:vertAlign w:val="subscript"/>
        </w:rPr>
        <w:t>25</w:t>
      </w:r>
      <w:r>
        <w:rPr>
          <w:sz w:val="24"/>
        </w:rPr>
        <w:t>, P</w:t>
      </w:r>
      <w:r>
        <w:rPr>
          <w:sz w:val="24"/>
          <w:vertAlign w:val="subscript"/>
        </w:rPr>
        <w:t>75</w:t>
      </w:r>
      <w:r>
        <w:rPr>
          <w:sz w:val="24"/>
        </w:rPr>
        <w:t>); error bars indicate interquartile ranges. Between-group comparisons are shown above each time point. ns, not significant; **P &lt; 0.01; ***P &lt; 0.001.</w:t>
      </w:r>
      <w:r>
        <w:rPr>
          <w:sz w:val="24"/>
        </w:rPr>
        <w:br w:type="textWrapping"/>
      </w:r>
      <w:r>
        <w:rPr>
          <w:sz w:val="24"/>
        </w:rPr>
        <w:br w:type="textWrapping"/>
      </w:r>
      <w:r>
        <w:rPr>
          <w:sz w:val="24"/>
        </w:rPr>
        <w:br w:type="textWrapping"/>
      </w:r>
      <w:r>
        <w:rPr>
          <w:sz w:val="24"/>
        </w:rPr>
        <w:br w:type="textWrapping"/>
      </w:r>
      <w:r>
        <w:rPr>
          <w:sz w:val="24"/>
        </w:rPr>
        <w:br w:type="textWrapping"/>
      </w:r>
      <w:r>
        <w:rPr>
          <w:sz w:val="24"/>
        </w:rPr>
        <w:br w:type="textWrapping"/>
      </w:r>
      <w:r>
        <w:rPr>
          <w:sz w:val="24"/>
        </w:rPr>
        <w:br w:type="textWrapping"/>
      </w:r>
      <w:r>
        <w:rPr>
          <w:sz w:val="24"/>
        </w:rPr>
        <w:br w:type="textWrapping"/>
      </w:r>
      <w:r>
        <w:rPr>
          <w:sz w:val="24"/>
        </w:rPr>
        <w:br w:type="textWrapping"/>
      </w:r>
      <w:r>
        <w:rPr>
          <w:sz w:val="24"/>
        </w:rPr>
        <w:br w:type="textWrapping"/>
      </w:r>
      <w:r>
        <w:rPr>
          <w:sz w:val="24"/>
        </w:rPr>
        <w:br w:type="textWrapping"/>
      </w:r>
    </w:p>
    <w:p w14:paraId="1DCF595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Figure 4</w:t>
      </w:r>
    </w:p>
    <w:p w14:paraId="437C1BEA">
      <w:pPr>
        <w:adjustRightInd w:val="0"/>
        <w:snapToGrid w:val="0"/>
        <w:spacing w:line="480" w:lineRule="auto"/>
        <w:jc w:val="left"/>
        <w:rPr>
          <w:sz w:val="24"/>
        </w:rPr>
      </w:pPr>
    </w:p>
    <w:p w14:paraId="04382E98">
      <w:pPr>
        <w:adjustRightInd w:val="0"/>
        <w:snapToGrid w:val="0"/>
        <w:spacing w:line="480" w:lineRule="auto"/>
        <w:jc w:val="left"/>
        <w:rPr>
          <w:sz w:val="24"/>
        </w:rPr>
      </w:pPr>
      <w:r>
        <w:rPr>
          <w:rFonts w:ascii="Lucida Sans" w:hAnsi="Lucida Sans" w:eastAsia="Calibri" w:cs="Times New Roman"/>
          <w:kern w:val="0"/>
          <w:sz w:val="20"/>
          <w:szCs w:val="22"/>
          <w:lang w:val="en-US" w:eastAsia="en-US"/>
          <w14:ligatures w14:val="none"/>
        </w:rPr>
        <w:drawing>
          <wp:inline distT="0" distB="0" distL="114300" distR="114300">
            <wp:extent cx="5669280" cy="2425700"/>
            <wp:effectExtent l="0" t="0" r="7620" b="3175"/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2426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7730C">
      <w:pPr>
        <w:adjustRightInd w:val="0"/>
        <w:snapToGrid w:val="0"/>
        <w:spacing w:line="480" w:lineRule="auto"/>
        <w:jc w:val="left"/>
        <w:rPr>
          <w:sz w:val="24"/>
        </w:rPr>
      </w:pPr>
      <w:r>
        <w:rPr>
          <w:b/>
          <w:sz w:val="24"/>
        </w:rPr>
        <w:t xml:space="preserve">Fig. 4 </w:t>
      </w:r>
      <w:r>
        <w:rPr>
          <w:sz w:val="24"/>
        </w:rPr>
        <w:t>Effective PCA presses and rescue analgesia. (A) Effective PCA presses from 6 to 48 h after surgery; values are median (P</w:t>
      </w:r>
      <w:r>
        <w:rPr>
          <w:sz w:val="24"/>
          <w:vertAlign w:val="subscript"/>
        </w:rPr>
        <w:t>25</w:t>
      </w:r>
      <w:r>
        <w:rPr>
          <w:sz w:val="24"/>
        </w:rPr>
        <w:t>, P</w:t>
      </w:r>
      <w:r>
        <w:rPr>
          <w:sz w:val="24"/>
          <w:vertAlign w:val="subscript"/>
        </w:rPr>
        <w:t>75</w:t>
      </w:r>
      <w:r>
        <w:rPr>
          <w:sz w:val="24"/>
        </w:rPr>
        <w:t>). (B) Incidence of rescue analgesia within 24 h after surgery; bar labels show percentage and n/N. ns, not significant; *P &lt; 0.05; **P &lt; 0.01.</w:t>
      </w:r>
      <w:r>
        <w:rPr>
          <w:sz w:val="24"/>
        </w:rPr>
        <w:br w:type="textWrapping"/>
      </w:r>
      <w:r>
        <w:rPr>
          <w:sz w:val="24"/>
        </w:rPr>
        <w:br w:type="textWrapping"/>
      </w:r>
      <w:r>
        <w:rPr>
          <w:sz w:val="24"/>
        </w:rPr>
        <w:br w:type="textWrapping"/>
      </w:r>
      <w:r>
        <w:rPr>
          <w:sz w:val="24"/>
        </w:rPr>
        <w:br w:type="textWrapping"/>
      </w:r>
      <w:r>
        <w:rPr>
          <w:sz w:val="24"/>
        </w:rPr>
        <w:br w:type="textWrapping"/>
      </w:r>
      <w:r>
        <w:rPr>
          <w:sz w:val="24"/>
        </w:rPr>
        <w:br w:type="textWrapping"/>
      </w:r>
      <w:r>
        <w:rPr>
          <w:sz w:val="24"/>
        </w:rPr>
        <w:br w:type="textWrapping"/>
      </w:r>
      <w:r>
        <w:rPr>
          <w:sz w:val="24"/>
        </w:rPr>
        <w:br w:type="textWrapping"/>
      </w:r>
      <w:r>
        <w:rPr>
          <w:sz w:val="24"/>
        </w:rPr>
        <w:br w:type="textWrapping"/>
      </w:r>
      <w:r>
        <w:rPr>
          <w:sz w:val="24"/>
        </w:rPr>
        <w:br w:type="textWrapping"/>
      </w:r>
      <w:r>
        <w:rPr>
          <w:sz w:val="24"/>
        </w:rPr>
        <w:br w:type="textWrapping"/>
      </w:r>
      <w:r>
        <w:rPr>
          <w:sz w:val="24"/>
        </w:rPr>
        <w:br w:type="textWrapping"/>
      </w:r>
    </w:p>
    <w:p w14:paraId="1309839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Figure 5</w:t>
      </w:r>
    </w:p>
    <w:p w14:paraId="5CD3A7EE">
      <w:pPr>
        <w:rPr>
          <w:rFonts w:ascii="Times New Roman" w:hAnsi="Times New Roman" w:cs="Times New Roman"/>
          <w:b/>
          <w:bCs/>
        </w:rPr>
      </w:pPr>
    </w:p>
    <w:p w14:paraId="6413EFA7">
      <w:pPr>
        <w:rPr>
          <w:rFonts w:ascii="Times New Roman" w:hAnsi="Times New Roman" w:cs="Times New Roman"/>
          <w:b/>
          <w:bCs/>
        </w:rPr>
      </w:pPr>
      <w:r>
        <w:rPr>
          <w:rFonts w:ascii="Lucida Sans" w:hAnsi="Lucida Sans" w:eastAsia="Calibri" w:cs="Times New Roman"/>
          <w:kern w:val="0"/>
          <w:sz w:val="20"/>
          <w:szCs w:val="22"/>
          <w:lang w:val="en-US" w:eastAsia="en-US"/>
          <w14:ligatures w14:val="none"/>
        </w:rPr>
        <w:drawing>
          <wp:inline distT="0" distB="0" distL="114300" distR="114300">
            <wp:extent cx="5731510" cy="2388870"/>
            <wp:effectExtent l="0" t="0" r="2540" b="1905"/>
            <wp:docPr id="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89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3D984">
      <w:pPr>
        <w:adjustRightInd w:val="0"/>
        <w:snapToGrid w:val="0"/>
        <w:spacing w:line="480" w:lineRule="auto"/>
        <w:jc w:val="left"/>
        <w:rPr>
          <w:sz w:val="24"/>
        </w:rPr>
      </w:pPr>
      <w:r>
        <w:rPr>
          <w:b/>
          <w:sz w:val="24"/>
        </w:rPr>
        <w:t xml:space="preserve">Fig. 5 </w:t>
      </w:r>
      <w:r>
        <w:rPr>
          <w:sz w:val="24"/>
        </w:rPr>
        <w:t>Perioperative sleep and mood-related scores. (A) PSQI; (B) ISI; (C) EPDS. Values are displayed as the table-reported central estimate with dispersion [median (P</w:t>
      </w:r>
      <w:r>
        <w:rPr>
          <w:sz w:val="24"/>
          <w:vertAlign w:val="subscript"/>
        </w:rPr>
        <w:t>25</w:t>
      </w:r>
      <w:r>
        <w:rPr>
          <w:sz w:val="24"/>
        </w:rPr>
        <w:t>, P</w:t>
      </w:r>
      <w:r>
        <w:rPr>
          <w:sz w:val="24"/>
          <w:vertAlign w:val="subscript"/>
        </w:rPr>
        <w:t>75</w:t>
      </w:r>
      <w:r>
        <w:rPr>
          <w:sz w:val="24"/>
        </w:rPr>
        <w:t>) or mean ± SD]; error bars represent the corresponding dispersion. ns, not significant; **P &lt; 0.01; ***P &lt; 0.001.</w:t>
      </w:r>
      <w:r>
        <w:rPr>
          <w:sz w:val="24"/>
        </w:rPr>
        <w:br w:type="textWrapping"/>
      </w:r>
      <w:r>
        <w:rPr>
          <w:sz w:val="24"/>
        </w:rPr>
        <w:br w:type="textWrapping"/>
      </w:r>
      <w:r>
        <w:rPr>
          <w:sz w:val="24"/>
        </w:rPr>
        <w:br w:type="textWrapping"/>
      </w:r>
      <w:r>
        <w:rPr>
          <w:sz w:val="24"/>
        </w:rPr>
        <w:br w:type="textWrapping"/>
      </w:r>
      <w:r>
        <w:rPr>
          <w:sz w:val="24"/>
        </w:rPr>
        <w:br w:type="textWrapping"/>
      </w:r>
      <w:r>
        <w:rPr>
          <w:sz w:val="24"/>
        </w:rPr>
        <w:br w:type="textWrapping"/>
      </w:r>
      <w:r>
        <w:rPr>
          <w:sz w:val="24"/>
        </w:rPr>
        <w:br w:type="textWrapping"/>
      </w:r>
      <w:r>
        <w:rPr>
          <w:sz w:val="24"/>
        </w:rPr>
        <w:br w:type="textWrapping"/>
      </w:r>
      <w:r>
        <w:rPr>
          <w:sz w:val="24"/>
        </w:rPr>
        <w:br w:type="textWrapping"/>
      </w:r>
      <w:r>
        <w:rPr>
          <w:sz w:val="24"/>
        </w:rPr>
        <w:br w:type="textWrapping"/>
      </w:r>
      <w:r>
        <w:rPr>
          <w:sz w:val="24"/>
        </w:rPr>
        <w:br w:type="textWrapping"/>
      </w:r>
      <w:r>
        <w:rPr>
          <w:sz w:val="24"/>
        </w:rPr>
        <w:br w:type="textWrapping"/>
      </w:r>
      <w:r>
        <w:rPr>
          <w:sz w:val="24"/>
        </w:rPr>
        <w:br w:type="textWrapping"/>
      </w:r>
    </w:p>
    <w:p w14:paraId="16E0254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Figure 6</w:t>
      </w:r>
    </w:p>
    <w:p w14:paraId="73B2ED23">
      <w:pPr>
        <w:rPr>
          <w:rFonts w:ascii="Times New Roman" w:hAnsi="Times New Roman" w:cs="Times New Roman"/>
          <w:b/>
          <w:bCs/>
        </w:rPr>
      </w:pPr>
    </w:p>
    <w:p w14:paraId="0447E020">
      <w:pPr>
        <w:adjustRightInd w:val="0"/>
        <w:snapToGrid w:val="0"/>
        <w:spacing w:line="480" w:lineRule="auto"/>
        <w:jc w:val="left"/>
        <w:rPr>
          <w:sz w:val="24"/>
        </w:rPr>
      </w:pPr>
      <w:r>
        <w:rPr>
          <w:rFonts w:ascii="Lucida Sans" w:hAnsi="Lucida Sans" w:eastAsia="Calibri" w:cs="Times New Roman"/>
          <w:kern w:val="0"/>
          <w:sz w:val="20"/>
          <w:szCs w:val="22"/>
          <w:lang w:val="en-US" w:eastAsia="en-US"/>
          <w14:ligatures w14:val="none"/>
        </w:rPr>
        <w:drawing>
          <wp:inline distT="0" distB="0" distL="114300" distR="114300">
            <wp:extent cx="5669280" cy="2440940"/>
            <wp:effectExtent l="0" t="0" r="7620" b="6985"/>
            <wp:docPr id="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2441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36552">
      <w:pPr>
        <w:adjustRightInd w:val="0"/>
        <w:snapToGrid w:val="0"/>
        <w:spacing w:line="480" w:lineRule="auto"/>
        <w:jc w:val="left"/>
        <w:rPr>
          <w:sz w:val="24"/>
        </w:rPr>
      </w:pPr>
      <w:r>
        <w:rPr>
          <w:b/>
          <w:sz w:val="24"/>
        </w:rPr>
        <w:t xml:space="preserve">Fig. 6 </w:t>
      </w:r>
      <w:r>
        <w:rPr>
          <w:sz w:val="24"/>
        </w:rPr>
        <w:t>Serum inflammatory marker trajectories. (A) IL-18; (B) CRP, measured 30 min before surgery and 24 h after surgery. Values are median (P</w:t>
      </w:r>
      <w:r>
        <w:rPr>
          <w:sz w:val="24"/>
          <w:vertAlign w:val="subscript"/>
        </w:rPr>
        <w:t>25</w:t>
      </w:r>
      <w:r>
        <w:rPr>
          <w:sz w:val="24"/>
        </w:rPr>
        <w:t>, P</w:t>
      </w:r>
      <w:r>
        <w:rPr>
          <w:sz w:val="24"/>
          <w:vertAlign w:val="subscript"/>
        </w:rPr>
        <w:t>75</w:t>
      </w:r>
      <w:r>
        <w:rPr>
          <w:sz w:val="24"/>
        </w:rPr>
        <w:t>) for IL-18 and mean ± SD for CRP. ns, not significant; ***P &lt; 0.001.</w:t>
      </w:r>
    </w:p>
    <w:p w14:paraId="364EA6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97A0B"/>
    <w:rsid w:val="37B11431"/>
    <w:rsid w:val="51865032"/>
    <w:rsid w:val="5DB97A0B"/>
    <w:rsid w:val="65D93819"/>
    <w:rsid w:val="7524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sz w:val="24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rPr>
      <w:sz w:val="20"/>
    </w:rPr>
  </w:style>
  <w:style w:type="character" w:styleId="5">
    <w:name w:val="annotation reference"/>
    <w:basedOn w:val="4"/>
    <w:qFormat/>
    <w:uiPriority w:val="0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273</Words>
  <Characters>1433</Characters>
  <Lines>0</Lines>
  <Paragraphs>0</Paragraphs>
  <TotalTime>0</TotalTime>
  <ScaleCrop>false</ScaleCrop>
  <LinksUpToDate>false</LinksUpToDate>
  <CharactersWithSpaces>1687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2026-06-05T05:19:00Z</dcterms:created>
  <dc:creator>小小酥</dc:creator>
  <cp:lastModifiedBy>小小酥</cp:lastModifiedBy>
  <dcterms:modified xsi:type="dcterms:W3CDTF">2026-06-09T13:22:53Z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CFD0844654934408BF56654AA6218EFB_13</vt:lpwstr>
  </property>
  <property fmtid="{D5CDD505-2E9C-101B-9397-08002B2CF9AE}" pid="4" name="KSOTemplateDocerSaveRecord">
    <vt:lpwstr>eyJoZGlkIjoiMGUwOWRmNDMxMTBlYmFlNjYyY2UwMjllMzA0OTk2NzEiLCJ1c2VySWQiOiIyNjM2MjA2NjUifQ==</vt:lpwstr>
  </property>
</Properties>
</file>