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02C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  <w:t>Figure 1.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Intraoperative application of the computer-assisted navigation system.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br w:type="textWrapping"/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(A)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Operating room setup showing the optical tracking system (infrared camera) positioned contralateral to the operative limb and the navigation workstation located within the surgeon’s visual field for real-time display of limb alignment, bone resection parameters, and gap-balancing information.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br w:type="textWrapping"/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(B)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Verification of infrared signal stability following fixation of the femoral and tibial reference arrays to ensure navigation accuracy during surgery.</w:t>
      </w:r>
    </w:p>
    <w:p w14:paraId="5B361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1C930B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0AF6B2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  <w:t>Figure 2.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Intraoperative bone resection and gap balancing interface during navigation-assisted TKA using the functional alignment philosophy. Fine adjustment of the bone resection allowed preservation of 1.5° of constitutional varus alignment.</w:t>
      </w:r>
    </w:p>
    <w:p w14:paraId="0A396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1CE1E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305233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  <w:t>Figure 3.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Preoperative and postoperative full-length lower limb radiographs of a patient undergoing navigation-assisted functional alignment total knee arthroplasty (TKA).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br w:type="textWrapping"/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Preoperatively, the HKAA was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4° varus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, the LDFA was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84°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, and the MPTA was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86°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. Postoperatively,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3° of residual varus alignment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was preserved, with an LDFA of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90°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and an MPTA of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87°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.</w:t>
      </w:r>
    </w:p>
    <w:p w14:paraId="0A1B03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5329E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5E1BE2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</w:pPr>
    </w:p>
    <w:p w14:paraId="19260A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</w:pPr>
    </w:p>
    <w:p w14:paraId="375F1A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  <w:bookmarkStart w:id="0" w:name="_GoBack"/>
      <w:bookmarkEnd w:id="0"/>
      <w:r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  <w:t xml:space="preserve">Figure 4.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Preoperative and postoperative full-length lower-limb radiographs of a patient undergoing total knee arthroplasty with traditional mechanical alignment.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br w:type="textWrapping"/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Preoperatively, the patient demonstrated a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3° varus Hip–Knee–Ankle Angle (HKAA)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, with an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LDFA of 91°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and an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MPTA of 88°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. Postoperatively, the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HKAA was corrected to 179°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, indicating restoration of a neutral mechanical axis, while the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LDFA remained 91°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and the 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MPTA was corrected to 90°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.</w:t>
      </w:r>
    </w:p>
    <w:p w14:paraId="619F8B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5064C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  <w:t>Figure 5.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Comparison of Preoperative CPAK Classification Distribution Between the Conventional and Navigation Groups: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br w:type="textWrapping"/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Distribution of preoperative CPAK phenotypes in both groups. The proportions of each CPAK type were generally similar between the conventional and navigation groups.</w:t>
      </w:r>
    </w:p>
    <w:p w14:paraId="602A57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</w:p>
    <w:p w14:paraId="388274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jc w:val="both"/>
        <w:textAlignment w:val="auto"/>
        <w:rPr>
          <w:rFonts w:hint="default" w:ascii="Times New Roman Regular" w:hAnsi="Times New Roman Regular" w:eastAsia="宋体" w:cs="Times New Roman Regular"/>
          <w:kern w:val="0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kern w:val="0"/>
          <w:szCs w:val="21"/>
        </w:rPr>
        <w:t>Figure 6.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 xml:space="preserve"> Comparison of Postoperative CPAK Classification Distribution Between the Conventional and Navigation Groups:</w:t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br w:type="textWrapping"/>
      </w:r>
      <w:r>
        <w:rPr>
          <w:rFonts w:hint="default" w:ascii="Times New Roman Regular" w:hAnsi="Times New Roman Regular" w:eastAsia="宋体" w:cs="Times New Roman Regular"/>
          <w:kern w:val="0"/>
          <w:szCs w:val="21"/>
        </w:rPr>
        <w:t>Distribution of postoperative CPAK phenotypes in both groups. In the conventional group, CPAK phenotypes were predominantly concentrated in Types IV and V, whereas the navigation group preserved a more diverse and dispersed distribution of CPAK phenotypes.</w:t>
      </w:r>
    </w:p>
    <w:p w14:paraId="731DE0B9"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A05C71"/>
    <w:rsid w:val="436239D7"/>
    <w:rsid w:val="5A0B3B35"/>
    <w:rsid w:val="5F524F6B"/>
    <w:rsid w:val="67A9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1935</Characters>
  <Lines>0</Lines>
  <Paragraphs>0</Paragraphs>
  <TotalTime>0</TotalTime>
  <ScaleCrop>false</ScaleCrop>
  <LinksUpToDate>false</LinksUpToDate>
  <CharactersWithSpaces>2228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2026-06-04T16:08:00Z</dcterms:created>
  <dc:creator>15758</dc:creator>
  <cp:lastModifiedBy>红鼻子小黑</cp:lastModifiedBy>
  <dcterms:modified xsi:type="dcterms:W3CDTF">2026-06-05T06:04:50Z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eyJoZGlkIjoiYzEwOWE2NGQ4NDJiYzU3ODFhMmQxNTMyNDAwOWU1NzgiLCJ1c2VySWQiOiI0ODc0NTc1MTcifQ==</vt:lpwstr>
  </property>
  <property fmtid="{D5CDD505-2E9C-101B-9397-08002B2CF9AE}" pid="4" name="ICV">
    <vt:lpwstr>B08DEC45A6B84313934283ECA8096C9C_12</vt:lpwstr>
  </property>
</Properties>
</file>