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A0A" w:rsidRDefault="008E7A0A" w:rsidP="008E7A0A">
      <w:pPr>
        <w:pStyle w:val="2"/>
      </w:pPr>
      <w:r>
        <w:t>4.1  Architectural Overview</w:t>
      </w:r>
    </w:p>
    <w:p w:rsidR="008E7A0A" w:rsidRDefault="008E7A0A" w:rsidP="008E7A0A">
      <w:pPr>
        <w:spacing w:before="80" w:after="80" w:line="360" w:lineRule="auto"/>
        <w:ind w:firstLine="720"/>
        <w:jc w:val="both"/>
      </w:pPr>
      <w:r>
        <w:t>The AI-EMS framework integrates four modules in a sequential processing pipeline. The Scenario Generation Engine (Module 1) produces legally calibrated audit scenarios from statutory text. The Anomaly Detection subsystem (Module 2) processes interaction logs to generate real-time corruption-risk scores. The Explainability Layer (Module 3) translates statistical scores into structured legal arguments. The Federated Learning Pipeline (Module 4) aggregates cross-jurisdictional model updates under data-sovereignty constraints. Table 1 summarises each module's core technology and legal function.</w:t>
      </w:r>
    </w:p>
    <w:p w:rsidR="008E7A0A" w:rsidRDefault="008E7A0A" w:rsidP="008E7A0A">
      <w:pPr>
        <w:spacing w:before="60"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30"/>
        <w:gridCol w:w="3798"/>
        <w:gridCol w:w="3798"/>
      </w:tblGrid>
      <w:tr w:rsidR="008E7A0A" w:rsidTr="005D1185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1A3A5C"/>
              <w:left w:val="single" w:sz="1" w:space="0" w:color="1A3A5C"/>
              <w:bottom w:val="single" w:sz="1" w:space="0" w:color="1A3A5C"/>
              <w:right w:val="single" w:sz="1" w:space="0" w:color="1A3A5C"/>
            </w:tcBorders>
            <w:shd w:val="clear" w:color="auto" w:fill="1A3A5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8E7A0A" w:rsidRDefault="008E7A0A" w:rsidP="005D1185">
            <w:pPr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>Module</w:t>
            </w:r>
          </w:p>
        </w:tc>
        <w:tc>
          <w:tcPr>
            <w:tcW w:w="3813" w:type="dxa"/>
            <w:tcBorders>
              <w:top w:val="single" w:sz="1" w:space="0" w:color="1A3A5C"/>
              <w:left w:val="single" w:sz="1" w:space="0" w:color="1A3A5C"/>
              <w:bottom w:val="single" w:sz="1" w:space="0" w:color="1A3A5C"/>
              <w:right w:val="single" w:sz="1" w:space="0" w:color="1A3A5C"/>
            </w:tcBorders>
            <w:shd w:val="clear" w:color="auto" w:fill="1A3A5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8E7A0A" w:rsidRDefault="008E7A0A" w:rsidP="005D1185">
            <w:pPr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>Core Technology</w:t>
            </w:r>
          </w:p>
        </w:tc>
        <w:tc>
          <w:tcPr>
            <w:tcW w:w="3813" w:type="dxa"/>
            <w:tcBorders>
              <w:top w:val="single" w:sz="1" w:space="0" w:color="1A3A5C"/>
              <w:left w:val="single" w:sz="1" w:space="0" w:color="1A3A5C"/>
              <w:bottom w:val="single" w:sz="1" w:space="0" w:color="1A3A5C"/>
              <w:right w:val="single" w:sz="1" w:space="0" w:color="1A3A5C"/>
            </w:tcBorders>
            <w:shd w:val="clear" w:color="auto" w:fill="1A3A5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8E7A0A" w:rsidRDefault="008E7A0A" w:rsidP="005D1185">
            <w:pPr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>Legal Function</w:t>
            </w:r>
          </w:p>
        </w:tc>
      </w:tr>
      <w:tr w:rsidR="008E7A0A" w:rsidTr="005D1185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0F5FA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E7A0A" w:rsidRDefault="008E7A0A" w:rsidP="005D1185">
            <w:r>
              <w:rPr>
                <w:sz w:val="21"/>
                <w:szCs w:val="21"/>
              </w:rPr>
              <w:t>M1 — Scenario Engine</w:t>
            </w:r>
          </w:p>
        </w:tc>
        <w:tc>
          <w:tcPr>
            <w:tcW w:w="3813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0F5FA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E7A0A" w:rsidRDefault="008E7A0A" w:rsidP="005D1185">
            <w:r>
              <w:rPr>
                <w:sz w:val="21"/>
                <w:szCs w:val="21"/>
              </w:rPr>
              <w:t>Fine-tuned transformer LLM on bilingual statutory corpus [11,13]</w:t>
            </w:r>
          </w:p>
        </w:tc>
        <w:tc>
          <w:tcPr>
            <w:tcW w:w="3813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0F5FA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E7A0A" w:rsidRDefault="008E7A0A" w:rsidP="005D1185">
            <w:r>
              <w:rPr>
                <w:sz w:val="21"/>
                <w:szCs w:val="21"/>
              </w:rPr>
              <w:t>Generates legally valid, entrapment-free audit probes aligned with regulatory obligations [9]</w:t>
            </w:r>
          </w:p>
        </w:tc>
      </w:tr>
      <w:tr w:rsidR="008E7A0A" w:rsidTr="005D1185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E7A0A" w:rsidRDefault="008E7A0A" w:rsidP="005D1185">
            <w:r>
              <w:rPr>
                <w:sz w:val="21"/>
                <w:szCs w:val="21"/>
              </w:rPr>
              <w:t>M2 — Anomaly Detector</w:t>
            </w:r>
          </w:p>
        </w:tc>
        <w:tc>
          <w:tcPr>
            <w:tcW w:w="3813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E7A0A" w:rsidRDefault="008E7A0A" w:rsidP="005D1185">
            <w:r>
              <w:rPr>
                <w:sz w:val="21"/>
                <w:szCs w:val="21"/>
              </w:rPr>
              <w:t>Isolation Forest [14] + LSTM Autoencoder [16]; Platt-scaled ensemble [15]</w:t>
            </w:r>
          </w:p>
        </w:tc>
        <w:tc>
          <w:tcPr>
            <w:tcW w:w="3813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E7A0A" w:rsidRDefault="008E7A0A" w:rsidP="005D1185">
            <w:r>
              <w:rPr>
                <w:sz w:val="21"/>
                <w:szCs w:val="21"/>
              </w:rPr>
              <w:t>Flags statistically significant deviations in real time with calibrated probability scores</w:t>
            </w:r>
          </w:p>
        </w:tc>
      </w:tr>
      <w:tr w:rsidR="008E7A0A" w:rsidTr="005D1185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0F5FA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E7A0A" w:rsidRDefault="008E7A0A" w:rsidP="005D1185">
            <w:r>
              <w:rPr>
                <w:sz w:val="21"/>
                <w:szCs w:val="21"/>
              </w:rPr>
              <w:t>M3 — Explainability Layer</w:t>
            </w:r>
          </w:p>
        </w:tc>
        <w:tc>
          <w:tcPr>
            <w:tcW w:w="3813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0F5FA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E7A0A" w:rsidRDefault="008E7A0A" w:rsidP="005D1185">
            <w:r>
              <w:rPr>
                <w:sz w:val="21"/>
                <w:szCs w:val="21"/>
              </w:rPr>
              <w:t>Carneades argumentation model [17]; LKIF rule representation [28]</w:t>
            </w:r>
          </w:p>
        </w:tc>
        <w:tc>
          <w:tcPr>
            <w:tcW w:w="3813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0F5FA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E7A0A" w:rsidRDefault="008E7A0A" w:rsidP="005D1185">
            <w:r>
              <w:rPr>
                <w:sz w:val="21"/>
                <w:szCs w:val="21"/>
              </w:rPr>
              <w:t>Produces admissible, challengeable factual-legal justifications for investigative dossiers [23,26]</w:t>
            </w:r>
          </w:p>
        </w:tc>
      </w:tr>
      <w:tr w:rsidR="008E7A0A" w:rsidTr="005D1185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E7A0A" w:rsidRDefault="008E7A0A" w:rsidP="005D1185">
            <w:r>
              <w:rPr>
                <w:sz w:val="21"/>
                <w:szCs w:val="21"/>
              </w:rPr>
              <w:t>M4 — Federated Pipeline</w:t>
            </w:r>
          </w:p>
        </w:tc>
        <w:tc>
          <w:tcPr>
            <w:tcW w:w="3813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E7A0A" w:rsidRDefault="008E7A0A" w:rsidP="005D1185">
            <w:r>
              <w:rPr>
                <w:sz w:val="21"/>
                <w:szCs w:val="21"/>
              </w:rPr>
              <w:t>FedAvg with differential privacy noise injection [19,20]</w:t>
            </w:r>
          </w:p>
        </w:tc>
        <w:tc>
          <w:tcPr>
            <w:tcW w:w="3813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E7A0A" w:rsidRDefault="008E7A0A" w:rsidP="005D1185">
            <w:r>
              <w:rPr>
                <w:sz w:val="21"/>
                <w:szCs w:val="21"/>
              </w:rPr>
              <w:t>Enables cross-jurisdictional learning under national data-sovereignty law [21]</w:t>
            </w:r>
          </w:p>
        </w:tc>
      </w:tr>
    </w:tbl>
    <w:p w:rsidR="008E7A0A" w:rsidRDefault="008E7A0A" w:rsidP="008E7A0A">
      <w:pPr>
        <w:spacing w:before="80" w:after="180"/>
        <w:jc w:val="center"/>
      </w:pPr>
      <w:r>
        <w:rPr>
          <w:i/>
          <w:iCs/>
          <w:color w:val="555555"/>
          <w:sz w:val="20"/>
          <w:szCs w:val="20"/>
        </w:rPr>
        <w:t>Table 1. AI-EMS module summary with technology and legal-function references</w:t>
      </w:r>
    </w:p>
    <w:p w:rsidR="008E7A0A" w:rsidRDefault="008E7A0A" w:rsidP="008E7A0A">
      <w:pPr>
        <w:pStyle w:val="2"/>
      </w:pPr>
      <w:r>
        <w:t>5.2  Classification Performance</w:t>
      </w:r>
    </w:p>
    <w:p w:rsidR="008E7A0A" w:rsidRDefault="008E7A0A" w:rsidP="008E7A0A">
      <w:pPr>
        <w:spacing w:before="60"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1656"/>
        <w:gridCol w:w="1656"/>
        <w:gridCol w:w="1656"/>
        <w:gridCol w:w="1658"/>
      </w:tblGrid>
      <w:tr w:rsidR="008E7A0A" w:rsidTr="005D1185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1A3A5C"/>
              <w:left w:val="single" w:sz="1" w:space="0" w:color="1A3A5C"/>
              <w:bottom w:val="single" w:sz="1" w:space="0" w:color="1A3A5C"/>
              <w:right w:val="single" w:sz="1" w:space="0" w:color="1A3A5C"/>
            </w:tcBorders>
            <w:shd w:val="clear" w:color="auto" w:fill="1A3A5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8E7A0A" w:rsidRDefault="008E7A0A" w:rsidP="005D1185">
            <w:pPr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>Model Component</w:t>
            </w:r>
          </w:p>
        </w:tc>
        <w:tc>
          <w:tcPr>
            <w:tcW w:w="1656" w:type="dxa"/>
            <w:tcBorders>
              <w:top w:val="single" w:sz="1" w:space="0" w:color="1A3A5C"/>
              <w:left w:val="single" w:sz="1" w:space="0" w:color="1A3A5C"/>
              <w:bottom w:val="single" w:sz="1" w:space="0" w:color="1A3A5C"/>
              <w:right w:val="single" w:sz="1" w:space="0" w:color="1A3A5C"/>
            </w:tcBorders>
            <w:shd w:val="clear" w:color="auto" w:fill="1A3A5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8E7A0A" w:rsidRDefault="008E7A0A" w:rsidP="005D1185">
            <w:pPr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>Precision</w:t>
            </w:r>
          </w:p>
        </w:tc>
        <w:tc>
          <w:tcPr>
            <w:tcW w:w="1656" w:type="dxa"/>
            <w:tcBorders>
              <w:top w:val="single" w:sz="1" w:space="0" w:color="1A3A5C"/>
              <w:left w:val="single" w:sz="1" w:space="0" w:color="1A3A5C"/>
              <w:bottom w:val="single" w:sz="1" w:space="0" w:color="1A3A5C"/>
              <w:right w:val="single" w:sz="1" w:space="0" w:color="1A3A5C"/>
            </w:tcBorders>
            <w:shd w:val="clear" w:color="auto" w:fill="1A3A5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8E7A0A" w:rsidRDefault="008E7A0A" w:rsidP="005D1185">
            <w:pPr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>Recall</w:t>
            </w:r>
          </w:p>
        </w:tc>
        <w:tc>
          <w:tcPr>
            <w:tcW w:w="1656" w:type="dxa"/>
            <w:tcBorders>
              <w:top w:val="single" w:sz="1" w:space="0" w:color="1A3A5C"/>
              <w:left w:val="single" w:sz="1" w:space="0" w:color="1A3A5C"/>
              <w:bottom w:val="single" w:sz="1" w:space="0" w:color="1A3A5C"/>
              <w:right w:val="single" w:sz="1" w:space="0" w:color="1A3A5C"/>
            </w:tcBorders>
            <w:shd w:val="clear" w:color="auto" w:fill="1A3A5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8E7A0A" w:rsidRDefault="008E7A0A" w:rsidP="005D1185">
            <w:pPr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>F1-Score</w:t>
            </w:r>
          </w:p>
        </w:tc>
        <w:tc>
          <w:tcPr>
            <w:tcW w:w="1658" w:type="dxa"/>
            <w:tcBorders>
              <w:top w:val="single" w:sz="1" w:space="0" w:color="1A3A5C"/>
              <w:left w:val="single" w:sz="1" w:space="0" w:color="1A3A5C"/>
              <w:bottom w:val="single" w:sz="1" w:space="0" w:color="1A3A5C"/>
              <w:right w:val="single" w:sz="1" w:space="0" w:color="1A3A5C"/>
            </w:tcBorders>
            <w:shd w:val="clear" w:color="auto" w:fill="1A3A5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8E7A0A" w:rsidRDefault="008E7A0A" w:rsidP="005D1185">
            <w:pPr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>AUC-ROC</w:t>
            </w:r>
          </w:p>
        </w:tc>
      </w:tr>
      <w:tr w:rsidR="008E7A0A" w:rsidTr="005D1185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0F5FA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E7A0A" w:rsidRDefault="008E7A0A" w:rsidP="005D1185">
            <w:r>
              <w:rPr>
                <w:sz w:val="21"/>
                <w:szCs w:val="21"/>
              </w:rPr>
              <w:t>Isolation Forest [14]</w:t>
            </w:r>
          </w:p>
        </w:tc>
        <w:tc>
          <w:tcPr>
            <w:tcW w:w="165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0F5FA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E7A0A" w:rsidRDefault="008E7A0A" w:rsidP="005D1185">
            <w:r>
              <w:rPr>
                <w:sz w:val="21"/>
                <w:szCs w:val="21"/>
              </w:rPr>
              <w:t>0.813</w:t>
            </w:r>
          </w:p>
        </w:tc>
        <w:tc>
          <w:tcPr>
            <w:tcW w:w="165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0F5FA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E7A0A" w:rsidRDefault="008E7A0A" w:rsidP="005D1185">
            <w:r>
              <w:rPr>
                <w:sz w:val="21"/>
                <w:szCs w:val="21"/>
              </w:rPr>
              <w:t>0.754</w:t>
            </w:r>
          </w:p>
        </w:tc>
        <w:tc>
          <w:tcPr>
            <w:tcW w:w="165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0F5FA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E7A0A" w:rsidRDefault="008E7A0A" w:rsidP="005D1185">
            <w:r>
              <w:rPr>
                <w:sz w:val="21"/>
                <w:szCs w:val="21"/>
              </w:rPr>
              <w:t>0.782</w:t>
            </w:r>
          </w:p>
        </w:tc>
        <w:tc>
          <w:tcPr>
            <w:tcW w:w="165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0F5FA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E7A0A" w:rsidRDefault="008E7A0A" w:rsidP="005D1185">
            <w:r>
              <w:rPr>
                <w:sz w:val="21"/>
                <w:szCs w:val="21"/>
              </w:rPr>
              <w:t>0.841</w:t>
            </w:r>
          </w:p>
        </w:tc>
      </w:tr>
      <w:tr w:rsidR="008E7A0A" w:rsidTr="005D1185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E7A0A" w:rsidRDefault="008E7A0A" w:rsidP="005D1185">
            <w:r>
              <w:rPr>
                <w:sz w:val="21"/>
                <w:szCs w:val="21"/>
              </w:rPr>
              <w:t>LSTM Autoencoder [16]</w:t>
            </w:r>
          </w:p>
        </w:tc>
        <w:tc>
          <w:tcPr>
            <w:tcW w:w="165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E7A0A" w:rsidRDefault="008E7A0A" w:rsidP="005D1185">
            <w:r>
              <w:rPr>
                <w:sz w:val="21"/>
                <w:szCs w:val="21"/>
              </w:rPr>
              <w:t>0.849</w:t>
            </w:r>
          </w:p>
        </w:tc>
        <w:tc>
          <w:tcPr>
            <w:tcW w:w="165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E7A0A" w:rsidRDefault="008E7A0A" w:rsidP="005D1185">
            <w:r>
              <w:rPr>
                <w:sz w:val="21"/>
                <w:szCs w:val="21"/>
              </w:rPr>
              <w:t>0.801</w:t>
            </w:r>
          </w:p>
        </w:tc>
        <w:tc>
          <w:tcPr>
            <w:tcW w:w="165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E7A0A" w:rsidRDefault="008E7A0A" w:rsidP="005D1185">
            <w:r>
              <w:rPr>
                <w:sz w:val="21"/>
                <w:szCs w:val="21"/>
              </w:rPr>
              <w:t>0.824</w:t>
            </w:r>
          </w:p>
        </w:tc>
        <w:tc>
          <w:tcPr>
            <w:tcW w:w="165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E7A0A" w:rsidRDefault="008E7A0A" w:rsidP="005D1185">
            <w:r>
              <w:rPr>
                <w:sz w:val="21"/>
                <w:szCs w:val="21"/>
              </w:rPr>
              <w:t>0.873</w:t>
            </w:r>
          </w:p>
        </w:tc>
      </w:tr>
      <w:tr w:rsidR="008E7A0A" w:rsidTr="005D1185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4F0E4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E7A0A" w:rsidRDefault="008E7A0A" w:rsidP="005D1185">
            <w:r>
              <w:rPr>
                <w:sz w:val="21"/>
                <w:szCs w:val="21"/>
              </w:rPr>
              <w:t>AI-EMS Ensemble</w:t>
            </w:r>
          </w:p>
        </w:tc>
        <w:tc>
          <w:tcPr>
            <w:tcW w:w="165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4F0E4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E7A0A" w:rsidRDefault="008E7A0A" w:rsidP="005D1185">
            <w:r>
              <w:rPr>
                <w:sz w:val="21"/>
                <w:szCs w:val="21"/>
              </w:rPr>
              <w:t>0.873</w:t>
            </w:r>
          </w:p>
        </w:tc>
        <w:tc>
          <w:tcPr>
            <w:tcW w:w="165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4F0E4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E7A0A" w:rsidRDefault="008E7A0A" w:rsidP="005D1185">
            <w:r>
              <w:rPr>
                <w:sz w:val="21"/>
                <w:szCs w:val="21"/>
              </w:rPr>
              <w:t>0.831</w:t>
            </w:r>
          </w:p>
        </w:tc>
        <w:tc>
          <w:tcPr>
            <w:tcW w:w="165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4F0E4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E7A0A" w:rsidRDefault="008E7A0A" w:rsidP="005D1185">
            <w:r>
              <w:rPr>
                <w:sz w:val="21"/>
                <w:szCs w:val="21"/>
              </w:rPr>
              <w:t>0.852</w:t>
            </w:r>
          </w:p>
        </w:tc>
        <w:tc>
          <w:tcPr>
            <w:tcW w:w="165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4F0E4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E7A0A" w:rsidRDefault="008E7A0A" w:rsidP="005D1185">
            <w:r>
              <w:rPr>
                <w:sz w:val="21"/>
                <w:szCs w:val="21"/>
              </w:rPr>
              <w:t>0.904</w:t>
            </w:r>
          </w:p>
        </w:tc>
      </w:tr>
      <w:tr w:rsidR="008E7A0A" w:rsidTr="005D1185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0F5FA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E7A0A" w:rsidRDefault="008E7A0A" w:rsidP="005D1185">
            <w:r>
              <w:rPr>
                <w:sz w:val="21"/>
                <w:szCs w:val="21"/>
              </w:rPr>
              <w:t>Human-Coding Baseline</w:t>
            </w:r>
          </w:p>
        </w:tc>
        <w:tc>
          <w:tcPr>
            <w:tcW w:w="165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0F5FA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E7A0A" w:rsidRDefault="008E7A0A" w:rsidP="005D1185">
            <w:r>
              <w:rPr>
                <w:sz w:val="21"/>
                <w:szCs w:val="21"/>
              </w:rPr>
              <w:t>0.734</w:t>
            </w:r>
          </w:p>
        </w:tc>
        <w:tc>
          <w:tcPr>
            <w:tcW w:w="165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0F5FA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E7A0A" w:rsidRDefault="008E7A0A" w:rsidP="005D1185">
            <w:r>
              <w:rPr>
                <w:sz w:val="21"/>
                <w:szCs w:val="21"/>
              </w:rPr>
              <w:t>0.692</w:t>
            </w:r>
          </w:p>
        </w:tc>
        <w:tc>
          <w:tcPr>
            <w:tcW w:w="165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0F5FA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E7A0A" w:rsidRDefault="008E7A0A" w:rsidP="005D1185">
            <w:r>
              <w:rPr>
                <w:sz w:val="21"/>
                <w:szCs w:val="21"/>
              </w:rPr>
              <w:t>0.712</w:t>
            </w:r>
          </w:p>
        </w:tc>
        <w:tc>
          <w:tcPr>
            <w:tcW w:w="1658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0F5FA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E7A0A" w:rsidRDefault="008E7A0A" w:rsidP="005D1185">
            <w:r>
              <w:rPr>
                <w:sz w:val="21"/>
                <w:szCs w:val="21"/>
              </w:rPr>
              <w:t>0.761</w:t>
            </w:r>
          </w:p>
        </w:tc>
      </w:tr>
    </w:tbl>
    <w:p w:rsidR="008E7A0A" w:rsidRDefault="008E7A0A" w:rsidP="008E7A0A">
      <w:pPr>
        <w:spacing w:before="80" w:after="180"/>
        <w:jc w:val="center"/>
      </w:pPr>
      <w:r>
        <w:rPr>
          <w:i/>
          <w:iCs/>
          <w:color w:val="555555"/>
          <w:sz w:val="20"/>
          <w:szCs w:val="20"/>
        </w:rPr>
        <w:t>Table 2. Anomaly detection performance on the synthetic MS test dataset (n = 7,500 records)</w:t>
      </w:r>
    </w:p>
    <w:p w:rsidR="00EE6C84" w:rsidRDefault="00EE6C84">
      <w:bookmarkStart w:id="0" w:name="_GoBack"/>
      <w:bookmarkEnd w:id="0"/>
    </w:p>
    <w:sectPr w:rsidR="00EE6C84" w:rsidSect="00A4670E">
      <w:pgSz w:w="11906" w:h="16838"/>
      <w:pgMar w:top="851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6D7"/>
    <w:rsid w:val="003E16D7"/>
    <w:rsid w:val="008E7A0A"/>
    <w:rsid w:val="00A4670E"/>
    <w:rsid w:val="00EE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A4DDE6-8DCA-4CEC-A237-DAC71DD9B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A0A"/>
    <w:pPr>
      <w:spacing w:after="0" w:line="240" w:lineRule="auto"/>
    </w:pPr>
    <w:rPr>
      <w:rFonts w:eastAsia="Times New Roman" w:cs="Times New Roman"/>
      <w:sz w:val="24"/>
      <w:szCs w:val="24"/>
      <w:lang w:val="uz-Cyrl-UZ" w:eastAsia="uz-Cyrl-UZ"/>
    </w:rPr>
  </w:style>
  <w:style w:type="paragraph" w:styleId="2">
    <w:name w:val="heading 2"/>
    <w:link w:val="20"/>
    <w:qFormat/>
    <w:rsid w:val="008E7A0A"/>
    <w:pPr>
      <w:spacing w:before="280" w:after="140" w:line="240" w:lineRule="auto"/>
      <w:outlineLvl w:val="1"/>
    </w:pPr>
    <w:rPr>
      <w:rFonts w:eastAsia="Times New Roman" w:cs="Times New Roman"/>
      <w:b/>
      <w:bCs/>
      <w:color w:val="2C5F8A"/>
      <w:sz w:val="26"/>
      <w:szCs w:val="26"/>
      <w:lang w:val="uz-Cyrl-UZ" w:eastAsia="uz-Cyrl-U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E7A0A"/>
    <w:rPr>
      <w:rFonts w:eastAsia="Times New Roman" w:cs="Times New Roman"/>
      <w:b/>
      <w:bCs/>
      <w:color w:val="2C5F8A"/>
      <w:sz w:val="26"/>
      <w:szCs w:val="26"/>
      <w:lang w:val="uz-Cyrl-UZ" w:eastAsia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4.1  Architectural Overview</vt:lpstr>
      <vt:lpstr>    5.2  Classification Performance</vt:lpstr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BAHODIR</dc:creator>
  <cp:keywords/>
  <dc:description/>
  <cp:lastModifiedBy>BAHODIR</cp:lastModifiedBy>
  <cp:revision>2</cp:revision>
  <dcterms:created xsi:type="dcterms:W3CDTF">2026-06-04T06:32:00Z</dcterms:created>
  <dcterms:modified xsi:type="dcterms:W3CDTF">2026-06-04T06:32:00Z</dcterms:modified>
</cp:coreProperties>
</file>