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0131B" w14:textId="373BDB4D" w:rsidR="005B0823" w:rsidRPr="00F858FC" w:rsidRDefault="00000000" w:rsidP="00480C92">
      <w:pPr>
        <w:adjustRightInd w:val="0"/>
        <w:snapToGrid w:val="0"/>
        <w:spacing w:line="300" w:lineRule="auto"/>
        <w:jc w:val="center"/>
        <w:rPr>
          <w:rFonts w:eastAsia="宋体"/>
          <w:b/>
          <w:bCs/>
          <w:snapToGrid w:val="0"/>
          <w:sz w:val="44"/>
          <w:szCs w:val="44"/>
        </w:rPr>
      </w:pPr>
      <w:r w:rsidRPr="00F858FC">
        <w:rPr>
          <w:rFonts w:eastAsia="MS Mincho"/>
          <w:b/>
          <w:bCs/>
          <w:sz w:val="28"/>
          <w:szCs w:val="28"/>
          <w:lang w:val="de-DE" w:eastAsia="ja-JP"/>
        </w:rPr>
        <w:t>Supplemental Material for</w:t>
      </w:r>
    </w:p>
    <w:p w14:paraId="0DD9DFFC" w14:textId="77777777" w:rsidR="005B0823" w:rsidRPr="00F858FC" w:rsidRDefault="00000000" w:rsidP="00480C92">
      <w:pPr>
        <w:adjustRightInd w:val="0"/>
        <w:snapToGrid w:val="0"/>
        <w:spacing w:line="300" w:lineRule="auto"/>
        <w:jc w:val="center"/>
        <w:rPr>
          <w:rFonts w:eastAsia="宋体"/>
          <w:b/>
          <w:bCs/>
          <w:snapToGrid w:val="0"/>
          <w:sz w:val="44"/>
          <w:szCs w:val="44"/>
        </w:rPr>
      </w:pPr>
      <w:r w:rsidRPr="00F858FC">
        <w:rPr>
          <w:rFonts w:eastAsia="MS Mincho"/>
          <w:b/>
          <w:bCs/>
          <w:sz w:val="28"/>
          <w:szCs w:val="28"/>
          <w:lang w:val="de-DE" w:eastAsia="ja-JP"/>
        </w:rPr>
        <w:t>Angle-resolved multiphoton free-free transitions of ultrafast electrons</w:t>
      </w:r>
    </w:p>
    <w:p w14:paraId="7A726C9B" w14:textId="00492591" w:rsidR="005B0823" w:rsidRPr="00974AA5" w:rsidRDefault="00974AA5" w:rsidP="00480C92">
      <w:pPr>
        <w:spacing w:line="300" w:lineRule="auto"/>
        <w:jc w:val="center"/>
        <w:rPr>
          <w:snapToGrid w:val="0"/>
          <w:sz w:val="28"/>
          <w:szCs w:val="28"/>
        </w:rPr>
      </w:pPr>
      <w:r w:rsidRPr="00974AA5">
        <w:rPr>
          <w:rFonts w:eastAsia="MS Mincho"/>
          <w:lang w:eastAsia="ja-JP"/>
        </w:rPr>
        <w:t>Changying Li</w:t>
      </w:r>
      <w:r w:rsidRPr="00974AA5">
        <w:rPr>
          <w:rFonts w:eastAsia="MS Mincho"/>
          <w:vertAlign w:val="superscript"/>
          <w:lang w:eastAsia="ja-JP"/>
        </w:rPr>
        <w:t>1</w:t>
      </w:r>
      <w:r w:rsidRPr="00974AA5">
        <w:rPr>
          <w:rFonts w:eastAsia="MS Mincho"/>
          <w:lang w:eastAsia="ja-JP"/>
        </w:rPr>
        <w:t>†, Danni Chen</w:t>
      </w:r>
      <w:r w:rsidRPr="00974AA5">
        <w:rPr>
          <w:rFonts w:eastAsia="MS Mincho"/>
          <w:vertAlign w:val="superscript"/>
          <w:lang w:eastAsia="ja-JP"/>
        </w:rPr>
        <w:t>1</w:t>
      </w:r>
      <w:r w:rsidRPr="00974AA5">
        <w:rPr>
          <w:rFonts w:eastAsia="MS Mincho"/>
          <w:lang w:eastAsia="ja-JP"/>
        </w:rPr>
        <w:t>†, Yiming Pan</w:t>
      </w:r>
      <w:r w:rsidRPr="00974AA5">
        <w:rPr>
          <w:rFonts w:eastAsia="MS Mincho"/>
          <w:vertAlign w:val="superscript"/>
          <w:lang w:eastAsia="ja-JP"/>
        </w:rPr>
        <w:t>1,2</w:t>
      </w:r>
    </w:p>
    <w:p w14:paraId="27037A03" w14:textId="77777777" w:rsidR="00E113C4" w:rsidRPr="00E113C4" w:rsidRDefault="00E113C4" w:rsidP="00E113C4">
      <w:pPr>
        <w:widowControl w:val="0"/>
        <w:spacing w:after="0" w:line="276" w:lineRule="auto"/>
        <w:ind w:left="120" w:hangingChars="50" w:hanging="120"/>
        <w:jc w:val="center"/>
        <w:rPr>
          <w:rFonts w:eastAsia="等线"/>
          <w:iCs w:val="0"/>
          <w:snapToGrid w:val="0"/>
        </w:rPr>
      </w:pPr>
      <w:r w:rsidRPr="00E113C4">
        <w:rPr>
          <w:rFonts w:eastAsia="宋体"/>
          <w:iCs w:val="0"/>
          <w:snapToGrid w:val="0"/>
          <w:vertAlign w:val="superscript"/>
        </w:rPr>
        <w:t>1</w:t>
      </w:r>
      <w:r w:rsidRPr="00E113C4">
        <w:rPr>
          <w:rFonts w:eastAsia="宋体"/>
          <w:iCs w:val="0"/>
          <w:snapToGrid w:val="0"/>
        </w:rPr>
        <w:t xml:space="preserve"> </w:t>
      </w:r>
      <w:r w:rsidRPr="00E113C4">
        <w:rPr>
          <w:rFonts w:eastAsia="MS Mincho"/>
          <w:i/>
          <w:snapToGrid w:val="0"/>
          <w:lang w:eastAsia="ja-JP"/>
        </w:rPr>
        <w:t xml:space="preserve">School of Physical Science and Technology, </w:t>
      </w:r>
      <w:proofErr w:type="spellStart"/>
      <w:r w:rsidRPr="00E113C4">
        <w:rPr>
          <w:rFonts w:eastAsia="MS Mincho"/>
          <w:i/>
          <w:snapToGrid w:val="0"/>
          <w:lang w:eastAsia="ja-JP"/>
        </w:rPr>
        <w:t>ShanghaiTech</w:t>
      </w:r>
      <w:proofErr w:type="spellEnd"/>
      <w:r w:rsidRPr="00E113C4">
        <w:rPr>
          <w:rFonts w:eastAsia="MS Mincho"/>
          <w:i/>
          <w:snapToGrid w:val="0"/>
          <w:lang w:eastAsia="ja-JP"/>
        </w:rPr>
        <w:t xml:space="preserve"> University, Shanghai 201210, China</w:t>
      </w:r>
    </w:p>
    <w:p w14:paraId="4B6C7A5D" w14:textId="77777777" w:rsidR="00E113C4" w:rsidRPr="00E113C4" w:rsidRDefault="00E113C4" w:rsidP="00E113C4">
      <w:pPr>
        <w:widowControl w:val="0"/>
        <w:spacing w:after="0" w:line="276" w:lineRule="auto"/>
        <w:ind w:left="120" w:hangingChars="50" w:hanging="120"/>
        <w:jc w:val="center"/>
        <w:rPr>
          <w:rFonts w:eastAsia="等线"/>
          <w:iCs w:val="0"/>
          <w:snapToGrid w:val="0"/>
        </w:rPr>
      </w:pPr>
      <w:r w:rsidRPr="00E113C4">
        <w:rPr>
          <w:rFonts w:eastAsia="宋体"/>
          <w:iCs w:val="0"/>
          <w:snapToGrid w:val="0"/>
          <w:vertAlign w:val="superscript"/>
        </w:rPr>
        <w:t>2</w:t>
      </w:r>
      <w:r w:rsidRPr="00E113C4">
        <w:rPr>
          <w:rFonts w:eastAsia="宋体"/>
          <w:iCs w:val="0"/>
          <w:snapToGrid w:val="0"/>
        </w:rPr>
        <w:t xml:space="preserve"> </w:t>
      </w:r>
      <w:r w:rsidRPr="00E113C4">
        <w:rPr>
          <w:rFonts w:eastAsia="MS Mincho"/>
          <w:i/>
          <w:snapToGrid w:val="0"/>
          <w:lang w:eastAsia="ja-JP"/>
        </w:rPr>
        <w:t xml:space="preserve">State Key Laboratory of Quantum Functional Materials and Center for Transformative Science, </w:t>
      </w:r>
      <w:proofErr w:type="spellStart"/>
      <w:r w:rsidRPr="00E113C4">
        <w:rPr>
          <w:rFonts w:eastAsia="MS Mincho"/>
          <w:i/>
          <w:snapToGrid w:val="0"/>
          <w:lang w:eastAsia="ja-JP"/>
        </w:rPr>
        <w:t>ShanghaiTech</w:t>
      </w:r>
      <w:proofErr w:type="spellEnd"/>
      <w:r w:rsidRPr="00E113C4">
        <w:rPr>
          <w:rFonts w:eastAsia="MS Mincho"/>
          <w:i/>
          <w:snapToGrid w:val="0"/>
          <w:lang w:eastAsia="ja-JP"/>
        </w:rPr>
        <w:t xml:space="preserve"> University, Shanghai 201210, China</w:t>
      </w:r>
    </w:p>
    <w:p w14:paraId="3657194B" w14:textId="77777777" w:rsidR="00074358" w:rsidRPr="00E113C4" w:rsidRDefault="00074358" w:rsidP="00480C92">
      <w:pPr>
        <w:adjustRightInd w:val="0"/>
        <w:snapToGrid w:val="0"/>
        <w:spacing w:line="240" w:lineRule="auto"/>
        <w:rPr>
          <w:rFonts w:eastAsia="宋体"/>
          <w:snapToGrid w:val="0"/>
        </w:rPr>
      </w:pPr>
    </w:p>
    <w:p w14:paraId="46722A70" w14:textId="1C94F9A5" w:rsidR="00A97E0C" w:rsidRDefault="00000000" w:rsidP="00480C92">
      <w:pPr>
        <w:adjustRightInd w:val="0"/>
        <w:snapToGrid w:val="0"/>
        <w:spacing w:line="240" w:lineRule="auto"/>
      </w:pPr>
      <w:r>
        <w:t xml:space="preserve">This Supplemental Material provides the technical details supporting the photonic-crystal-mediated ARMFFT framework in the main text. </w:t>
      </w:r>
    </w:p>
    <w:p w14:paraId="24D2DC83" w14:textId="77777777" w:rsidR="00A97E0C" w:rsidRDefault="00000000" w:rsidP="00480C92">
      <w:pPr>
        <w:pStyle w:val="ae"/>
        <w:numPr>
          <w:ilvl w:val="0"/>
          <w:numId w:val="1"/>
        </w:numPr>
        <w:adjustRightInd w:val="0"/>
        <w:snapToGrid w:val="0"/>
        <w:spacing w:line="240" w:lineRule="auto"/>
        <w:contextualSpacing w:val="0"/>
      </w:pPr>
      <w:r>
        <w:t xml:space="preserve">Section S1 defines the coupling-efficiency framework for optical injection and conversion into a selected </w:t>
      </w:r>
      <w:proofErr w:type="spellStart"/>
      <w:r>
        <w:t>PhC</w:t>
      </w:r>
      <w:proofErr w:type="spellEnd"/>
      <w:r>
        <w:t xml:space="preserve"> spatial harmonic. </w:t>
      </w:r>
    </w:p>
    <w:p w14:paraId="48624E8D" w14:textId="77777777" w:rsidR="00A97E0C" w:rsidRDefault="00000000" w:rsidP="00480C92">
      <w:pPr>
        <w:pStyle w:val="ae"/>
        <w:numPr>
          <w:ilvl w:val="0"/>
          <w:numId w:val="1"/>
        </w:numPr>
        <w:adjustRightInd w:val="0"/>
        <w:snapToGrid w:val="0"/>
        <w:spacing w:line="240" w:lineRule="auto"/>
        <w:contextualSpacing w:val="0"/>
      </w:pPr>
      <w:r>
        <w:t xml:space="preserve">Section S2 describes the </w:t>
      </w:r>
      <w:proofErr w:type="spellStart"/>
      <w:r>
        <w:t>PhC</w:t>
      </w:r>
      <w:proofErr w:type="spellEnd"/>
      <w:r>
        <w:t xml:space="preserve"> design and optimization used to enhance high-order Bloch harmonics near the band edge. </w:t>
      </w:r>
    </w:p>
    <w:p w14:paraId="7E6C6391" w14:textId="77777777" w:rsidR="00A97E0C" w:rsidRDefault="00000000" w:rsidP="00480C92">
      <w:pPr>
        <w:pStyle w:val="ae"/>
        <w:numPr>
          <w:ilvl w:val="0"/>
          <w:numId w:val="1"/>
        </w:numPr>
        <w:adjustRightInd w:val="0"/>
        <w:snapToGrid w:val="0"/>
        <w:spacing w:line="240" w:lineRule="auto"/>
        <w:contextualSpacing w:val="0"/>
      </w:pPr>
      <w:r>
        <w:t xml:space="preserve">Section S3 derives the coupled-mode equation for multiphoton sideband dynamics. </w:t>
      </w:r>
    </w:p>
    <w:p w14:paraId="1F34A48B" w14:textId="77777777" w:rsidR="005B0823" w:rsidRPr="00A97E0C" w:rsidRDefault="00000000" w:rsidP="00480C92">
      <w:pPr>
        <w:pStyle w:val="ae"/>
        <w:numPr>
          <w:ilvl w:val="0"/>
          <w:numId w:val="1"/>
        </w:numPr>
        <w:adjustRightInd w:val="0"/>
        <w:snapToGrid w:val="0"/>
        <w:spacing w:line="240" w:lineRule="auto"/>
        <w:contextualSpacing w:val="0"/>
        <w:rPr>
          <w:rFonts w:eastAsia="宋体"/>
          <w:snapToGrid w:val="0"/>
        </w:rPr>
      </w:pPr>
      <w:r>
        <w:t>Section S4 analyzes how external parameters control the cutoff-limited EELS and the effective dimension of the observable synthetic momentum lattice.</w:t>
      </w:r>
    </w:p>
    <w:p w14:paraId="41992D81" w14:textId="77777777" w:rsidR="00074358" w:rsidRDefault="00074358" w:rsidP="00480C92">
      <w:pPr>
        <w:spacing w:after="0" w:line="240" w:lineRule="auto"/>
        <w:jc w:val="left"/>
        <w:rPr>
          <w:rFonts w:eastAsia="宋体"/>
          <w:b/>
          <w:snapToGrid w:val="0"/>
          <w:spacing w:val="-10"/>
          <w:kern w:val="28"/>
          <w:sz w:val="28"/>
          <w:szCs w:val="28"/>
        </w:rPr>
      </w:pPr>
      <w:r>
        <w:rPr>
          <w:rFonts w:eastAsia="宋体"/>
          <w:snapToGrid w:val="0"/>
          <w:szCs w:val="28"/>
        </w:rPr>
        <w:br w:type="page"/>
      </w:r>
    </w:p>
    <w:p w14:paraId="2C7392DE" w14:textId="77777777" w:rsidR="005B0823" w:rsidRPr="0052562D" w:rsidRDefault="00000000" w:rsidP="00480C92">
      <w:pPr>
        <w:pStyle w:val="aa"/>
        <w:spacing w:beforeLines="100" w:before="240" w:afterLines="100" w:after="240" w:line="360" w:lineRule="auto"/>
        <w:contextualSpacing w:val="0"/>
        <w:outlineLvl w:val="0"/>
        <w:rPr>
          <w:rFonts w:eastAsia="宋体" w:cs="Times New Roman"/>
          <w:snapToGrid w:val="0"/>
          <w:szCs w:val="28"/>
        </w:rPr>
      </w:pPr>
      <w:r w:rsidRPr="0052562D">
        <w:rPr>
          <w:rFonts w:eastAsia="宋体" w:cs="Times New Roman"/>
          <w:snapToGrid w:val="0"/>
          <w:szCs w:val="28"/>
        </w:rPr>
        <w:lastRenderedPageBreak/>
        <w:t>S1. Design strategy for the first phase-matching process in ARMFFT</w:t>
      </w:r>
    </w:p>
    <w:p w14:paraId="2B3A3054" w14:textId="2A90F54E" w:rsidR="005B0823" w:rsidRDefault="00000000" w:rsidP="00480C92">
      <w:pPr>
        <w:spacing w:beforeLines="100" w:before="240" w:afterLines="100" w:after="240" w:line="360" w:lineRule="auto"/>
      </w:pPr>
      <w:r>
        <w:t xml:space="preserve">The first phase-matching step converts incident optical energy into a selected high-order spatial harmonic of the </w:t>
      </w:r>
      <w:proofErr w:type="spellStart"/>
      <w:r>
        <w:t>PhC</w:t>
      </w:r>
      <w:proofErr w:type="spellEnd"/>
      <w:r>
        <w:t xml:space="preserve">. This harmonic supplies the longitudinal momentum required to match the velocity of slow electrons and therefore sets the strength of the subsequent electron-light interaction. We quantify this process with a coupling efficiency </w:t>
      </w:r>
      <m:oMath>
        <m:r>
          <w:rPr>
            <w:rFonts w:ascii="Cambria Math" w:hAnsi="Cambria Math"/>
          </w:rPr>
          <m:t>η</m:t>
        </m:r>
      </m:oMath>
      <w:r>
        <w:t>, evaluated from experimentally relevant quantities such as optical power or the longitudinal electric-field intensity associated with the selected harmonic. The total efficiency can be separated into two factors:</w:t>
      </w:r>
      <w:r w:rsidR="00F858FC">
        <w:br/>
      </w:r>
      <m:oMathPara>
        <m:oMath>
          <m:eqArr>
            <m:eqArrPr>
              <m:maxDist m:val="1"/>
              <m:ctrlPr>
                <w:rPr>
                  <w:rFonts w:ascii="Cambria Math" w:eastAsia="宋体" w:hAnsi="Cambria Math"/>
                  <w:i/>
                  <w:szCs w:val="21"/>
                </w:rPr>
              </m:ctrlPr>
            </m:eqArrPr>
            <m:e>
              <m:r>
                <w:rPr>
                  <w:rFonts w:ascii="Cambria Math" w:eastAsia="宋体" w:hAnsi="Cambria Math"/>
                  <w:szCs w:val="21"/>
                </w:rPr>
                <m:t>η</m:t>
              </m:r>
              <m:r>
                <w:rPr>
                  <w:rFonts w:ascii="Cambria Math" w:eastAsia="宋体" w:hAnsi="Cambria Math"/>
                  <w:szCs w:val="21"/>
                  <w:lang w:val="de-DE"/>
                </w:rPr>
                <m:t>=</m:t>
              </m:r>
              <m:sSub>
                <m:sSubPr>
                  <m:ctrlPr>
                    <w:rPr>
                      <w:rFonts w:ascii="Cambria Math" w:eastAsia="宋体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Cs w:val="21"/>
                    </w:rPr>
                    <m:t>η</m:t>
                  </m:r>
                </m:e>
                <m:sub>
                  <m:r>
                    <w:rPr>
                      <w:rFonts w:ascii="Cambria Math" w:eastAsia="宋体" w:hAnsi="Cambria Math"/>
                      <w:szCs w:val="21"/>
                    </w:rPr>
                    <m:t>C</m:t>
                  </m:r>
                </m:sub>
              </m:sSub>
              <m:r>
                <w:rPr>
                  <w:rFonts w:ascii="Cambria Math" w:eastAsia="宋体" w:hAnsi="Cambria Math"/>
                  <w:szCs w:val="21"/>
                  <w:lang w:val="de-DE"/>
                </w:rPr>
                <m:t>⋅</m:t>
              </m:r>
              <m:sSub>
                <m:sSubPr>
                  <m:ctrlPr>
                    <w:rPr>
                      <w:rFonts w:ascii="Cambria Math" w:eastAsia="宋体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Cs w:val="21"/>
                    </w:rPr>
                    <m:t>η</m:t>
                  </m:r>
                </m:e>
                <m:sub>
                  <m:r>
                    <w:rPr>
                      <w:rFonts w:ascii="Cambria Math" w:eastAsia="宋体" w:hAnsi="Cambria Math"/>
                      <w:szCs w:val="21"/>
                    </w:rPr>
                    <m:t>P</m:t>
                  </m:r>
                  <m:r>
                    <w:rPr>
                      <w:rFonts w:ascii="Cambria Math" w:eastAsia="宋体" w:hAnsi="Cambria Math"/>
                      <w:szCs w:val="21"/>
                      <w:lang w:val="de-DE"/>
                    </w:rPr>
                    <m:t>h</m:t>
                  </m:r>
                  <m:r>
                    <w:rPr>
                      <w:rFonts w:ascii="Cambria Math" w:eastAsia="宋体" w:hAnsi="Cambria Math"/>
                      <w:szCs w:val="21"/>
                    </w:rPr>
                    <m:t>C</m:t>
                  </m:r>
                </m:sub>
              </m:sSub>
              <m:r>
                <w:rPr>
                  <w:rFonts w:ascii="Cambria Math" w:eastAsia="宋体" w:hAnsi="Cambria Math"/>
                  <w:szCs w:val="21"/>
                  <w:lang w:val="de-DE"/>
                </w:rPr>
                <m:t>#</m:t>
              </m:r>
              <m:d>
                <m:dPr>
                  <m:ctrlPr>
                    <w:rPr>
                      <w:rFonts w:ascii="Cambria Math" w:eastAsia="宋体" w:hAnsi="Cambria Math"/>
                      <w:i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宋体" w:hAnsi="Cambria Math"/>
                      <w:szCs w:val="21"/>
                      <w:lang w:val="de-DE"/>
                    </w:rPr>
                    <m:t>S1</m:t>
                  </m:r>
                </m:e>
              </m:d>
            </m:e>
          </m:eqArr>
          <m:r>
            <m:rPr>
              <m:sty m:val="p"/>
            </m:rPr>
            <w:rPr>
              <w:szCs w:val="21"/>
            </w:rPr>
            <w:br/>
          </m:r>
        </m:oMath>
      </m:oMathPara>
      <w:r>
        <w:t xml:space="preserve">Here,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t xml:space="preserve"> is the optical-injection efficiency, namely the efficiency for coupling external light into the integrated photonic platform, whereas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de-DE"/>
              </w:rPr>
              <m:t>h</m:t>
            </m:r>
            <m:r>
              <w:rPr>
                <w:rFonts w:ascii="Cambria Math" w:hAnsi="Cambria Math"/>
              </w:rPr>
              <m:t>C</m:t>
            </m:r>
          </m:sub>
        </m:sSub>
      </m:oMath>
      <w:r>
        <w:t xml:space="preserve"> is the PhC harmonic-conversion efficiency, namely the efficiency for transferring the on-chip field into the selected spatial harmonic. Eq. (S1) separates these two physical bottlenecks and motivates two optimization routes: optimize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de-DE"/>
              </w:rPr>
              <m:t>h</m:t>
            </m:r>
            <m:r>
              <w:rPr>
                <w:rFonts w:ascii="Cambria Math" w:hAnsi="Cambria Math"/>
              </w:rPr>
              <m:t>C</m:t>
            </m:r>
          </m:sub>
        </m:sSub>
      </m:oMath>
      <w:r>
        <w:t xml:space="preserve"> independently, or optimize the total efficiency </w:t>
      </w:r>
      <m:oMath>
        <m:r>
          <w:rPr>
            <w:rFonts w:ascii="Cambria Math" w:hAnsi="Cambria Math"/>
          </w:rPr>
          <m:t>η</m:t>
        </m:r>
      </m:oMath>
      <w:r>
        <w:t xml:space="preserve"> in a global co-design.</w:t>
      </w:r>
    </w:p>
    <w:p w14:paraId="41926121" w14:textId="1354951A" w:rsidR="00F858FC" w:rsidRPr="00974AA5" w:rsidRDefault="00F858FC" w:rsidP="00480C92">
      <w:pPr>
        <w:spacing w:beforeLines="100" w:before="240" w:afterLines="100" w:after="240" w:line="360" w:lineRule="auto"/>
        <w:rPr>
          <w:b/>
          <w:bCs/>
          <w:lang w:val="de-DE"/>
        </w:rPr>
      </w:pPr>
      <w:r w:rsidRPr="00974AA5">
        <w:rPr>
          <w:b/>
          <w:bCs/>
        </w:rPr>
        <w:t xml:space="preserve">(1) </w:t>
      </w:r>
      <w:r>
        <w:rPr>
          <w:rFonts w:hint="eastAsia"/>
          <w:b/>
          <w:bCs/>
        </w:rPr>
        <w:t>S</w:t>
      </w:r>
      <w:r w:rsidRPr="00974AA5">
        <w:rPr>
          <w:b/>
          <w:bCs/>
        </w:rPr>
        <w:t>eparated optimization route</w:t>
      </w:r>
    </w:p>
    <w:p w14:paraId="725CDEB4" w14:textId="161F6ACF" w:rsidR="005B0823" w:rsidRDefault="00000000" w:rsidP="00480C92">
      <w:pPr>
        <w:spacing w:beforeLines="100" w:before="240" w:afterLines="100" w:after="240" w:line="360" w:lineRule="auto"/>
        <w:rPr>
          <w:szCs w:val="28"/>
        </w:rPr>
      </w:pPr>
      <w:r>
        <w:t xml:space="preserve">In the separated optimization route, optical injection and </w:t>
      </w:r>
      <w:proofErr w:type="spellStart"/>
      <w:r>
        <w:t>PhC</w:t>
      </w:r>
      <w:proofErr w:type="spellEnd"/>
      <w:r>
        <w:t xml:space="preserve"> harmonic conversion are treated as two linked but individually optimizable steps. First, light is coupled into the integrated photonic platform using a high-</w:t>
      </w:r>
      <m:oMath>
        <m:sSub>
          <m:sSubPr>
            <m:ctrlPr>
              <w:rPr>
                <w:rFonts w:ascii="Cambria Math" w:eastAsia="宋体" w:hAnsi="Cambria Math"/>
                <w:i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η</m:t>
            </m:r>
          </m:e>
          <m:sub>
            <m:r>
              <w:rPr>
                <w:rFonts w:ascii="Cambria Math" w:eastAsia="宋体" w:hAnsi="Cambria Math"/>
                <w:szCs w:val="21"/>
              </w:rPr>
              <m:t>C</m:t>
            </m:r>
          </m:sub>
        </m:sSub>
      </m:oMath>
      <w:r>
        <w:t xml:space="preserve"> coupler, such as a grating coupler, edge coupler, prism coupler, or fiber-based coupler, and is then delivered to the </w:t>
      </w:r>
      <w:proofErr w:type="spellStart"/>
      <w:r>
        <w:t>PhC</w:t>
      </w:r>
      <w:proofErr w:type="spellEnd"/>
      <w:r>
        <w:t xml:space="preserve"> through an intermediate modulator. The </w:t>
      </w:r>
      <w:proofErr w:type="spellStart"/>
      <w:r>
        <w:t>PhC</w:t>
      </w:r>
      <w:proofErr w:type="spellEnd"/>
      <w:r>
        <w:t xml:space="preserve"> geometry is then optimized to enhance </w:t>
      </w:r>
      <m:oMath>
        <m:sSub>
          <m:sSubPr>
            <m:ctrlPr>
              <w:rPr>
                <w:rFonts w:ascii="Cambria Math" w:eastAsia="宋体" w:hAnsi="Cambria Math"/>
                <w:i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η</m:t>
            </m:r>
          </m:e>
          <m:sub>
            <m:r>
              <w:rPr>
                <w:rFonts w:ascii="Cambria Math" w:eastAsia="宋体" w:hAnsi="Cambria Math"/>
                <w:szCs w:val="21"/>
              </w:rPr>
              <m:t>P</m:t>
            </m:r>
            <m:r>
              <w:rPr>
                <w:rFonts w:ascii="Cambria Math" w:eastAsia="宋体" w:hAnsi="Cambria Math"/>
                <w:szCs w:val="21"/>
                <w:lang w:val="de-DE"/>
              </w:rPr>
              <m:t>h</m:t>
            </m:r>
            <m:r>
              <w:rPr>
                <w:rFonts w:ascii="Cambria Math" w:eastAsia="宋体" w:hAnsi="Cambria Math"/>
                <w:szCs w:val="21"/>
              </w:rPr>
              <m:t>C</m:t>
            </m:r>
          </m:sub>
        </m:sSub>
      </m:oMath>
      <w:r>
        <w:t xml:space="preserve">. Together, the two steps increase the overall coupling efficiency </w:t>
      </w:r>
      <m:oMath>
        <m:r>
          <w:rPr>
            <w:rFonts w:ascii="Cambria Math" w:eastAsia="宋体" w:hAnsi="Cambria Math"/>
            <w:szCs w:val="21"/>
          </w:rPr>
          <m:t>η</m:t>
        </m:r>
      </m:oMath>
      <w:r>
        <w:t>. When the intermediate element is minimized or omitted, efficient transfer can instead be maintained through a closely matched coupler-PhC interface.</w:t>
      </w:r>
    </w:p>
    <w:p w14:paraId="07B6D0FF" w14:textId="65C89A07" w:rsidR="005B0823" w:rsidRDefault="00000000" w:rsidP="00480C92">
      <w:pPr>
        <w:spacing w:beforeLines="100" w:before="240" w:afterLines="100" w:after="240" w:line="360" w:lineRule="auto"/>
        <w:rPr>
          <w:szCs w:val="28"/>
        </w:rPr>
      </w:pPr>
      <w:r>
        <w:t xml:space="preserve">As a simple implementation of this separated strategy, consider a tailored </w:t>
      </w:r>
      <w:proofErr w:type="spellStart"/>
      <w:r>
        <w:t>PhC</w:t>
      </w:r>
      <w:proofErr w:type="spellEnd"/>
      <w:r>
        <w:t xml:space="preserve"> with period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>
        <w:t xml:space="preserve"> seamlessly connected to a grating coupler with pitch </w:t>
      </w:r>
      <m:oMath>
        <m:r>
          <w:rPr>
            <w:rFonts w:ascii="Cambria Math" w:hAnsi="Cambria Math"/>
          </w:rPr>
          <m:t>a</m:t>
        </m:r>
      </m:oMath>
      <w:r>
        <w:t xml:space="preserve">. A free-space laser with angular frequency </w:t>
      </w:r>
      <m:oMath>
        <m:r>
          <w:rPr>
            <w:rFonts w:ascii="Cambria Math" w:hAnsi="Cambria Math"/>
            <w:szCs w:val="28"/>
          </w:rPr>
          <m:t>ω</m:t>
        </m:r>
      </m:oMath>
      <w:r>
        <w:t xml:space="preserve"> and incidence angle </w:t>
      </w:r>
      <m:oMath>
        <m:sSub>
          <m:sSubPr>
            <m:ctrlPr>
              <w:rPr>
                <w:rFonts w:ascii="Cambria Math" w:eastAsia="宋体" w:hAnsi="Cambria Math"/>
                <w:i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θ</m:t>
            </m:r>
          </m:e>
          <m:sub>
            <m:r>
              <w:rPr>
                <w:rFonts w:ascii="Cambria Math" w:eastAsia="宋体" w:hAnsi="Cambria Math"/>
                <w:szCs w:val="21"/>
              </w:rPr>
              <m:t>L</m:t>
            </m:r>
          </m:sub>
        </m:sSub>
      </m:oMath>
      <w:r>
        <w:t xml:space="preserve"> relative to the vertical y direction serves as the excitation source. Efficient momentum matching among the incident field, grating coupler, and selected PhC harmonic is obtained when</w:t>
      </w:r>
      <w:r w:rsidR="00F858FC">
        <w:br/>
      </w:r>
      <m:oMathPara>
        <m:oMath>
          <m:eqArr>
            <m:eqArrPr>
              <m:maxDist m:val="1"/>
              <m:ctrlPr>
                <w:rPr>
                  <w:rFonts w:ascii="Cambria Math" w:eastAsia="宋体" w:hAnsi="Cambria Math"/>
                  <w:i/>
                  <w:szCs w:val="21"/>
                </w:rPr>
              </m:ctrlPr>
            </m:eqArrPr>
            <m:e>
              <m:sSub>
                <m:sSubPr>
                  <m:ctrlPr>
                    <w:rPr>
                      <w:rFonts w:ascii="Cambria Math" w:eastAsia="宋体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Cs w:val="21"/>
                    </w:rPr>
                    <m:t>k</m:t>
                  </m:r>
                </m:e>
                <m:sub>
                  <m:r>
                    <w:rPr>
                      <w:rFonts w:ascii="Cambria Math" w:eastAsia="宋体" w:hAnsi="Cambria Math"/>
                      <w:szCs w:val="21"/>
                    </w:rPr>
                    <m:t>0</m:t>
                  </m:r>
                </m:sub>
              </m:sSub>
              <m:func>
                <m:funcPr>
                  <m:ctrlPr>
                    <w:rPr>
                      <w:rFonts w:ascii="Cambria Math" w:eastAsia="宋体" w:hAnsi="Cambria Math"/>
                      <w:i/>
                      <w:szCs w:val="2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宋体" w:hAnsi="Cambria Math"/>
                      <w:szCs w:val="21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="宋体" w:hAnsi="Cambria Math"/>
                          <w:i/>
                          <w:szCs w:val="21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宋体" w:hAnsi="Cambria Math"/>
                              <w:i/>
                              <w:szCs w:val="2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宋体" w:hAnsi="Cambria Math"/>
                              <w:szCs w:val="21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宋体" w:hAnsi="Cambria Math"/>
                              <w:szCs w:val="21"/>
                            </w:rPr>
                            <m:t>L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="宋体" w:hAnsi="Cambria Math"/>
                  <w:szCs w:val="21"/>
                </w:rPr>
                <m:t>+l</m:t>
              </m:r>
              <m:f>
                <m:fPr>
                  <m:ctrlPr>
                    <w:rPr>
                      <w:rFonts w:ascii="Cambria Math" w:eastAsia="宋体" w:hAnsi="Cambria Math"/>
                      <w:i/>
                      <w:szCs w:val="21"/>
                    </w:rPr>
                  </m:ctrlPr>
                </m:fPr>
                <m:num>
                  <m:r>
                    <w:rPr>
                      <w:rFonts w:ascii="Cambria Math" w:eastAsia="宋体" w:hAnsi="Cambria Math"/>
                      <w:szCs w:val="21"/>
                    </w:rPr>
                    <m:t>2π</m:t>
                  </m:r>
                </m:num>
                <m:den>
                  <m:r>
                    <w:rPr>
                      <w:rFonts w:ascii="Cambria Math" w:eastAsia="宋体" w:hAnsi="Cambria Math"/>
                      <w:szCs w:val="21"/>
                    </w:rPr>
                    <m:t>a</m:t>
                  </m:r>
                </m:den>
              </m:f>
              <m:r>
                <w:rPr>
                  <w:rFonts w:ascii="Cambria Math" w:eastAsia="宋体" w:hAnsi="Cambria Math"/>
                  <w:szCs w:val="21"/>
                </w:rPr>
                <m:t>=</m:t>
              </m:r>
              <m:sSub>
                <m:sSubPr>
                  <m:ctrlPr>
                    <w:rPr>
                      <w:rFonts w:ascii="Cambria Math" w:eastAsia="宋体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Cs w:val="21"/>
                    </w:rPr>
                    <m:t>k</m:t>
                  </m:r>
                </m:e>
                <m:sub>
                  <m:r>
                    <w:rPr>
                      <w:rFonts w:ascii="Cambria Math" w:eastAsia="宋体" w:hAnsi="Cambria Math"/>
                      <w:szCs w:val="21"/>
                    </w:rPr>
                    <m:t>PhC</m:t>
                  </m:r>
                </m:sub>
              </m:sSub>
              <m:r>
                <w:rPr>
                  <w:rFonts w:ascii="Cambria Math" w:eastAsia="宋体" w:hAnsi="Cambria Math"/>
                  <w:szCs w:val="21"/>
                </w:rPr>
                <m:t>+m</m:t>
              </m:r>
              <m:f>
                <m:fPr>
                  <m:ctrlPr>
                    <w:rPr>
                      <w:rFonts w:ascii="Cambria Math" w:eastAsia="宋体" w:hAnsi="Cambria Math"/>
                      <w:i/>
                      <w:szCs w:val="21"/>
                    </w:rPr>
                  </m:ctrlPr>
                </m:fPr>
                <m:num>
                  <m:r>
                    <w:rPr>
                      <w:rFonts w:ascii="Cambria Math" w:eastAsia="宋体" w:hAnsi="Cambria Math"/>
                      <w:szCs w:val="21"/>
                    </w:rPr>
                    <m:t>2π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宋体" w:hAnsi="Cambria Math"/>
                      <w:szCs w:val="21"/>
                    </w:rPr>
                    <m:t>Λ</m:t>
                  </m:r>
                </m:den>
              </m:f>
              <m:r>
                <w:rPr>
                  <w:rFonts w:ascii="Cambria Math" w:eastAsia="宋体" w:hAnsi="Cambria Math"/>
                  <w:szCs w:val="21"/>
                </w:rPr>
                <m:t>#</m:t>
              </m:r>
              <m:d>
                <m:dPr>
                  <m:ctrlPr>
                    <w:rPr>
                      <w:rFonts w:ascii="Cambria Math" w:eastAsia="宋体" w:hAnsi="Cambria Math"/>
                      <w:i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宋体" w:hAnsi="Cambria Math"/>
                      <w:szCs w:val="21"/>
                    </w:rPr>
                    <m:t>S2</m:t>
                  </m:r>
                </m:e>
              </m:d>
            </m:e>
          </m:eqArr>
          <m:r>
            <m:rPr>
              <m:sty m:val="p"/>
            </m:rPr>
            <w:rPr>
              <w:szCs w:val="21"/>
            </w:rPr>
            <w:br/>
          </m:r>
        </m:oMath>
      </m:oMathPara>
      <w:r>
        <w:t xml:space="preserve">where </w:t>
      </w:r>
      <m:oMath>
        <m:sSub>
          <m:sSubPr>
            <m:ctrlPr>
              <w:rPr>
                <w:rFonts w:ascii="Cambria Math" w:eastAsia="宋体" w:hAnsi="Cambria Math"/>
                <w:i/>
                <w:szCs w:val="22"/>
              </w:rPr>
            </m:ctrlPr>
          </m:sSubPr>
          <m:e>
            <m:r>
              <w:rPr>
                <w:rFonts w:ascii="Cambria Math" w:eastAsia="宋体" w:hAnsi="Cambria Math"/>
                <w:szCs w:val="22"/>
              </w:rPr>
              <m:t>k</m:t>
            </m:r>
          </m:e>
          <m:sub>
            <m:r>
              <w:rPr>
                <w:rFonts w:ascii="Cambria Math" w:eastAsia="宋体" w:hAnsi="Cambria Math"/>
                <w:szCs w:val="22"/>
              </w:rPr>
              <m:t>0</m:t>
            </m:r>
          </m:sub>
        </m:sSub>
        <m:r>
          <w:rPr>
            <w:rFonts w:ascii="Cambria Math" w:eastAsia="宋体" w:hAnsi="Cambria Math"/>
            <w:szCs w:val="22"/>
          </w:rPr>
          <m:t>=ω/c</m:t>
        </m:r>
      </m:oMath>
      <w:r>
        <w:t xml:space="preserve"> is the free-space wave number, and </w:t>
      </w:r>
      <m:oMath>
        <m:r>
          <w:rPr>
            <w:rFonts w:ascii="Cambria Math" w:hAnsi="Cambria Math"/>
            <w:szCs w:val="28"/>
          </w:rPr>
          <m:t>l</m:t>
        </m:r>
      </m:oMath>
      <w:r>
        <w:t xml:space="preserve"> and </w:t>
      </w:r>
      <m:oMath>
        <m:r>
          <w:rPr>
            <w:rFonts w:ascii="Cambria Math" w:hAnsi="Cambria Math"/>
            <w:szCs w:val="28"/>
          </w:rPr>
          <m:t>m</m:t>
        </m:r>
      </m:oMath>
      <w:r>
        <w:t xml:space="preserve"> are integers. Under this condition, the injected optical field is phase-matched to the </w:t>
      </w:r>
      <m:oMath>
        <m:r>
          <w:rPr>
            <w:rFonts w:ascii="Cambria Math" w:hAnsi="Cambria Math"/>
            <w:szCs w:val="28"/>
          </w:rPr>
          <m:t>m</m:t>
        </m:r>
      </m:oMath>
      <w:r>
        <w:t xml:space="preserve">-th spatial harmonic of the PhC, thereby increasing </w:t>
      </w:r>
      <m:oMath>
        <m:sSub>
          <m:sSubPr>
            <m:ctrlPr>
              <w:rPr>
                <w:rFonts w:ascii="Cambria Math" w:eastAsia="宋体" w:hAnsi="Cambria Math"/>
                <w:i/>
                <w:szCs w:val="22"/>
              </w:rPr>
            </m:ctrlPr>
          </m:sSubPr>
          <m:e>
            <m:r>
              <w:rPr>
                <w:rFonts w:ascii="Cambria Math" w:eastAsia="宋体" w:hAnsi="Cambria Math"/>
                <w:szCs w:val="22"/>
              </w:rPr>
              <m:t>η</m:t>
            </m:r>
          </m:e>
          <m:sub>
            <m:r>
              <w:rPr>
                <w:rFonts w:ascii="Cambria Math" w:eastAsia="宋体" w:hAnsi="Cambria Math"/>
                <w:szCs w:val="22"/>
              </w:rPr>
              <m:t>PhC</m:t>
            </m:r>
          </m:sub>
        </m:sSub>
      </m:oMath>
      <w:r>
        <w:t xml:space="preserve">. Using an apodized grating coupler and choosing </w:t>
      </w:r>
      <m:oMath>
        <m:r>
          <w:rPr>
            <w:rFonts w:ascii="Cambria Math" w:eastAsia="宋体" w:hAnsi="Cambria Math"/>
            <w:szCs w:val="22"/>
          </w:rPr>
          <m:t>l</m:t>
        </m:r>
      </m:oMath>
      <w:r>
        <w:t xml:space="preserve"> = 1 can further improve </w:t>
      </w:r>
      <m:oMath>
        <m:sSub>
          <m:sSubPr>
            <m:ctrlPr>
              <w:rPr>
                <w:rFonts w:ascii="Cambria Math" w:eastAsia="宋体" w:hAnsi="Cambria Math"/>
                <w:i/>
                <w:szCs w:val="22"/>
              </w:rPr>
            </m:ctrlPr>
          </m:sSubPr>
          <m:e>
            <m:r>
              <w:rPr>
                <w:rFonts w:ascii="Cambria Math" w:eastAsia="宋体" w:hAnsi="Cambria Math"/>
                <w:szCs w:val="22"/>
              </w:rPr>
              <m:t>η</m:t>
            </m:r>
          </m:e>
          <m:sub>
            <m:r>
              <w:rPr>
                <w:rFonts w:ascii="Cambria Math" w:eastAsia="宋体" w:hAnsi="Cambria Math"/>
                <w:szCs w:val="22"/>
              </w:rPr>
              <m:t>C</m:t>
            </m:r>
          </m:sub>
        </m:sSub>
      </m:oMath>
      <w:r>
        <w:t xml:space="preserve"> and hence the total efficiency </w:t>
      </w:r>
      <m:oMath>
        <m:r>
          <w:rPr>
            <w:rFonts w:ascii="Cambria Math" w:eastAsia="宋体" w:hAnsi="Cambria Math"/>
            <w:szCs w:val="22"/>
          </w:rPr>
          <m:t>η</m:t>
        </m:r>
      </m:oMath>
      <w:r>
        <w:t>. Thus, when the system can be decomposed into a light-injection part and a PhC interaction part, the optimization can be organized as two coupled but practically separable design tasks.</w:t>
      </w:r>
    </w:p>
    <w:p w14:paraId="078E379A" w14:textId="5AE5411F" w:rsidR="00F858FC" w:rsidRPr="00E87125" w:rsidRDefault="00F858FC" w:rsidP="00480C92">
      <w:pPr>
        <w:spacing w:beforeLines="100" w:before="240" w:afterLines="100" w:after="240" w:line="360" w:lineRule="auto"/>
        <w:rPr>
          <w:b/>
          <w:bCs/>
          <w:lang w:val="de-DE"/>
        </w:rPr>
      </w:pPr>
      <w:r w:rsidRPr="00E87125">
        <w:rPr>
          <w:rFonts w:hint="eastAsia"/>
          <w:b/>
          <w:bCs/>
        </w:rPr>
        <w:t>(</w:t>
      </w:r>
      <w:r>
        <w:rPr>
          <w:rFonts w:hint="eastAsia"/>
          <w:b/>
          <w:bCs/>
        </w:rPr>
        <w:t>2</w:t>
      </w:r>
      <w:r w:rsidRPr="00E87125">
        <w:rPr>
          <w:rFonts w:hint="eastAsia"/>
          <w:b/>
          <w:bCs/>
        </w:rPr>
        <w:t xml:space="preserve">) </w:t>
      </w:r>
      <w:r>
        <w:rPr>
          <w:rFonts w:hint="eastAsia"/>
          <w:b/>
          <w:bCs/>
        </w:rPr>
        <w:t>G</w:t>
      </w:r>
      <w:r w:rsidRPr="00F858FC">
        <w:rPr>
          <w:b/>
          <w:bCs/>
        </w:rPr>
        <w:t>lobal co-design</w:t>
      </w:r>
      <w:r w:rsidRPr="00E87125">
        <w:rPr>
          <w:b/>
          <w:bCs/>
        </w:rPr>
        <w:t xml:space="preserve"> route</w:t>
      </w:r>
    </w:p>
    <w:p w14:paraId="0B7C73BF" w14:textId="5BC9F215" w:rsidR="005B0823" w:rsidRDefault="00000000" w:rsidP="00480C92">
      <w:pPr>
        <w:spacing w:beforeLines="100" w:before="240" w:afterLines="100" w:after="240" w:line="360" w:lineRule="auto"/>
      </w:pPr>
      <w:r>
        <w:lastRenderedPageBreak/>
        <w:t xml:space="preserve">A more general strategy is to optimize the optical coupler and </w:t>
      </w:r>
      <w:proofErr w:type="spellStart"/>
      <w:r>
        <w:t>PhC</w:t>
      </w:r>
      <w:proofErr w:type="spellEnd"/>
      <w:r>
        <w:t xml:space="preserve"> as a single integrated structure. In this global route, the geometric parameters of both components are combined into one design vector and optimized against a chosen performance metric </w:t>
      </w:r>
      <w:r w:rsidR="00F858FC">
        <w:rPr>
          <w:rFonts w:hint="eastAsia"/>
        </w:rPr>
        <w:t>(</w:t>
      </w:r>
      <w:r>
        <w:t>for example</w:t>
      </w:r>
      <w:r w:rsidR="00F858FC">
        <w:rPr>
          <w:rFonts w:hint="eastAsia"/>
        </w:rPr>
        <w:t>,</w:t>
      </w:r>
      <w:r>
        <w:t xml:space="preserve"> the field amplitude in the selected spatial harmonic</w:t>
      </w:r>
      <w:r w:rsidR="00F858FC">
        <w:rPr>
          <w:rFonts w:hint="eastAsia"/>
        </w:rPr>
        <w:t>)</w:t>
      </w:r>
      <w:r>
        <w:t>. Inverse design, particle-swarm optimization, or related numerical methods can then be used to maximize this metric. Such co-design may improve overall efficiency, but it requires substantially larger computational resources and is not necessary for establishing the ARMFFT mechanism considered here.</w:t>
      </w:r>
    </w:p>
    <w:p w14:paraId="55FC101D" w14:textId="3E5995D4" w:rsidR="00F858FC" w:rsidRPr="00974AA5" w:rsidRDefault="00F858FC" w:rsidP="00480C92">
      <w:pPr>
        <w:spacing w:beforeLines="100" w:before="240" w:afterLines="100" w:after="240" w:line="360" w:lineRule="auto"/>
        <w:rPr>
          <w:b/>
          <w:bCs/>
          <w:lang w:val="de-DE"/>
        </w:rPr>
      </w:pPr>
      <w:r w:rsidRPr="00E87125">
        <w:rPr>
          <w:rFonts w:hint="eastAsia"/>
          <w:b/>
          <w:bCs/>
        </w:rPr>
        <w:t>(</w:t>
      </w:r>
      <w:r>
        <w:rPr>
          <w:rFonts w:hint="eastAsia"/>
          <w:b/>
          <w:bCs/>
        </w:rPr>
        <w:t>3</w:t>
      </w:r>
      <w:r w:rsidRPr="00E87125">
        <w:rPr>
          <w:rFonts w:hint="eastAsia"/>
          <w:b/>
          <w:bCs/>
        </w:rPr>
        <w:t xml:space="preserve">) </w:t>
      </w:r>
      <w:r>
        <w:rPr>
          <w:rFonts w:hint="eastAsia"/>
          <w:b/>
          <w:bCs/>
        </w:rPr>
        <w:t>Our</w:t>
      </w:r>
      <w:r w:rsidRPr="00E87125">
        <w:rPr>
          <w:b/>
          <w:bCs/>
        </w:rPr>
        <w:t xml:space="preserve"> </w:t>
      </w:r>
      <w:r>
        <w:rPr>
          <w:rFonts w:hint="eastAsia"/>
          <w:b/>
          <w:bCs/>
        </w:rPr>
        <w:t>design</w:t>
      </w:r>
    </w:p>
    <w:p w14:paraId="40712733" w14:textId="0785AC52" w:rsidR="005B0823" w:rsidRPr="00896932" w:rsidRDefault="00000000" w:rsidP="00480C92">
      <w:pPr>
        <w:spacing w:beforeLines="100" w:before="240" w:afterLines="100" w:after="240" w:line="360" w:lineRule="auto"/>
      </w:pPr>
      <w:r>
        <w:t>In the main text, we adopt the separated two-step strategy</w:t>
      </w:r>
      <w:r w:rsidR="00F858FC">
        <w:rPr>
          <w:rFonts w:hint="eastAsia"/>
        </w:rPr>
        <w:t>:</w:t>
      </w:r>
      <w:r>
        <w:t xml:space="preserve"> (</w:t>
      </w:r>
      <w:proofErr w:type="spellStart"/>
      <w:r w:rsidR="00896932">
        <w:t>i</w:t>
      </w:r>
      <w:proofErr w:type="spellEnd"/>
      <w:r>
        <w:t xml:space="preserve">) a coupler injects free-space light into an integrated optical waveguide, corresponding to </w:t>
      </w:r>
      <m:oMath>
        <m:sSub>
          <m:sSubPr>
            <m:ctrlPr>
              <w:rPr>
                <w:rFonts w:ascii="Cambria Math" w:eastAsia="宋体" w:hAnsi="Cambria Math"/>
                <w:bCs/>
                <w:i/>
                <w:kern w:val="2"/>
                <w:szCs w:val="22"/>
              </w:rPr>
            </m:ctrlPr>
          </m:sSubPr>
          <m:e>
            <m:r>
              <w:rPr>
                <w:rFonts w:ascii="Cambria Math" w:eastAsia="宋体" w:hAnsi="Cambria Math"/>
                <w:szCs w:val="22"/>
              </w:rPr>
              <m:t>η</m:t>
            </m:r>
          </m:e>
          <m:sub>
            <m:r>
              <w:rPr>
                <w:rFonts w:ascii="Cambria Math" w:eastAsia="宋体" w:hAnsi="Cambria Math"/>
                <w:szCs w:val="22"/>
              </w:rPr>
              <m:t>C</m:t>
            </m:r>
          </m:sub>
        </m:sSub>
      </m:oMath>
      <w:r>
        <w:t>, and (</w:t>
      </w:r>
      <w:r w:rsidR="00896932">
        <w:t>ii</w:t>
      </w:r>
      <w:r>
        <w:t xml:space="preserve">) the guided mode enters the </w:t>
      </w:r>
      <w:proofErr w:type="spellStart"/>
      <w:r>
        <w:t>PhC</w:t>
      </w:r>
      <w:proofErr w:type="spellEnd"/>
      <w:r>
        <w:t xml:space="preserve"> and excites high-order spatial harmonics, corresponding to </w:t>
      </w:r>
      <m:oMath>
        <m:sSub>
          <m:sSubPr>
            <m:ctrlPr>
              <w:rPr>
                <w:rFonts w:ascii="Cambria Math" w:eastAsia="宋体" w:hAnsi="Cambria Math"/>
                <w:bCs/>
                <w:i/>
                <w:kern w:val="2"/>
                <w:szCs w:val="22"/>
              </w:rPr>
            </m:ctrlPr>
          </m:sSubPr>
          <m:e>
            <m:r>
              <w:rPr>
                <w:rFonts w:ascii="Cambria Math" w:eastAsia="宋体" w:hAnsi="Cambria Math"/>
                <w:szCs w:val="22"/>
              </w:rPr>
              <m:t>η</m:t>
            </m:r>
          </m:e>
          <m:sub>
            <m:r>
              <w:rPr>
                <w:rFonts w:ascii="Cambria Math" w:eastAsia="宋体" w:hAnsi="Cambria Math"/>
                <w:szCs w:val="22"/>
              </w:rPr>
              <m:t>PhC</m:t>
            </m:r>
          </m:sub>
        </m:sSub>
      </m:oMath>
      <w:r>
        <w:t xml:space="preserve">. </w:t>
      </w:r>
      <w:r w:rsidR="00F858FC">
        <w:rPr>
          <w:rFonts w:hint="eastAsia"/>
        </w:rPr>
        <w:t xml:space="preserve">Since </w:t>
      </w:r>
      <w:r w:rsidR="00F858FC" w:rsidRPr="00F858FC">
        <w:t>integrated-photonic couplers can already provide substantial injection efficiency</w:t>
      </w:r>
      <w:r w:rsidR="00F858FC">
        <w:rPr>
          <w:rFonts w:hint="eastAsia"/>
        </w:rPr>
        <w:t>,</w:t>
      </w:r>
      <w:r w:rsidR="00F858FC">
        <w:t xml:space="preserve"> </w:t>
      </w:r>
      <w:r>
        <w:t xml:space="preserve">optical injection into the waveguide is not the focus of this work, </w:t>
      </w:r>
      <w:r w:rsidR="00F858FC">
        <w:rPr>
          <w:rFonts w:hint="eastAsia"/>
        </w:rPr>
        <w:t xml:space="preserve">where </w:t>
      </w:r>
      <w:r>
        <w:t xml:space="preserve">representative coupling approaches are discussed in the literature [Phys. Rev. Applied 25, 014078 (2026); Appl. Sci. 10, 1538 (2020); Micromachines 11, 666 (2020); J. Lightwave Technol. 38, 4435-4446 (2020)]. The optimization below therefore focuses on increasing </w:t>
      </w:r>
      <m:oMath>
        <m:sSub>
          <m:sSubPr>
            <m:ctrlPr>
              <w:rPr>
                <w:rFonts w:ascii="Cambria Math" w:eastAsia="宋体" w:hAnsi="Cambria Math"/>
                <w:bCs/>
                <w:i/>
                <w:kern w:val="2"/>
                <w:szCs w:val="22"/>
              </w:rPr>
            </m:ctrlPr>
          </m:sSubPr>
          <m:e>
            <m:r>
              <w:rPr>
                <w:rFonts w:ascii="Cambria Math" w:eastAsia="宋体" w:hAnsi="Cambria Math"/>
                <w:szCs w:val="22"/>
              </w:rPr>
              <m:t>η</m:t>
            </m:r>
          </m:e>
          <m:sub>
            <m:r>
              <w:rPr>
                <w:rFonts w:ascii="Cambria Math" w:eastAsia="宋体" w:hAnsi="Cambria Math"/>
                <w:szCs w:val="22"/>
              </w:rPr>
              <m:t>PhC</m:t>
            </m:r>
          </m:sub>
        </m:sSub>
      </m:oMath>
      <w:r>
        <w:t>.</w:t>
      </w:r>
    </w:p>
    <w:p w14:paraId="4FF9ADF0" w14:textId="38719D7B" w:rsidR="00F858FC" w:rsidRDefault="00F858FC" w:rsidP="00480C92">
      <w:pPr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br w:type="page"/>
      </w:r>
    </w:p>
    <w:p w14:paraId="3892A4EF" w14:textId="77777777" w:rsidR="005B0823" w:rsidRPr="00F858FC" w:rsidRDefault="00000000" w:rsidP="00480C92">
      <w:pPr>
        <w:pStyle w:val="aa"/>
        <w:spacing w:beforeLines="100" w:before="240" w:afterLines="100" w:after="240" w:line="360" w:lineRule="auto"/>
        <w:contextualSpacing w:val="0"/>
        <w:outlineLvl w:val="0"/>
        <w:rPr>
          <w:rFonts w:eastAsia="宋体" w:cs="Times New Roman"/>
          <w:snapToGrid w:val="0"/>
          <w:szCs w:val="28"/>
        </w:rPr>
      </w:pPr>
      <w:r w:rsidRPr="00F858FC">
        <w:rPr>
          <w:rFonts w:eastAsia="宋体" w:cs="Times New Roman"/>
          <w:snapToGrid w:val="0"/>
          <w:szCs w:val="28"/>
        </w:rPr>
        <w:lastRenderedPageBreak/>
        <w:t>S2. Photonic-crystal design and optimization</w:t>
      </w:r>
    </w:p>
    <w:p w14:paraId="6CCE2902" w14:textId="2349233C" w:rsidR="005B0823" w:rsidRPr="00F858FC" w:rsidRDefault="00000000" w:rsidP="00480C92">
      <w:pPr>
        <w:spacing w:beforeLines="100" w:before="240" w:afterLines="100" w:after="240" w:line="360" w:lineRule="auto"/>
      </w:pPr>
      <w:r>
        <w:t xml:space="preserve">High-order spatial harmonics in a </w:t>
      </w:r>
      <w:proofErr w:type="spellStart"/>
      <w:r>
        <w:t>PhC</w:t>
      </w:r>
      <w:proofErr w:type="spellEnd"/>
      <w:r>
        <w:t xml:space="preserve"> can have low phase velocities and therefore provide natural channels for velocity matching with slow electrons. Bloch modes near a </w:t>
      </w:r>
      <w:proofErr w:type="spellStart"/>
      <w:r>
        <w:t>PhC</w:t>
      </w:r>
      <w:proofErr w:type="spellEnd"/>
      <w:r>
        <w:t xml:space="preserve"> band edge also exhibit reduced group velocity and enhanced local-field intensity, which increase the interaction time and electron-photon coupling strength. The design goal is therefore to transfer optical energy from the guided waveguide mode into high-order spatial harmonics near the band edge, where the field can simultaneously satisfy phase matching and provide a sufficiently strong longitudinal modulation. </w:t>
      </w:r>
    </w:p>
    <w:p w14:paraId="3C0816CE" w14:textId="6737EBA2" w:rsidR="005B0823" w:rsidRPr="00F858FC" w:rsidRDefault="00000000" w:rsidP="00480C92">
      <w:pPr>
        <w:spacing w:beforeLines="100" w:before="240" w:afterLines="100" w:after="240" w:line="360" w:lineRule="auto"/>
      </w:pPr>
      <w:r>
        <w:t xml:space="preserve">To design the </w:t>
      </w:r>
      <w:proofErr w:type="spellStart"/>
      <w:r>
        <w:t>PhC</w:t>
      </w:r>
      <w:proofErr w:type="spellEnd"/>
      <w:r>
        <w:t xml:space="preserve"> while keeping the calculation tractable, we use a Bloch-theorem-based formulation of Maxwell's equations and analyze the eigenmodes of the periodic structure. This leads to the plane-wave expansion method (PWEM), a standard approach for calculating photonic band structures and Bloch-mode profiles in periodic media [Opt. Express 8, 173-190 (2001); J. Opt. Soc. Am. A 21, 1769-1775 (2004); Chin. Phys. Lett. 28, 034209 (2011)].</w:t>
      </w:r>
    </w:p>
    <w:p w14:paraId="17B798B5" w14:textId="0E103ECC" w:rsidR="005B0823" w:rsidRPr="00C15CCB" w:rsidRDefault="00000000" w:rsidP="00480C92">
      <w:pPr>
        <w:spacing w:beforeLines="100" w:before="240" w:afterLines="100" w:after="240" w:line="360" w:lineRule="auto"/>
      </w:pPr>
      <w:r w:rsidRPr="00F858FC">
        <w:t xml:space="preserve">For a resonant wave with angular frequency </w:t>
      </w:r>
      <m:oMath>
        <m:r>
          <w:rPr>
            <w:rFonts w:ascii="Cambria Math" w:hAnsi="Cambria Math"/>
          </w:rPr>
          <m:t>ω</m:t>
        </m:r>
      </m:oMath>
      <w:r w:rsidRPr="00F858FC">
        <w:t xml:space="preserve">,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iωt</m:t>
            </m:r>
          </m:sup>
        </m:sSup>
      </m:oMath>
      <w:r w:rsidRPr="00F858FC">
        <w:t>, Maxwell's curl equations ar</w:t>
      </w:r>
      <w:r w:rsidRPr="00F858FC">
        <w:rPr>
          <w:rFonts w:hint="eastAsia"/>
        </w:rPr>
        <w:t>e</w:t>
      </w:r>
      <w:r w:rsidRPr="00F858FC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  <m:eqArr>
                    <m:eqArrPr>
                      <m:objDist m:val="1"/>
                      <m:ctrlPr>
                        <w:rPr>
                          <w:rFonts w:ascii="Cambria Math" w:hAnsi="Cambria Math"/>
                        </w:rPr>
                      </m:ctrlPr>
                    </m:eqAr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∇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&amp;=-</m:t>
                      </m:r>
                      <m:r>
                        <w:rPr>
                          <w:rFonts w:ascii="Cambria Math" w:hAnsi="Cambria Math"/>
                        </w:rPr>
                        <m:t>iω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μ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H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</m:d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∇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H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&amp;=</m:t>
                      </m:r>
                      <m:r>
                        <w:rPr>
                          <w:rFonts w:ascii="Cambria Math" w:hAnsi="Cambria Math"/>
                        </w:rPr>
                        <m:t>iω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</m:d>
                    </m:e>
                  </m:eqAr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S3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 w:rsidRPr="00F858FC">
        <w:t xml:space="preserve">where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</m:d>
      </m:oMath>
      <w:r w:rsidRPr="00F858FC"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</m:d>
      </m:oMath>
      <w:r w:rsidRPr="00F858FC">
        <w:t xml:space="preserve"> are the relative permittivity and relative permeability of the periodic structure, respectively. Combining the two equations and eliminating the electric-field component gives </w:t>
      </w:r>
      <w:r w:rsidRPr="00F858FC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r>
                <m:rPr>
                  <m:sty m:val="bi"/>
                </m:rPr>
                <w:rPr>
                  <w:rFonts w:ascii="Cambria Math" w:hAnsi="Cambria Math"/>
                </w:rPr>
                <m:t>∇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sub>
                      </m:sSub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∇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H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r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&amp;=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r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S4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 w:rsidRPr="00F858FC">
        <w:t xml:space="preserve">In a PhC,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F858FC"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F858FC">
        <w:t xml:space="preserve"> are periodic functions: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</m:d>
      </m:oMath>
      <w:r w:rsidRPr="00F858FC"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</m:d>
      </m:oMath>
      <w:r w:rsidRPr="00F858FC">
        <w:t xml:space="preserve">, where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Pr="00F858FC">
        <w:t xml:space="preserve"> is the spatial period of the structure. Therefore, we can expand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ϵ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den>
        </m:f>
      </m:oMath>
      <w:r w:rsidRPr="00F858FC"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F858FC">
        <w:t xml:space="preserve"> into Fourier series using reciprocal lattice vectors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F858FC">
        <w:t>:</w:t>
      </w:r>
      <w:r w:rsidRPr="00F858FC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  <m:eqArr>
                    <m:eqArrPr>
                      <m:objDist m:val="1"/>
                      <m:ctrlPr>
                        <w:rPr>
                          <w:rFonts w:ascii="Cambria Math" w:hAnsi="Cambria Math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nary>
                        <m:naryPr>
                          <m:chr m:val="∑"/>
                          <m:supHide m:val="1"/>
                          <m:ctrlPr>
                            <w:rPr>
                              <w:rFonts w:ascii="Cambria Math" w:hAnsi="Cambria Math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G</m:t>
                          </m:r>
                        </m:sub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κ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⋅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p>
                          </m:sSup>
                        </m:e>
                      </m:nary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nary>
                        <m:naryPr>
                          <m:chr m:val="∑"/>
                          <m:supHide m:val="1"/>
                          <m:ctrlPr>
                            <w:rPr>
                              <w:rFonts w:ascii="Cambria Math" w:hAnsi="Cambria Math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G</m:t>
                          </m:r>
                        </m:sub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η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⋅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p>
                          </m:sSup>
                        </m:e>
                      </m:nary>
                    </m:e>
                  </m:eqAr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S5</m:t>
                  </m:r>
                </m:e>
              </m:d>
            </m:e>
          </m:eqArr>
          <m:r>
            <m:rPr>
              <m:sty m:val="p"/>
            </m:rPr>
            <w:br/>
          </m:r>
        </m:oMath>
      </m:oMathPara>
      <w:r w:rsidRPr="00F858FC">
        <w:t xml:space="preserve">Here,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κ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Pr="00F858FC"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Pr="00F858FC">
        <w:t xml:space="preserve"> are Fourier coefficients obtained from the Fourier transforms of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ϵ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den>
        </m:f>
      </m:oMath>
      <w:r w:rsidRPr="00F858FC"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F858FC">
        <w:t xml:space="preserve">; </w:t>
      </w:r>
      <m:oMath>
        <m:r>
          <m:rPr>
            <m:sty m:val="bi"/>
          </m:rP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3</m:t>
            </m:r>
          </m:sub>
        </m:sSub>
      </m:oMath>
      <w:r w:rsidRPr="00F858FC">
        <w:t xml:space="preserve"> is a</w:t>
      </w:r>
      <w:r w:rsidRPr="00F858FC">
        <w:rPr>
          <w:rFonts w:hint="eastAsia"/>
        </w:rPr>
        <w:t xml:space="preserve"> </w:t>
      </w:r>
      <w:r w:rsidRPr="00F858FC">
        <w:t xml:space="preserve">reciprocal lattice vector satisfying </w:t>
      </w:r>
      <m:oMath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⋅</m:t>
        </m:r>
        <m:r>
          <w:rPr>
            <w:rFonts w:ascii="Cambria Math" w:hAnsi="Cambria Math"/>
          </w:rPr>
          <m:t>R</m:t>
        </m:r>
        <m:r>
          <m:rPr>
            <m:sty m:val="p"/>
          </m:rPr>
          <w:rPr>
            <w:rFonts w:ascii="Cambria Math" w:hAnsi="Cambria Math"/>
          </w:rPr>
          <m:t>=2</m:t>
        </m:r>
        <m:r>
          <w:rPr>
            <w:rFonts w:ascii="Cambria Math" w:hAnsi="Cambria Math"/>
          </w:rPr>
          <m:t>πn</m:t>
        </m:r>
      </m:oMath>
      <w:r w:rsidRPr="00F858FC">
        <w:t>;</w:t>
      </w:r>
      <w:r w:rsidRPr="00F858FC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sub>
        </m:sSub>
      </m:oMath>
      <w:r w:rsidRPr="00F858FC">
        <w:t xml:space="preserve"> are the reciprocal basis vectors. According to Bloch's theorem, the eigenfield can be expanded as</w:t>
      </w:r>
      <w:r w:rsidRPr="00F858FC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r>
                <m:rPr>
                  <m:sty m:val="bi"/>
                </m:rP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r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e</m:t>
                  </m:r>
                </m:e>
              </m:acc>
              <m:nary>
                <m:naryPr>
                  <m:chr m:val="∑"/>
                  <m:supHide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G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G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i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Κ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G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⋅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r</m:t>
                      </m:r>
                    </m:sup>
                  </m:sSup>
                </m:e>
              </m:nary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S6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 w:rsidRPr="00F858FC">
        <w:t xml:space="preserve">where </w:t>
      </w:r>
      <m:oMath>
        <m:r>
          <m:rPr>
            <m:sty m:val="bi"/>
          </m:rPr>
          <w:rPr>
            <w:rFonts w:ascii="Cambria Math" w:hAnsi="Cambria Math"/>
          </w:rPr>
          <m:t>Κ</m:t>
        </m:r>
      </m:oMath>
      <w:r w:rsidRPr="00F858FC">
        <w:t xml:space="preserve"> is the Bloch wave vector. Substitution into the wave equation gives the following plane-wave matrix equation for a three-dimensional PhC</w:t>
      </w:r>
      <w:r w:rsidRPr="00F858FC">
        <w:rPr>
          <w:rFonts w:hint="eastAsia"/>
        </w:rPr>
        <w:t>:</w:t>
      </w:r>
      <w:r w:rsidR="00C15CCB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eqArr>
                <m:eqArrPr>
                  <m:objDist m:val="1"/>
                  <m:ctrlPr>
                    <w:rPr>
                      <w:rFonts w:ascii="Cambria Math" w:hAnsi="Cambria Math"/>
                    </w:rPr>
                  </m:ctrlPr>
                </m:eqArrPr>
                <m:e>
                  <m:nary>
                    <m:naryPr>
                      <m:chr m:val="∑"/>
                      <m:supHide m:val="1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G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G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sub>
                    <m:sup/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Κ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G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⋅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Κ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G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acc>
                            <m:ac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</m:acc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κ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G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</m:sub>
                      </m:sSub>
                    </m:e>
                  </m:nary>
                </m:e>
              </m:eqAr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nary>
                <m:naryPr>
                  <m:chr m:val="∑"/>
                  <m:supHide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G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G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G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sub>
                  </m:sSub>
                </m:e>
              </m:nary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S7</m:t>
                  </m:r>
                </m:e>
              </m:d>
            </m:e>
          </m:eqArr>
          <m:r>
            <m:rPr>
              <m:sty m:val="p"/>
            </m:rPr>
            <w:br/>
          </m:r>
        </m:oMath>
      </m:oMathPara>
      <w:r w:rsidRPr="00F858FC">
        <w:t>Eq. (S7) reduces the band-structure calculation to an eigenvalue problem:</w:t>
      </w:r>
      <w:r w:rsidRPr="00F858FC">
        <w:rPr>
          <w:rFonts w:hint="eastAsia"/>
        </w:rPr>
        <w:t xml:space="preserve"> F</w:t>
      </w:r>
      <w:r w:rsidRPr="00F858FC">
        <w:t xml:space="preserve">or given material Fourier </w:t>
      </w:r>
      <w:r w:rsidRPr="00F858FC">
        <w:lastRenderedPageBreak/>
        <w:t xml:space="preserve">coefficients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κ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G</m:t>
            </m:r>
          </m:sub>
        </m:sSub>
      </m:oMath>
      <w:r w:rsidRPr="00F858FC"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G</m:t>
            </m:r>
          </m:sub>
        </m:sSub>
      </m:oMath>
      <w:r w:rsidRPr="00F858FC">
        <w:t>, solving this matrix equation at each Bloch wave vector</w:t>
      </w:r>
      <w:r w:rsidRPr="00F858FC">
        <w:rPr>
          <w:rFonts w:hint="eastAsia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Κ</m:t>
        </m:r>
      </m:oMath>
      <w:r w:rsidRPr="00F858FC">
        <w:rPr>
          <w:rFonts w:hint="eastAsia"/>
        </w:rPr>
        <w:t xml:space="preserve"> gives the </w:t>
      </w:r>
      <w:r w:rsidR="008D044F" w:rsidRPr="00F858FC">
        <w:t xml:space="preserve">corresponding </w:t>
      </w:r>
      <w:r w:rsidRPr="00F858FC">
        <w:rPr>
          <w:rFonts w:hint="eastAsia"/>
        </w:rPr>
        <w:t xml:space="preserve">eigenfrequencies </w:t>
      </w:r>
      <m:oMath>
        <m:r>
          <w:rPr>
            <w:rFonts w:ascii="Cambria Math" w:hAnsi="Cambria Math" w:hint="eastAsia"/>
          </w:rPr>
          <m:t>ω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e>
        </m:d>
      </m:oMath>
      <w:r w:rsidRPr="00F858FC">
        <w:t xml:space="preserve">, yielding the dispersion relation </w:t>
      </w:r>
      <m:oMath>
        <m:r>
          <w:rPr>
            <w:rFonts w:ascii="Cambria Math" w:hAnsi="Cambria Math" w:hint="eastAsia"/>
          </w:rPr>
          <m:t>ω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 w:hint="eastAsia"/>
          </w:rPr>
          <m:t>ω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e>
        </m:d>
      </m:oMath>
      <w:r w:rsidRPr="00F858FC">
        <w:t xml:space="preserve"> and the Bloch-field distribution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</w:rPr>
              <m:t>h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</w:rPr>
          <m:t>.</m:t>
        </m:r>
      </m:oMath>
    </w:p>
    <w:p w14:paraId="752F1D3D" w14:textId="2D51164A" w:rsidR="005B0823" w:rsidRDefault="00000000" w:rsidP="00480C92">
      <w:pPr>
        <w:spacing w:beforeLines="100" w:before="240" w:afterLines="100" w:after="240" w:line="360" w:lineRule="auto"/>
      </w:pPr>
      <w:r w:rsidRPr="00F858FC">
        <w:t xml:space="preserve">For the one-dimensional </w:t>
      </w:r>
      <w:proofErr w:type="spellStart"/>
      <w:r w:rsidRPr="00F858FC">
        <w:t>PhC</w:t>
      </w:r>
      <w:proofErr w:type="spellEnd"/>
      <w:r w:rsidRPr="00F858FC">
        <w:t xml:space="preserve"> composed of non-magnetic media </w:t>
      </w:r>
      <w:r w:rsidRPr="00F858FC">
        <w:rPr>
          <w:rFonts w:hint="eastAsia"/>
        </w:rPr>
        <w:t>considered here</w:t>
      </w:r>
      <w:r w:rsidRPr="00F858FC"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</w:rPr>
          <m:t>=1</m:t>
        </m:r>
      </m:oMath>
      <w: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</w:rPr>
              <m:t>,0</m:t>
            </m:r>
          </m:e>
        </m:d>
      </m:oMath>
      <w:r>
        <w:t xml:space="preserve">, </w:t>
      </w:r>
      <m:oMath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mg</m:t>
        </m:r>
      </m:oMath>
      <w:r>
        <w:t xml:space="preserve">, and </w:t>
      </w:r>
      <m:oMath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=2</m:t>
        </m:r>
        <m:r>
          <w:rPr>
            <w:rFonts w:ascii="Cambria Math" w:hAnsi="Cambria Math"/>
          </w:rPr>
          <m:t>π</m:t>
        </m:r>
        <m:r>
          <m:rPr>
            <m:sty m:val="p"/>
          </m:rPr>
          <w:rPr>
            <w:rFonts w:ascii="Cambria Math" w:hAnsi="Cambria Math"/>
          </w:rPr>
          <m:t>/</m:t>
        </m:r>
        <m:r>
          <w:rPr>
            <w:rFonts w:ascii="Cambria Math" w:hAnsi="Cambria Math"/>
          </w:rPr>
          <m:t>Λ</m:t>
        </m:r>
      </m:oMath>
      <w:r>
        <w:t xml:space="preserve">. In </w:t>
      </w:r>
      <w:r w:rsidR="008D044F">
        <w:rPr>
          <w:rFonts w:hint="eastAsia"/>
        </w:rPr>
        <w:t>the</w:t>
      </w:r>
      <w:r w:rsidR="008D044F">
        <w:t xml:space="preserve"> </w:t>
      </w:r>
      <w:r>
        <w:t xml:space="preserve">waveguide-integrated geometry shown in Figure 1 of the main text, the optical field has propagation degrees of freedom only in the </w:t>
      </w:r>
      <w:proofErr w:type="spellStart"/>
      <w:r w:rsidRPr="00974AA5">
        <w:rPr>
          <w:i/>
          <w:iCs w:val="0"/>
        </w:rPr>
        <w:t>xz</w:t>
      </w:r>
      <w:proofErr w:type="spellEnd"/>
      <w:r>
        <w:t xml:space="preserve">-plane and is confined along the </w:t>
      </w:r>
      <w:r w:rsidR="008D044F" w:rsidRPr="00974AA5">
        <w:rPr>
          <w:i/>
          <w:iCs w:val="0"/>
        </w:rPr>
        <w:t>y</w:t>
      </w:r>
      <w:r w:rsidR="008D044F">
        <w:rPr>
          <w:rFonts w:hint="eastAsia"/>
        </w:rPr>
        <w:t>-</w:t>
      </w:r>
      <w:r>
        <w:t xml:space="preserve">direction. The Bloch wavevector can therefore be written as </w:t>
      </w:r>
      <m:oMath>
        <m:r>
          <m:rPr>
            <m:sty m:val="bi"/>
          </m:rPr>
          <w:rPr>
            <w:rFonts w:ascii="Cambria Math" w:hAnsi="Cambria Math"/>
          </w:rPr>
          <m:t>Κ</m:t>
        </m:r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PhC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,0,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PhC</m:t>
                </m:r>
              </m:sub>
            </m:sSub>
          </m:e>
        </m:d>
      </m:oMath>
      <w:r>
        <w:t xml:space="preserve">, </w:t>
      </w:r>
      <w:r w:rsidR="008D044F">
        <w:rPr>
          <w:rFonts w:hint="eastAsia"/>
        </w:rPr>
        <w:t xml:space="preserve">and </w:t>
      </w:r>
      <w:r>
        <w:t>Eq. (S7) reduces to</w:t>
      </w:r>
      <w:r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eqArr>
                <m:eqArrPr>
                  <m:objDist m:val="1"/>
                  <m:ctrlPr>
                    <w:rPr>
                      <w:rFonts w:ascii="Cambria Math" w:hAnsi="Cambria Math"/>
                    </w:rPr>
                  </m:ctrlPr>
                </m:eqArrPr>
                <m:e>
                  <m:nary>
                    <m:naryPr>
                      <m:chr m:val="∑"/>
                      <m:supHide m:val="1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l</m:t>
                      </m:r>
                    </m:sub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ml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sub>
                      </m:sSub>
                    </m:e>
                  </m:nary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&amp;=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ml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&amp;=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PhC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r>
                            <w:rPr>
                              <w:rFonts w:ascii="Cambria Math" w:hAnsi="Cambria Math"/>
                            </w:rPr>
                            <m:t>mg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PhC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r>
                            <w:rPr>
                              <w:rFonts w:ascii="Cambria Math" w:hAnsi="Cambria Math"/>
                            </w:rPr>
                            <m:t>lg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PhC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sup>
                      </m:sSubSup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κ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l</m:t>
                      </m:r>
                    </m:sub>
                  </m:sSub>
                </m:e>
              </m:eqArr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hint="eastAsia"/>
                    </w:rPr>
                    <m:t>S8</m:t>
                  </m:r>
                </m:e>
              </m:d>
            </m:e>
          </m:eqArr>
          <m:r>
            <m:rPr>
              <m:sty m:val="p"/>
            </m:rPr>
            <w:br/>
          </m:r>
        </m:oMath>
      </m:oMathPara>
      <w:r>
        <w:t xml:space="preserve">For normal incidence,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PhC</m:t>
            </m:r>
          </m:sub>
        </m:sSub>
        <m:r>
          <m:rPr>
            <m:sty m:val="p"/>
          </m:rPr>
          <w:rPr>
            <w:rFonts w:ascii="Cambria Math" w:hAnsi="Cambria Math"/>
          </w:rPr>
          <m:t>=0</m:t>
        </m:r>
      </m:oMath>
      <w:r>
        <w:t xml:space="preserve">. The one-dimensional PhC thus acts as a platform for coupling spatial harmonics: an optical-field harmonic with spatial frequency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PhC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lg</m:t>
        </m:r>
      </m:oMath>
      <w:r>
        <w:t xml:space="preserve"> couples to a dielectric harmonic with spatial frequency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l</m:t>
            </m:r>
          </m:e>
        </m:d>
        <m:r>
          <w:rPr>
            <w:rFonts w:ascii="Cambria Math" w:hAnsi="Cambria Math"/>
          </w:rPr>
          <m:t>g</m:t>
        </m:r>
      </m:oMath>
      <w:r>
        <w:t xml:space="preserve">, coherently generating a new optical-field harmonic with spatial frequency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PhC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mg</m:t>
        </m:r>
      </m:oMath>
      <w:r>
        <w:t xml:space="preserve">. The coefficient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ml</m:t>
            </m:r>
          </m:sub>
        </m:sSub>
      </m:oMath>
      <w:r>
        <w:t xml:space="preserve"> determines the coupling strength between harmonics. As shown in Figure S1, when the coupling is weak, the off-diagonal elements of the coefficient matrix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ml</m:t>
            </m:r>
          </m:sub>
        </m:sSub>
      </m:oMath>
      <w:r>
        <w:t xml:space="preserve"> are small and the PhC dispersion approaches that of a homogeneous medium. As the coupling increases, the off-diagonal elements of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ml</m:t>
            </m:r>
          </m:sub>
        </m:sSub>
      </m:oMath>
      <w:r>
        <w:t xml:space="preserve"> become more important and the dispersion deviates more strongly from the homogeneous-medium model. Sufficient coupling among spatial harmonics is therefore required to place appreciable energy in high-order modes; equivalently, the periodic structure must impose a strong spatial modulation on the optical field.</w:t>
      </w:r>
    </w:p>
    <w:p w14:paraId="2B81AC04" w14:textId="5D3E1CAF" w:rsidR="005B0823" w:rsidRPr="00F858FC" w:rsidRDefault="00000000" w:rsidP="00480C92">
      <w:pPr>
        <w:spacing w:beforeLines="100" w:before="240" w:afterLines="100" w:after="240" w:line="360" w:lineRule="auto"/>
      </w:pPr>
      <w:r>
        <w:t>The bandgap width provides an effective measure of the modulation strength. A wider bandgap indicates that the Bloch mode deviates more strongly from a single sinusoidal wave and that the spatial field profile contains stronger non-sinusoidal components. This structural perturbation transfers optical energy from the fundamental component into high-order harmonics (</w:t>
      </w:r>
      <m:oMath>
        <m:r>
          <w:rPr>
            <w:rFonts w:ascii="Cambria Math" w:hAnsi="Cambria Math"/>
          </w:rPr>
          <m:t>m</m:t>
        </m:r>
      </m:oMath>
      <w:r>
        <w:t xml:space="preserve"> = 2, 3, ...), enabling slow electrons to interact with a phase-matched longitudinal field component.</w:t>
      </w:r>
    </w:p>
    <w:p w14:paraId="28B0DCDD" w14:textId="7EB1D947" w:rsidR="005B0823" w:rsidRPr="00F858FC" w:rsidRDefault="00000000" w:rsidP="00480C92">
      <w:pPr>
        <w:spacing w:beforeLines="100" w:before="240" w:afterLines="100" w:after="240" w:line="360" w:lineRule="auto"/>
      </w:pPr>
      <w:r>
        <w:t xml:space="preserve">We design a silicon </w:t>
      </w:r>
      <w:proofErr w:type="spellStart"/>
      <w:r>
        <w:t>PhC</w:t>
      </w:r>
      <w:proofErr w:type="spellEnd"/>
      <w:r>
        <w:t xml:space="preserve"> on a </w:t>
      </w:r>
      <w:r w:rsidR="008D044F">
        <w:t>220</w:t>
      </w:r>
      <w:r w:rsidR="008D044F">
        <w:rPr>
          <w:rFonts w:hint="eastAsia"/>
        </w:rPr>
        <w:t>-</w:t>
      </w:r>
      <w:r>
        <w:t>nm SOI platform, with a silica lower cladding and a vacuum upper cladding that leaves space for electron-photon interaction above the device. In the simulation, the bandgap width at the first-Brillouin-zone edge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PhC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t xml:space="preserve">) is used as the optimization target. The TM-polarized fundamental waveguide mode </w:t>
      </w:r>
      <w:r w:rsidR="00A76EF2">
        <w:rPr>
          <w:rFonts w:hint="eastAsia"/>
        </w:rPr>
        <w:t>(</w:t>
      </w:r>
      <w:r w:rsidR="008D044F">
        <w:rPr>
          <w:rFonts w:hint="eastAsia"/>
        </w:rPr>
        <w:t>with a</w:t>
      </w:r>
      <w:r w:rsidR="00A76EF2">
        <w:rPr>
          <w:rFonts w:hint="eastAsia"/>
        </w:rPr>
        <w:t xml:space="preserve"> </w:t>
      </w:r>
      <w:r w:rsidR="00A76EF2" w:rsidRPr="00A76EF2">
        <w:t xml:space="preserve">substantial electric field component in </w:t>
      </w:r>
      <w:r w:rsidR="00A76EF2">
        <w:t>longitudinal</w:t>
      </w:r>
      <w:r w:rsidR="00A76EF2">
        <w:rPr>
          <w:rFonts w:hint="eastAsia"/>
        </w:rPr>
        <w:t xml:space="preserve"> direction)</w:t>
      </w:r>
      <w:r w:rsidR="008D044F">
        <w:rPr>
          <w:rFonts w:hint="eastAsia"/>
        </w:rPr>
        <w:t xml:space="preserve"> </w:t>
      </w:r>
      <w:r>
        <w:t xml:space="preserve">is taken as the excitation source, and the period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>
        <w:t xml:space="preserve"> and duty cycle </w:t>
      </w:r>
      <m:oMath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Si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den>
        </m:f>
      </m:oMath>
      <w:r>
        <w:t xml:space="preserve"> (where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Si</m:t>
            </m:r>
          </m:sub>
        </m:sSub>
      </m:oMath>
      <w:r>
        <w:t xml:space="preserve"> is the silicon ridge width) are scanned, as shown in Figure S1(b). After structural optimization, the operating frequency is chosen near the band edge,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PhC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t xml:space="preserve"> in Figure S1(a), corresponding to an excitation wavelength of </w:t>
      </w:r>
      <m:oMath>
        <m:r>
          <w:rPr>
            <w:rFonts w:ascii="Cambria Math" w:hAnsi="Cambria Math"/>
          </w:rPr>
          <m:t>λ</m:t>
        </m:r>
        <m:r>
          <m:rPr>
            <m:sty m:val="p"/>
          </m:rPr>
          <w:rPr>
            <w:rFonts w:ascii="Cambria Math" w:hAnsi="Cambria Math"/>
          </w:rPr>
          <m:t>=</m:t>
        </m:r>
      </m:oMath>
      <w:r>
        <w:t xml:space="preserve"> 868.7 nm in the second band.</w:t>
      </w:r>
      <w:r w:rsidR="00A76EF2" w:rsidRPr="00A76EF2">
        <w:t xml:space="preserve"> </w:t>
      </w:r>
      <w:r w:rsidR="00A76EF2">
        <w:t>Considering possible numerical uncertainty, we use 866.5 nm as the working wavelength.</w:t>
      </w:r>
    </w:p>
    <w:p w14:paraId="2415C1BC" w14:textId="07E98583" w:rsidR="005B0823" w:rsidRPr="00F858FC" w:rsidRDefault="00000000" w:rsidP="00480C92">
      <w:pPr>
        <w:spacing w:beforeLines="100" w:before="240" w:afterLines="100" w:after="240" w:line="360" w:lineRule="auto"/>
      </w:pPr>
      <w:r>
        <w:t xml:space="preserve">This band-edge region offers two advantages. First, the reduced group velocity increases the effective interaction time between the electron and optical field. Second, the strong Bragg-scattering regime creates a standing-wave-like Bloch field through interference between forward and backward components. As a result, the complex amplitude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>
        <w:t xml:space="preserve"> of the selected high-order harmonic is enhanced. </w:t>
      </w:r>
    </w:p>
    <w:p w14:paraId="71B60CA8" w14:textId="15C5F63A" w:rsidR="005B0823" w:rsidRPr="00F858FC" w:rsidRDefault="00000000" w:rsidP="00480C92">
      <w:pPr>
        <w:spacing w:beforeLines="100" w:before="240" w:afterLines="100" w:after="240" w:line="360" w:lineRule="auto"/>
      </w:pPr>
      <w:r>
        <w:lastRenderedPageBreak/>
        <w:t xml:space="preserve">We verify this design strategy with finite-difference time-domain (FDTD) simulations of the Bloch-mode field distribution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z</m:t>
            </m:r>
          </m:e>
        </m:d>
      </m:oMath>
      <w:r>
        <w:t xml:space="preserve"> near the band edge. A spatial Fourier transform of the longitudinal field sampled along the center line </w:t>
      </w:r>
      <w:r w:rsidR="00A76EF2">
        <w:rPr>
          <w:rFonts w:hint="eastAsia"/>
        </w:rPr>
        <w:t>(</w:t>
      </w:r>
      <w:r w:rsidR="00A76EF2" w:rsidRPr="00974AA5">
        <w:rPr>
          <w:i/>
          <w:iCs w:val="0"/>
        </w:rPr>
        <w:t>x</w:t>
      </w:r>
      <w:r w:rsidR="00A76EF2">
        <w:rPr>
          <w:rFonts w:hint="eastAsia"/>
        </w:rPr>
        <w:t xml:space="preserve"> = 0) </w:t>
      </w:r>
      <w:r>
        <w:t xml:space="preserve">of the structure surface yields the harmonic amplitudes shown in Figure S1(d). Under TM-polarized waveguide-mode excitation, the 1st through 4th high-order harmonics are strongly enhanced in addition to the fundamental 0th-order component. This confirms that the designed </w:t>
      </w:r>
      <w:proofErr w:type="spellStart"/>
      <w:r>
        <w:t>PhC</w:t>
      </w:r>
      <w:proofErr w:type="spellEnd"/>
      <w:r>
        <w:t xml:space="preserve"> satisfies the slow-electron phase-matching condition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e</m:t>
                </m:r>
              </m:e>
            </m:d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p</m:t>
            </m:r>
          </m:sub>
          <m: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m</m:t>
                </m:r>
              </m:e>
            </m:d>
          </m:sup>
        </m:sSubSup>
      </m:oMath>
      <w:r>
        <w:t xml:space="preserve"> and provides a sufficiently strong longitudinal modulation field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z,m</m:t>
            </m:r>
          </m:sub>
        </m:sSub>
      </m:oMath>
      <w:r>
        <w:t>. Combining a large-bandgap geometry with band-edge operation therefore enhances the electron-modulation efficiency while maintaining momentum matching on the integrated photonic platform.</w:t>
      </w:r>
    </w:p>
    <w:p w14:paraId="70106E2F" w14:textId="77777777" w:rsidR="005B0823" w:rsidRDefault="007D7AD0" w:rsidP="00480C92">
      <w:pPr>
        <w:keepNext/>
        <w:spacing w:after="0"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0955CE1C" wp14:editId="3BD0B8BA">
            <wp:extent cx="5189220" cy="4091940"/>
            <wp:effectExtent l="0" t="0" r="0" b="3810"/>
            <wp:docPr id="878289696" name="图片 2" descr="P79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89696" name="图片 2" descr="P794#yIS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E328" w14:textId="6C15306C" w:rsidR="005B0823" w:rsidRDefault="00000000" w:rsidP="00480C92">
      <w:pPr>
        <w:pStyle w:val="af1"/>
        <w:spacing w:line="360" w:lineRule="auto"/>
        <w:ind w:left="480" w:right="480" w:firstLineChars="0" w:firstLine="0"/>
        <w:jc w:val="both"/>
        <w:rPr>
          <w:rFonts w:eastAsiaTheme="minorEastAsia"/>
          <w:b w:val="0"/>
          <w:bCs/>
          <w:sz w:val="32"/>
          <w:szCs w:val="32"/>
        </w:rPr>
      </w:pPr>
      <w:r>
        <w:t xml:space="preserve">Figure S1 | </w:t>
      </w:r>
      <w:r w:rsidRPr="00974AA5">
        <w:rPr>
          <w:b w:val="0"/>
          <w:bCs/>
        </w:rPr>
        <w:t xml:space="preserve">Photonic-crystal design and harmonic-content optimization. </w:t>
      </w:r>
      <w:r w:rsidRPr="00A76EF2">
        <w:t>(a)</w:t>
      </w:r>
      <w:r w:rsidRPr="00974AA5">
        <w:rPr>
          <w:b w:val="0"/>
          <w:bCs/>
        </w:rPr>
        <w:t xml:space="preserve"> Band structure of the one-dimensional </w:t>
      </w:r>
      <w:proofErr w:type="spellStart"/>
      <w:r w:rsidRPr="00974AA5">
        <w:rPr>
          <w:b w:val="0"/>
          <w:bCs/>
        </w:rPr>
        <w:t>PhC</w:t>
      </w:r>
      <w:proofErr w:type="spellEnd"/>
      <w:r w:rsidRPr="00974AA5">
        <w:rPr>
          <w:b w:val="0"/>
          <w:bCs/>
        </w:rPr>
        <w:t xml:space="preserve"> in the first Brillouin zone, showing the band-edge operating region used to enhance the interaction. </w:t>
      </w:r>
      <w:r w:rsidRPr="00A76EF2">
        <w:t>(b)</w:t>
      </w:r>
      <w:r w:rsidRPr="00974AA5">
        <w:rPr>
          <w:b w:val="0"/>
          <w:bCs/>
        </w:rPr>
        <w:t xml:space="preserve"> Bandgap width as a function of </w:t>
      </w:r>
      <w:proofErr w:type="spellStart"/>
      <w:r w:rsidRPr="00974AA5">
        <w:rPr>
          <w:b w:val="0"/>
          <w:bCs/>
        </w:rPr>
        <w:t>PhC</w:t>
      </w:r>
      <w:proofErr w:type="spellEnd"/>
      <w:r w:rsidRPr="00974AA5">
        <w:rPr>
          <w:b w:val="0"/>
          <w:bCs/>
        </w:rPr>
        <w:t xml:space="preserve"> period and duty cycle, used as the optimization metric for strong spatial modulation. </w:t>
      </w:r>
      <w:r w:rsidRPr="00A76EF2">
        <w:t>(c)</w:t>
      </w:r>
      <w:r w:rsidRPr="00974AA5">
        <w:rPr>
          <w:b w:val="0"/>
          <w:bCs/>
        </w:rPr>
        <w:t xml:space="preserve"> Simulated Bloch-mode field profile near the band edge. </w:t>
      </w:r>
      <w:r w:rsidRPr="00A76EF2">
        <w:t>(d)</w:t>
      </w:r>
      <w:r w:rsidRPr="00974AA5">
        <w:rPr>
          <w:b w:val="0"/>
          <w:bCs/>
        </w:rPr>
        <w:t xml:space="preserve"> Fourier amplitudes of the spatial harmonics extracted from the near-field distribution, confirming enhanced high-order components for slow-electron phase matching.</w:t>
      </w:r>
    </w:p>
    <w:p w14:paraId="675F8880" w14:textId="77777777" w:rsidR="00A76EF2" w:rsidRDefault="00A76EF2" w:rsidP="00480C92">
      <w:pPr>
        <w:spacing w:after="0" w:line="240" w:lineRule="auto"/>
        <w:jc w:val="left"/>
        <w:rPr>
          <w:iCs w:val="0"/>
        </w:rPr>
      </w:pPr>
      <w:r>
        <w:rPr>
          <w:b/>
          <w:iCs w:val="0"/>
        </w:rPr>
        <w:br w:type="page"/>
      </w:r>
    </w:p>
    <w:p w14:paraId="4002325E" w14:textId="03EF8C69" w:rsidR="005B0823" w:rsidRPr="00F858FC" w:rsidRDefault="00000000" w:rsidP="00480C92">
      <w:pPr>
        <w:pStyle w:val="aa"/>
        <w:spacing w:beforeLines="100" w:before="240" w:afterLines="100" w:after="240" w:line="360" w:lineRule="auto"/>
        <w:contextualSpacing w:val="0"/>
        <w:outlineLvl w:val="0"/>
        <w:rPr>
          <w:rFonts w:eastAsia="宋体" w:cs="Times New Roman"/>
          <w:snapToGrid w:val="0"/>
          <w:szCs w:val="28"/>
        </w:rPr>
      </w:pPr>
      <w:r w:rsidRPr="00F858FC">
        <w:rPr>
          <w:rFonts w:eastAsia="宋体" w:cs="Times New Roman"/>
          <w:snapToGrid w:val="0"/>
          <w:szCs w:val="28"/>
        </w:rPr>
        <w:lastRenderedPageBreak/>
        <w:t>S3. Detailed derivation of the coupled-mode equation</w:t>
      </w:r>
    </w:p>
    <w:p w14:paraId="2F530888" w14:textId="69A59131" w:rsidR="005B0823" w:rsidRPr="00F858FC" w:rsidRDefault="00000000" w:rsidP="00480C92">
      <w:pPr>
        <w:spacing w:beforeLines="100" w:before="240" w:afterLines="100" w:after="240" w:line="360" w:lineRule="auto"/>
      </w:pPr>
      <w:r w:rsidRPr="00F858FC">
        <w:t>We start from the relativistic Klein-Gordon equation with minimal coupling, corresponding to Eq. (5) in the main text:</w:t>
      </w:r>
      <w:r w:rsidRPr="00F858FC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ψ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</w:rPr>
                            <m:t>∇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ℏ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ℏ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  <m:r>
                <w:rPr>
                  <w:rFonts w:ascii="Cambria Math" w:hAnsi="Cambria Math"/>
                </w:rPr>
                <m:t>ψ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S9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 w:rsidRPr="00F858FC">
        <w:t xml:space="preserve">The electron state </w:t>
      </w:r>
      <m:oMath>
        <m:r>
          <w:rPr>
            <w:rFonts w:ascii="Cambria Math" w:hAnsi="Cambria Math"/>
          </w:rPr>
          <m:t>ψ</m:t>
        </m:r>
      </m:oMath>
      <w:r w:rsidRPr="00F858FC">
        <w:t xml:space="preserve"> is</w:t>
      </w:r>
      <w:r w:rsidR="00792A18" w:rsidRPr="00F858FC">
        <w:rPr>
          <w:rFonts w:hint="eastAsia"/>
        </w:rPr>
        <w:t xml:space="preserve"> </w:t>
      </w:r>
      <w:r w:rsidR="00792A18" w:rsidRPr="00792A18">
        <w:t>expanded as</w:t>
      </w:r>
      <w:r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ψ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=&amp;</m:t>
                  </m:r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  <m:nary>
                    <m:naryPr>
                      <m:chr m:val="∑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=-∞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∞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</m:d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e>
                          </m:d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ℏ</m:t>
                              </m:r>
                            </m:den>
                          </m:f>
                        </m:sup>
                      </m:sSup>
                    </m:e>
                  </m:nary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=&amp;</m:t>
                  </m:r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  <m:nary>
                    <m:naryPr>
                      <m:chr m:val="∑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=-∞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∞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</m:d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⋅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</m:d>
                        </m:sup>
                      </m:sSup>
                    </m:e>
                  </m:nary>
                </m:e>
              </m:eqArr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S10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 w:rsidRPr="00F858FC">
        <w:t xml:space="preserve">where the wave-vector component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,0,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Pr="00F858FC">
        <w:t xml:space="preserve"> and the energy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=ℏ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F858FC">
        <w:t xml:space="preserve"> obey the energy-momentum conservation relations. Substituting the ansatz in Eq. (S10) into the minimally coupled Klein-Gordon equation, Eq. (S9), and neglecting boundary effects along the y direction, we obtain</w:t>
      </w:r>
      <w:r w:rsidRPr="00F858FC">
        <w:rPr>
          <w:rFonts w:hint="eastAsia"/>
        </w:rPr>
        <w:t>:</w:t>
      </w:r>
      <w:r w:rsidRPr="00F858FC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&amp;</m:t>
                  </m:r>
                  <m:nary>
                    <m:naryPr>
                      <m:chr m:val="∑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=-∞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∞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⋅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</m:d>
                        </m:sup>
                      </m:sSup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∂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∂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d>
                          <w:bookmarkStart w:id="0" w:name="OLE_LINK7"/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∂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  <w:bookmarkEnd w:id="0"/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sub>
                              </m:sSub>
                            </m:e>
                          </m:d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∂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nary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=&amp;</m:t>
                  </m:r>
                  <m:nary>
                    <m:naryPr>
                      <m:chr m:val="∑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=-∞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∞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⋅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</m:d>
                        </m:sup>
                      </m:sSup>
                      <m:r>
                        <w:rPr>
                          <w:rFonts w:ascii="Cambria Math" w:hAnsi="Cambria Math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ℏ</m:t>
                      </m:r>
                      <m:r>
                        <w:rPr>
                          <w:rFonts w:ascii="Cambria Math" w:hAnsi="Cambria Math"/>
                        </w:rPr>
                        <m:t>e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∂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sub>
                              </m:sSub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Λ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Λ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λ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ℏ</m:t>
                              </m:r>
                            </m:den>
                          </m:f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nary>
                </m:e>
              </m:eqArr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S11</m:t>
                  </m:r>
                </m:e>
              </m:d>
            </m:e>
          </m:eqArr>
        </m:oMath>
      </m:oMathPara>
    </w:p>
    <w:p w14:paraId="669C3DF6" w14:textId="5DA01ADA" w:rsidR="005B0823" w:rsidRDefault="00000000" w:rsidP="00480C92">
      <w:pPr>
        <w:spacing w:beforeLines="100" w:before="240" w:afterLines="100" w:after="240" w:line="360" w:lineRule="auto"/>
      </w:pPr>
      <w:r>
        <w:t xml:space="preserve">To simplify the dynamical equation, we use two approximations. (1) Under the slowly varying envelope approximation, the scattered-wave envelope changes on a length scale much larger than the optical-period oscillation, as indicated by Figure S1(c). Thus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i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q</m:t>
                </m:r>
              </m:sub>
            </m:sSub>
          </m:e>
        </m:d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</m:t>
                </m:r>
              </m:e>
              <m:sub>
                <m:r>
                  <w:rPr>
                    <w:rFonts w:ascii="Cambria Math" w:hAnsi="Cambria Math"/>
                  </w:rPr>
                  <m:t>q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≫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∂</m:t>
                </m:r>
              </m:e>
              <m:sub>
                <m:r>
                  <w:rPr>
                    <w:rFonts w:ascii="Cambria Math" w:hAnsi="Cambria Math"/>
                  </w:rPr>
                  <m:t>q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i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z</m:t>
                </m:r>
              </m:sub>
            </m:sSub>
          </m:e>
        </m:d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≫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∂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>
        <w:t xml:space="preserve">. (2) Under the quasi-classical approximation, the de Broglie wavelength of the relativistic electrons considered here is tens of picometers, much smaller than the PhC period, so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sub>
        </m:sSub>
        <m:r>
          <m:rPr>
            <m:sty m:val="p"/>
          </m:rPr>
          <w:rPr>
            <w:rFonts w:ascii="Cambria Math" w:hAnsi="Cambria Math"/>
          </w:rPr>
          <m:t>≪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z</m:t>
            </m:r>
          </m:sub>
        </m:sSub>
        <m:r>
          <m:rPr>
            <m:sty m:val="p"/>
          </m:rPr>
          <w:rPr>
            <w:rFonts w:ascii="Cambria Math" w:hAnsi="Cambria Math"/>
          </w:rPr>
          <m:t>≈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ℏ</m:t>
            </m:r>
          </m:den>
        </m:f>
      </m:oMath>
      <w:r>
        <w:t>. Retaining only the leading envelope terms gives:</w:t>
      </w:r>
      <w:r w:rsidR="00480C92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&amp;</m:t>
                  </m:r>
                  <m:nary>
                    <m:naryPr>
                      <m:chr m:val="∑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=-∞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∞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</m:d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∂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∂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nary>
                </m:e>
                <m:e>
                  <w:bookmarkStart w:id="1" w:name="OLE_LINK9"/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=&amp;</m:t>
                  </m:r>
                  <m:nary>
                    <m:naryPr>
                      <m:chr m:val="∑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=-∞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∞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</m:d>
                        </m:sup>
                      </m:sSup>
                      <m:r>
                        <w:rPr>
                          <w:rFonts w:ascii="Cambria Math" w:hAnsi="Cambria Math"/>
                        </w:rPr>
                        <m:t>i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ℏ</m:t>
                          </m:r>
                        </m:den>
                      </m:f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Λ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λ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2ℏ</m:t>
                              </m:r>
                            </m:den>
                          </m:f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nary>
                  <w:bookmarkEnd w:id="1"/>
                </m:e>
              </m:eqArr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S12</m:t>
                  </m:r>
                </m:e>
              </m:d>
            </m:e>
          </m:eqArr>
          <m:r>
            <m:rPr>
              <m:sty m:val="p"/>
            </m:rPr>
            <w:br/>
          </m:r>
        </m:oMath>
      </m:oMathPara>
      <w:r w:rsidR="00480C92">
        <w:rPr>
          <w:rFonts w:hint="eastAsia"/>
        </w:rPr>
        <w:t>Again, f</w:t>
      </w:r>
      <w:r w:rsidR="00480C92">
        <w:t xml:space="preserve">rom Eq. (S12), two additional simplifications are made. First, the ponderomotive term associated with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480C92">
        <w:t xml:space="preserve"> is neglected </w:t>
      </w:r>
      <w:r w:rsidR="00480C92">
        <w:rPr>
          <w:rFonts w:hint="eastAsia"/>
        </w:rPr>
        <w:t>since</w:t>
      </w:r>
      <w:r w:rsidR="00480C92">
        <w:t xml:space="preserve"> it contributes only a weak higher-order correction under the weak-coupling conditions considered here. Second, the optical near field is taken to vary primarily along </w:t>
      </w:r>
      <w:r w:rsidR="00480C92" w:rsidRPr="00974AA5">
        <w:rPr>
          <w:i/>
          <w:iCs w:val="0"/>
        </w:rPr>
        <w:t>z</w:t>
      </w:r>
      <w:r w:rsidR="00480C92">
        <w:t xml:space="preserve"> and does not introduce an </w:t>
      </w:r>
      <w:r w:rsidR="00480C92" w:rsidRPr="00974AA5">
        <w:rPr>
          <w:i/>
          <w:iCs w:val="0"/>
        </w:rPr>
        <w:t>x</w:t>
      </w:r>
      <w:r w:rsidR="00480C92">
        <w:t xml:space="preserve">-dependent modulation, so the transverse envelope term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x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∂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480C92">
        <w:t xml:space="preserve"> is omitted. The equation then reduces to</w:t>
      </w:r>
      <w:r w:rsidR="00480C92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nary>
                <m:naryPr>
                  <m:chr m:val="∑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=-∞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</m:d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z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nary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i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e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ℏ</m:t>
                  </m:r>
                </m:den>
              </m:f>
              <m:nary>
                <m:naryPr>
                  <m:chr m:val="∑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=-∞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</m:d>
                    </m:sup>
                  </m:sSup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Λ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λ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</m:d>
                    </m:e>
                  </m:func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nary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S13</m:t>
                  </m:r>
                </m:e>
              </m:d>
            </m:e>
          </m:eqArr>
          <m:r>
            <m:rPr>
              <m:sty m:val="p"/>
            </m:rPr>
            <w:br/>
          </m:r>
        </m:oMath>
      </m:oMathPara>
      <w:r>
        <w:t xml:space="preserve">Using Euler's formula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ix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ix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t xml:space="preserve"> and the energy-momentum relations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>ℏ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λ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r>
          <m:rPr>
            <m:sty m:val="p"/>
          </m:rPr>
          <w:rPr>
            <w:rFonts w:ascii="Cambria Math" w:hAnsi="Cambria Math"/>
          </w:rPr>
          <w:lastRenderedPageBreak/>
          <m:t xml:space="preserve">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z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</m:e>
        </m:func>
        <m: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sub>
        </m:sSub>
      </m:oMath>
      <w:r>
        <w:t>, the equation becomes</w:t>
      </w:r>
      <w:r w:rsidR="00480C92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&amp;</m:t>
                  </m:r>
                  <m:nary>
                    <m:naryPr>
                      <m:chr m:val="∑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=-∞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∞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d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</m:d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∂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nary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=&amp;</m:t>
                  </m:r>
                  <m:r>
                    <w:rPr>
                      <w:rFonts w:ascii="Cambria Math" w:hAnsi="Cambria Math"/>
                    </w:rPr>
                    <m:t>i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2ℏ</m:t>
                      </m:r>
                    </m:den>
                  </m:f>
                  <m:nary>
                    <m:naryPr>
                      <m:chr m:val="∑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=-∞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∞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</m:d>
                        </m:sup>
                      </m:sSup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Λ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λ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</m:d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Λ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λ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</m:d>
                            </m:sup>
                          </m:sSup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nary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=&amp;</m:t>
                  </m:r>
                  <m:r>
                    <w:rPr>
                      <w:rFonts w:ascii="Cambria Math" w:hAnsi="Cambria Math"/>
                    </w:rPr>
                    <m:t>i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2ℏ</m:t>
                      </m:r>
                    </m:den>
                  </m:f>
                  <m:nary>
                    <m:naryPr>
                      <m:chr m:val="∑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=-∞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∞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d>
                        </m:sup>
                      </m:sSup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+1,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z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+1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</m:d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-1,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z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</m:d>
                            </m:sup>
                          </m:sSup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nary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=&amp;</m:t>
                  </m:r>
                  <m:r>
                    <w:rPr>
                      <w:rFonts w:ascii="Cambria Math" w:hAnsi="Cambria Math"/>
                    </w:rPr>
                    <m:t>i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2ℏ</m:t>
                      </m:r>
                    </m:den>
                  </m:f>
                  <m:nary>
                    <m:naryPr>
                      <m:chr m:val="∑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=-∞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∞</m:t>
                      </m:r>
                    </m:sup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-1,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sub>
                                  </m:sSub>
                                </m:e>
                              </m:d>
                            </m:sup>
                          </m:s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-1,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+1,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sub>
                                  </m:sSub>
                                </m:e>
                              </m:d>
                            </m:sup>
                          </m:s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+1,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+1</m:t>
                              </m:r>
                            </m:sub>
                          </m:sSub>
                        </m:e>
                      </m:d>
                    </m:e>
                  </m:nary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</m:d>
                    </m:sup>
                  </m:sSup>
                </m:e>
              </m:eqArr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S14</m:t>
                  </m:r>
                </m:e>
              </m:d>
            </m:e>
          </m:eqArr>
          <m:r>
            <m:rPr>
              <m:sty m:val="p"/>
            </m:rPr>
            <w:br/>
          </m:r>
        </m:oMath>
      </m:oMathPara>
      <w:r w:rsidRPr="00F858FC">
        <w:t xml:space="preserve">Applying the inverse Fourier transform and its orthogonality relation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nary>
              <m:naryPr>
                <m:ctrlPr>
                  <w:rPr>
                    <w:rFonts w:ascii="Cambria Math" w:hAnsi="Cambria Math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T</m:t>
                </m:r>
              </m:sup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b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p>
                    </m:sSup>
                  </m:e>
                </m:d>
              </m:e>
            </m:nary>
            <m:r>
              <w:rPr>
                <w:rFonts w:ascii="Cambria Math" w:hAnsi="Cambria Math"/>
              </w:rPr>
              <m:t>dt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i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t</m:t>
                </m:r>
              </m:sup>
            </m:sSup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</m:sup>
            </m:sSup>
          </m:sub>
        </m:sSub>
      </m:oMath>
      <w:r w:rsidRPr="00F858FC">
        <w:rPr>
          <w:rFonts w:hint="eastAsia"/>
        </w:rPr>
        <w:t xml:space="preserve">, </w:t>
      </w:r>
      <w:r w:rsidRPr="00F858FC">
        <w:t>we can derive the coupled-mode equation governing probability transfer between adjacent energy orders:</w:t>
      </w:r>
      <w:r w:rsidRPr="00F858FC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i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e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2ℏ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-1,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ix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-1,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</m:e>
                      </m:d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+1,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ix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+1,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</m:e>
                      </m:d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hint="eastAsia"/>
                    </w:rPr>
                    <m:t>S15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>and its simplified form:</w:t>
      </w:r>
      <w:r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i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κ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κ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hint="eastAsia"/>
                    </w:rPr>
                    <m:t>S16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 xml:space="preserve">Here,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κ</m:t>
            </m:r>
          </m:e>
          <m:sub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κ</m:t>
            </m:r>
          </m:e>
          <m:sub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sub>
        </m:sSub>
      </m:oMath>
      <w:r>
        <w:t xml:space="preserve"> are the coupling coefficients between modes, representing the probability amplitudes for scattering from the (n - 1)-th or (n + 1)-th momentum state into the n-th momentum state:</w:t>
      </w:r>
      <w:r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κ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&amp;=-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2ℏ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-1,</m:t>
                          </m:r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Δ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-1,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sup>
                  </m:sSup>
                </m:e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κ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&amp;=-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2ℏ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+1,</m:t>
                          </m:r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Δ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+1,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sup>
                  </m:sSup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&amp;=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e>
              </m:eqArr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hint="eastAsia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17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>This expression is the detailed form underlying Eq. (7) in the main text.</w:t>
      </w:r>
    </w:p>
    <w:p w14:paraId="1301FF14" w14:textId="77777777" w:rsidR="005B0823" w:rsidRDefault="00000000" w:rsidP="00480C92">
      <w:pPr>
        <w:spacing w:line="360" w:lineRule="auto"/>
      </w:pPr>
      <w:r>
        <w:br w:type="page"/>
      </w:r>
    </w:p>
    <w:p w14:paraId="4EA36DA5" w14:textId="2CB315CC" w:rsidR="005B0823" w:rsidRPr="00F858FC" w:rsidRDefault="00000000" w:rsidP="00480C92">
      <w:pPr>
        <w:pStyle w:val="aa"/>
        <w:spacing w:beforeLines="100" w:before="240" w:afterLines="100" w:after="240" w:line="360" w:lineRule="auto"/>
        <w:contextualSpacing w:val="0"/>
        <w:outlineLvl w:val="0"/>
        <w:rPr>
          <w:rFonts w:eastAsia="宋体" w:cs="Times New Roman"/>
          <w:snapToGrid w:val="0"/>
          <w:szCs w:val="28"/>
        </w:rPr>
      </w:pPr>
      <w:r w:rsidRPr="00F858FC">
        <w:rPr>
          <w:rFonts w:eastAsia="宋体" w:cs="Times New Roman"/>
          <w:snapToGrid w:val="0"/>
          <w:szCs w:val="28"/>
        </w:rPr>
        <w:lastRenderedPageBreak/>
        <w:t>S4. External-parameter control of cutoff-limited EELS</w:t>
      </w:r>
    </w:p>
    <w:p w14:paraId="6EB22270" w14:textId="60EC917E" w:rsidR="005B0823" w:rsidRPr="00F858FC" w:rsidRDefault="00000000" w:rsidP="00480C92">
      <w:pPr>
        <w:spacing w:beforeLines="100" w:before="240" w:afterLines="100" w:after="240" w:line="360" w:lineRule="auto"/>
      </w:pPr>
      <w:r>
        <w:t xml:space="preserve">In the main text, the far-field EELS cutoff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±,</m:t>
            </m:r>
            <m:r>
              <w:rPr>
                <w:rFonts w:ascii="Cambria Math" w:hAnsi="Cambria Math"/>
              </w:rPr>
              <m:t>c</m:t>
            </m:r>
          </m:sub>
        </m:sSub>
      </m:oMath>
      <w:r>
        <w:t xml:space="preserve"> is shown to depend on the electron velocity </w:t>
      </w:r>
      <m:oMath>
        <m:r>
          <w:rPr>
            <w:rFonts w:ascii="Cambria Math" w:hAnsi="Cambria Math"/>
          </w:rPr>
          <m:t>βc</m:t>
        </m:r>
      </m:oMath>
      <w:r>
        <w:t xml:space="preserve"> and incidence angle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>
        <w:t xml:space="preserve">. External parameters provide an additional, experimentally accessible control axis. The main-text Figure 3 uses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>
        <w:t xml:space="preserve"> = 0.07° and longitudinal field amplitude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e>
        </m:d>
      </m:oMath>
      <w:r>
        <w:t xml:space="preserve"> = 50 MV/m, corresponding to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2ℏ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e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</m:den>
        </m:f>
        <m:r>
          <m:rPr>
            <m:sty m:val="p"/>
          </m:rPr>
          <w:rPr>
            <w:rFonts w:ascii="Cambria Math" w:hAnsi="Cambria Math"/>
          </w:rPr>
          <m:t>=</m:t>
        </m:r>
      </m:oMath>
      <w:r>
        <w:t xml:space="preserve"> 57.3 nm. Figure S2 instead uses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>
        <w:t xml:space="preserve"> = 0.04° and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e>
        </m:d>
      </m:oMath>
      <w:r>
        <w:t xml:space="preserve"> = 10 MV/m, corresponding to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2ℏ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e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</m:den>
        </m:f>
        <m:r>
          <m:rPr>
            <m:sty m:val="p"/>
          </m:rPr>
          <w:rPr>
            <w:rFonts w:ascii="Cambria Math" w:hAnsi="Cambria Math"/>
          </w:rPr>
          <m:t>=</m:t>
        </m:r>
      </m:oMath>
      <w:r>
        <w:t xml:space="preserve"> 286.4 nm. Comparing these two cases shows how the incidence angle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>
        <w:t xml:space="preserve"> shifts the cutoff boundary, while the optical field amplitude rescales the physical interaction length required to reach a given normalized coupling strength.</w:t>
      </w:r>
    </w:p>
    <w:p w14:paraId="34591F87" w14:textId="77777777" w:rsidR="005B0823" w:rsidRDefault="007D7AD0" w:rsidP="00480C92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514B8605" wp14:editId="59614E79">
            <wp:extent cx="5242560" cy="4389120"/>
            <wp:effectExtent l="0" t="0" r="0" b="0"/>
            <wp:docPr id="732594270" name="图片 2" descr="P81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94270" name="图片 2" descr="P814#yIS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3912" w14:textId="6B881821" w:rsidR="005B0823" w:rsidRDefault="00000000" w:rsidP="00480C92">
      <w:pPr>
        <w:pStyle w:val="af1"/>
        <w:spacing w:line="360" w:lineRule="auto"/>
        <w:ind w:left="480" w:right="480" w:firstLineChars="0" w:firstLine="0"/>
        <w:jc w:val="both"/>
        <w:rPr>
          <w:rFonts w:eastAsia="宋体"/>
          <w:b w:val="0"/>
          <w:bCs/>
          <w:sz w:val="28"/>
          <w:szCs w:val="22"/>
        </w:rPr>
      </w:pPr>
      <w:r>
        <w:t xml:space="preserve">Figure S2 | </w:t>
      </w:r>
      <w:r w:rsidRPr="00480C92">
        <w:rPr>
          <w:b w:val="0"/>
          <w:bCs/>
        </w:rPr>
        <w:t xml:space="preserve">External-parameter control of cutoff-limited EELS. z-dependent EELS evolution for electrons interacting with the 0th, 1st, and 2nd spatial harmonics under phase-matching conditions. Compared with the main-text parameters in Figure 3, this case uses a smaller incidence angle and weaker optical field, shifting the cutoff location and increasing the physical interaction length associated with the same normalized coupling strength. Parameters: optical wavelength 866.5 nm, electric-field intensity E = 10 MV/m, electron incidence angle 0.04°, and </w:t>
      </w:r>
      <m:oMath>
        <m:f>
          <m:fPr>
            <m:type m:val="lin"/>
            <m:ctrlPr>
              <w:rPr>
                <w:rFonts w:ascii="Cambria Math" w:eastAsiaTheme="minorEastAsia" w:hAnsi="Cambria Math"/>
                <w:b w:val="0"/>
                <w:bCs/>
                <w:i/>
                <w:sz w:val="24"/>
                <w:szCs w:val="24"/>
                <w:lang w:val="de-DE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lang w:val="de-DE"/>
              </w:rPr>
              <m:t>2ℏ</m:t>
            </m:r>
          </m:num>
          <m:den>
            <m:d>
              <m:dPr>
                <m:ctrlPr>
                  <w:rPr>
                    <w:rFonts w:ascii="Cambria Math" w:eastAsiaTheme="minorEastAsia" w:hAnsi="Cambria Math"/>
                    <w:b w:val="0"/>
                    <w:bCs/>
                    <w:i/>
                    <w:sz w:val="24"/>
                    <w:szCs w:val="24"/>
                    <w:lang w:val="de-DE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de-DE"/>
                  </w:rPr>
                  <m:t>e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 w:val="0"/>
                        <w:bCs/>
                        <w:i/>
                        <w:sz w:val="24"/>
                        <w:szCs w:val="24"/>
                        <w:lang w:val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de-DE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de-DE"/>
                      </w:rPr>
                      <m:t>0</m:t>
                    </m:r>
                  </m:sub>
                </m:sSub>
              </m:e>
            </m:d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de-DE"/>
          </w:rPr>
          <m:t>=</m:t>
        </m:r>
      </m:oMath>
      <w:r w:rsidRPr="00480C92">
        <w:rPr>
          <w:b w:val="0"/>
          <w:bCs/>
        </w:rPr>
        <w:t xml:space="preserve"> 286.4 nm.</w:t>
      </w:r>
    </w:p>
    <w:p w14:paraId="302B5A1A" w14:textId="77777777" w:rsidR="00480C92" w:rsidRPr="00F858FC" w:rsidRDefault="00480C92" w:rsidP="00480C92">
      <w:pPr>
        <w:spacing w:beforeLines="100" w:before="240" w:afterLines="100" w:after="240" w:line="360" w:lineRule="auto"/>
      </w:pPr>
      <w:r>
        <w:t xml:space="preserve">Although the coherent transition rate between adjacent photon orders is governed by the normalized interaction length </w:t>
      </w:r>
      <m:oMath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/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2ℏ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</m:d>
              </m:den>
            </m:f>
          </m:e>
        </m:d>
      </m:oMath>
      <w:r>
        <w:t>, the attenuation of sidebands beyond the cutoff is controlled by the actual physical propagation length. In the normalized representation, a weaker optical field can appear to produce stronger attenuation because the same normalized length corresponds to a longer real-space interaction distance. Before the sideband distribution reaches the cutoff boundary, the EELS evolution remains close to the unbounded PINEM-like quantum walk. Once the boundary is reached, the spectrum becomes cutoff-</w:t>
      </w:r>
      <w:r>
        <w:lastRenderedPageBreak/>
        <w:t>limited, illustrating how external parameters control the effective dimension of the detectable synthetic momentum space.</w:t>
      </w:r>
    </w:p>
    <w:p w14:paraId="0A545277" w14:textId="77777777" w:rsidR="005B0823" w:rsidRPr="00480C92" w:rsidRDefault="005B0823" w:rsidP="00480C92">
      <w:pPr>
        <w:spacing w:line="360" w:lineRule="auto"/>
        <w:rPr>
          <w:bCs/>
        </w:rPr>
      </w:pPr>
    </w:p>
    <w:p w14:paraId="5FEC5A6C" w14:textId="77777777" w:rsidR="005B0823" w:rsidRDefault="005B0823" w:rsidP="00480C92">
      <w:pPr>
        <w:spacing w:line="360" w:lineRule="auto"/>
        <w:rPr>
          <w:iCs w:val="0"/>
        </w:rPr>
      </w:pPr>
    </w:p>
    <w:sectPr w:rsidR="005B0823" w:rsidSect="00F858FC">
      <w:pgSz w:w="11906" w:h="16838"/>
      <w:pgMar w:top="720" w:right="720" w:bottom="720" w:left="720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F6210" w14:textId="77777777" w:rsidR="00767808" w:rsidRDefault="00767808">
      <w:pPr>
        <w:spacing w:line="240" w:lineRule="auto"/>
      </w:pPr>
      <w:r>
        <w:separator/>
      </w:r>
    </w:p>
  </w:endnote>
  <w:endnote w:type="continuationSeparator" w:id="0">
    <w:p w14:paraId="71EF49CA" w14:textId="77777777" w:rsidR="00767808" w:rsidRDefault="007678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467C1" w14:textId="77777777" w:rsidR="00767808" w:rsidRDefault="00767808">
      <w:pPr>
        <w:spacing w:after="0"/>
      </w:pPr>
      <w:r>
        <w:separator/>
      </w:r>
    </w:p>
  </w:footnote>
  <w:footnote w:type="continuationSeparator" w:id="0">
    <w:p w14:paraId="60E018AA" w14:textId="77777777" w:rsidR="00767808" w:rsidRDefault="0076780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1D91"/>
    <w:multiLevelType w:val="hybridMultilevel"/>
    <w:tmpl w:val="F47AAB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39443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defaultTabStop w:val="420"/>
  <w:drawingGridHorizontalSpacing w:val="11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6B3"/>
    <w:rsid w:val="000526B3"/>
    <w:rsid w:val="00074358"/>
    <w:rsid w:val="00074364"/>
    <w:rsid w:val="000B7836"/>
    <w:rsid w:val="00130CD5"/>
    <w:rsid w:val="00144B4B"/>
    <w:rsid w:val="00160439"/>
    <w:rsid w:val="00191AC2"/>
    <w:rsid w:val="001B289A"/>
    <w:rsid w:val="0026373D"/>
    <w:rsid w:val="0029188C"/>
    <w:rsid w:val="002B5DFA"/>
    <w:rsid w:val="002C2E54"/>
    <w:rsid w:val="002D48D9"/>
    <w:rsid w:val="00405961"/>
    <w:rsid w:val="004540B7"/>
    <w:rsid w:val="004577AC"/>
    <w:rsid w:val="004613E4"/>
    <w:rsid w:val="00480C92"/>
    <w:rsid w:val="004A0B12"/>
    <w:rsid w:val="004C472E"/>
    <w:rsid w:val="0051634B"/>
    <w:rsid w:val="0052562D"/>
    <w:rsid w:val="005B0823"/>
    <w:rsid w:val="005F29EB"/>
    <w:rsid w:val="0061128B"/>
    <w:rsid w:val="00622BF7"/>
    <w:rsid w:val="00632490"/>
    <w:rsid w:val="00633E1E"/>
    <w:rsid w:val="006701FA"/>
    <w:rsid w:val="00767808"/>
    <w:rsid w:val="00792A18"/>
    <w:rsid w:val="007D7AD0"/>
    <w:rsid w:val="007E7410"/>
    <w:rsid w:val="008317C1"/>
    <w:rsid w:val="00891EE4"/>
    <w:rsid w:val="00892C90"/>
    <w:rsid w:val="00896932"/>
    <w:rsid w:val="008B6231"/>
    <w:rsid w:val="008D044F"/>
    <w:rsid w:val="008D6389"/>
    <w:rsid w:val="008F736A"/>
    <w:rsid w:val="0091280A"/>
    <w:rsid w:val="00934AC2"/>
    <w:rsid w:val="009575DB"/>
    <w:rsid w:val="00974AA5"/>
    <w:rsid w:val="009A798D"/>
    <w:rsid w:val="009E799D"/>
    <w:rsid w:val="00A76EF2"/>
    <w:rsid w:val="00A97E0C"/>
    <w:rsid w:val="00AC1088"/>
    <w:rsid w:val="00B36B58"/>
    <w:rsid w:val="00B65274"/>
    <w:rsid w:val="00BA6211"/>
    <w:rsid w:val="00BC1F71"/>
    <w:rsid w:val="00BF74A6"/>
    <w:rsid w:val="00C15CCB"/>
    <w:rsid w:val="00C22FF8"/>
    <w:rsid w:val="00C547AB"/>
    <w:rsid w:val="00CE58D4"/>
    <w:rsid w:val="00D61EA2"/>
    <w:rsid w:val="00DE2FC9"/>
    <w:rsid w:val="00DF043E"/>
    <w:rsid w:val="00E113C4"/>
    <w:rsid w:val="00E6740B"/>
    <w:rsid w:val="00EE5DDD"/>
    <w:rsid w:val="00F13EB3"/>
    <w:rsid w:val="00F33CF0"/>
    <w:rsid w:val="00F858FC"/>
    <w:rsid w:val="00F940EE"/>
    <w:rsid w:val="0C633A76"/>
    <w:rsid w:val="272A3600"/>
    <w:rsid w:val="2CF37A8B"/>
    <w:rsid w:val="348925DF"/>
    <w:rsid w:val="6C807E3F"/>
    <w:rsid w:val="752E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918933"/>
  <w15:docId w15:val="{1E2C4FF9-2A98-4E1F-9476-CD16961AE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78" w:lineRule="auto"/>
      <w:jc w:val="both"/>
    </w:pPr>
    <w:rPr>
      <w:rFonts w:eastAsiaTheme="minorEastAsia"/>
      <w:iCs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Normal (Web)"/>
    <w:basedOn w:val="a"/>
    <w:uiPriority w:val="99"/>
    <w:semiHidden/>
    <w:unhideWhenUsed/>
  </w:style>
  <w:style w:type="paragraph" w:styleId="aa">
    <w:name w:val="Title"/>
    <w:basedOn w:val="a"/>
    <w:next w:val="a"/>
    <w:link w:val="ab"/>
    <w:uiPriority w:val="10"/>
    <w:qFormat/>
    <w:rsid w:val="00144B4B"/>
    <w:pPr>
      <w:spacing w:before="120" w:after="120" w:line="240" w:lineRule="auto"/>
      <w:contextualSpacing/>
      <w:jc w:val="left"/>
    </w:pPr>
    <w:rPr>
      <w:rFonts w:eastAsia="Times New Roman" w:cstheme="majorBidi"/>
      <w:b/>
      <w:spacing w:val="-10"/>
      <w:kern w:val="28"/>
      <w:sz w:val="28"/>
      <w:szCs w:val="56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b">
    <w:name w:val="标题 字符"/>
    <w:basedOn w:val="a0"/>
    <w:link w:val="aa"/>
    <w:uiPriority w:val="10"/>
    <w:qFormat/>
    <w:rsid w:val="00144B4B"/>
    <w:rPr>
      <w:rFonts w:eastAsia="Times New Roman" w:cstheme="majorBidi"/>
      <w:b/>
      <w:iCs/>
      <w:spacing w:val="-10"/>
      <w:kern w:val="28"/>
      <w:sz w:val="28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/>
      <w:jc w:val="center"/>
    </w:pPr>
    <w:rPr>
      <w:i/>
      <w:iCs w:val="0"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qFormat/>
    <w:rPr>
      <w:i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 w:val="0"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qFormat/>
    <w:rPr>
      <w:i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af1">
    <w:name w:val="图注"/>
    <w:link w:val="af2"/>
    <w:qFormat/>
    <w:pPr>
      <w:ind w:leftChars="200" w:left="400" w:rightChars="200" w:right="200" w:hangingChars="200" w:hanging="200"/>
      <w:jc w:val="center"/>
    </w:pPr>
    <w:rPr>
      <w:rFonts w:eastAsia="Times New Roman" w:cstheme="minorBidi"/>
      <w:b/>
      <w:kern w:val="2"/>
      <w:szCs w:val="21"/>
    </w:rPr>
  </w:style>
  <w:style w:type="character" w:customStyle="1" w:styleId="af2">
    <w:name w:val="图注 字符"/>
    <w:basedOn w:val="a0"/>
    <w:link w:val="af1"/>
    <w:qFormat/>
    <w:rPr>
      <w:rFonts w:eastAsia="Times New Roman" w:cstheme="minorBidi"/>
      <w:b/>
      <w:kern w:val="2"/>
      <w:sz w:val="20"/>
      <w:szCs w:val="21"/>
    </w:rPr>
  </w:style>
  <w:style w:type="paragraph" w:styleId="af3">
    <w:name w:val="annotation text"/>
    <w:basedOn w:val="a"/>
    <w:link w:val="af4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4">
    <w:name w:val="批注文字 字符"/>
    <w:basedOn w:val="a0"/>
    <w:link w:val="af3"/>
    <w:uiPriority w:val="99"/>
    <w:semiHidden/>
    <w:rPr>
      <w:rFonts w:eastAsiaTheme="minorEastAsia"/>
      <w:iCs/>
    </w:rPr>
  </w:style>
  <w:style w:type="character" w:styleId="af5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6">
    <w:name w:val="Revision"/>
    <w:hidden/>
    <w:uiPriority w:val="99"/>
    <w:unhideWhenUsed/>
    <w:rsid w:val="00A97E0C"/>
    <w:rPr>
      <w:rFonts w:eastAsiaTheme="minorEastAsia"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616AB-B19B-4323-991C-5F42A383F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2852</Words>
  <Characters>16262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丹妮 陈</dc:creator>
  <cp:lastModifiedBy>昌颖 李</cp:lastModifiedBy>
  <cp:revision>7</cp:revision>
  <dcterms:created xsi:type="dcterms:W3CDTF">2026-06-05T04:14:00Z</dcterms:created>
  <dcterms:modified xsi:type="dcterms:W3CDTF">2026-06-05T04:42:00Z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eyJoZGlkIjoiOGIwNWQ1OGU5YmFmM2RhMzRmNTg0N2YwOTg3ZjljODEiLCJ1c2VySWQiOiI3MzEyNDc2MDkifQ==</vt:lpwstr>
  </property>
  <property fmtid="{D5CDD505-2E9C-101B-9397-08002B2CF9AE}" pid="3" name="KSOProductBuildVer">
    <vt:lpwstr>2052-12.1.0.21915</vt:lpwstr>
  </property>
  <property fmtid="{D5CDD505-2E9C-101B-9397-08002B2CF9AE}" pid="4" name="ICV">
    <vt:lpwstr>97166F8A312B414B9CAC904245EDBED3_12</vt:lpwstr>
  </property>
</Properties>
</file>