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9A2D2">
      <w:pPr>
        <w:spacing w:before="0" w:after="240" w:line="240" w:lineRule="auto"/>
        <w:jc w:val="center"/>
      </w:pPr>
      <w:bookmarkStart w:id="0" w:name="_GoBack"/>
      <w:bookmarkEnd w:id="0"/>
      <w:r>
        <w:rPr>
          <w:rFonts w:ascii="Times New Roman" w:hAnsi="Times New Roman" w:eastAsia="Times New Roman" w:cs="Times New Roman"/>
          <w:b/>
          <w:sz w:val="28"/>
        </w:rPr>
        <w:t>Supplementary Materials for: Parenthood and Gendered Life-Course Income Trajectories in China</w:t>
      </w:r>
    </w:p>
    <w:p w14:paraId="7B256397">
      <w:pPr>
        <w:spacing w:before="60" w:after="60"/>
        <w:ind w:firstLine="504"/>
        <w:jc w:val="both"/>
      </w:pPr>
      <w:r>
        <w:rPr>
          <w:rFonts w:ascii="Times New Roman" w:hAnsi="Times New Roman" w:eastAsia="Times New Roman" w:cs="Times New Roman"/>
          <w:b w:val="0"/>
          <w:i/>
          <w:sz w:val="22"/>
        </w:rPr>
        <w:t>This supplementary file reports detailed construction rules, extended tables, robustness checks and replication notes moved out of the main manuscript to keep the submitted article close to the journal word limit.</w:t>
      </w:r>
    </w:p>
    <w:p w14:paraId="0A3277BD">
      <w:pPr>
        <w:pStyle w:val="3"/>
        <w:spacing w:line="240" w:lineRule="auto"/>
        <w:jc w:val="left"/>
      </w:pPr>
      <w:r>
        <w:rPr>
          <w:rFonts w:ascii="Times New Roman" w:hAnsi="Times New Roman" w:eastAsia="Times New Roman" w:cs="Times New Roman"/>
          <w:b/>
          <w:color w:val="1F4E79"/>
          <w:sz w:val="28"/>
        </w:rPr>
        <w:t>S1. Sample construction protocol</w:t>
      </w:r>
    </w:p>
    <w:p w14:paraId="4530CBD4">
      <w:pPr>
        <w:spacing w:before="120" w:after="60" w:line="240" w:lineRule="auto"/>
        <w:jc w:val="left"/>
      </w:pPr>
      <w:r>
        <w:rPr>
          <w:rFonts w:ascii="Times New Roman" w:hAnsi="Times New Roman" w:eastAsia="Times New Roman" w:cs="Times New Roman"/>
          <w:b/>
          <w:sz w:val="20"/>
        </w:rPr>
        <w:t>Table S1.</w:t>
      </w:r>
      <w:r>
        <w:rPr>
          <w:rFonts w:ascii="Times New Roman" w:hAnsi="Times New Roman" w:eastAsia="Times New Roman" w:cs="Times New Roman"/>
          <w:i w:val="0"/>
          <w:sz w:val="20"/>
        </w:rPr>
        <w:t xml:space="preserve"> Sample construction and exclusion rules</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9"/>
        <w:gridCol w:w="3204"/>
        <w:gridCol w:w="3203"/>
      </w:tblGrid>
      <w:tr w14:paraId="6882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360" w:type="dxa"/>
            <w:tcBorders>
              <w:top w:val="single" w:color="000000" w:sz="10" w:space="0"/>
              <w:left w:val="nil"/>
              <w:bottom w:val="single" w:color="000000" w:sz="10" w:space="0"/>
              <w:right w:val="nil"/>
              <w:insideH w:val="nil"/>
              <w:insideV w:val="nil"/>
            </w:tcBorders>
            <w:vAlign w:val="center"/>
          </w:tcPr>
          <w:p w14:paraId="6DB8BBC2">
            <w:pPr>
              <w:spacing w:before="0" w:after="0" w:line="240" w:lineRule="auto"/>
              <w:jc w:val="left"/>
            </w:pPr>
            <w:r>
              <w:rPr>
                <w:rFonts w:ascii="Times New Roman" w:hAnsi="Times New Roman" w:eastAsia="Times New Roman" w:cs="Times New Roman"/>
                <w:b/>
                <w:i w:val="0"/>
                <w:sz w:val="18"/>
              </w:rPr>
              <w:t>Step</w:t>
            </w:r>
          </w:p>
        </w:tc>
        <w:tc>
          <w:tcPr>
            <w:tcW w:w="3360" w:type="dxa"/>
            <w:tcBorders>
              <w:top w:val="single" w:color="000000" w:sz="10" w:space="0"/>
              <w:left w:val="nil"/>
              <w:bottom w:val="single" w:color="000000" w:sz="10" w:space="0"/>
              <w:right w:val="nil"/>
              <w:insideH w:val="nil"/>
              <w:insideV w:val="nil"/>
            </w:tcBorders>
            <w:vAlign w:val="center"/>
          </w:tcPr>
          <w:p w14:paraId="6AC8DA61">
            <w:pPr>
              <w:spacing w:before="0" w:after="0" w:line="240" w:lineRule="auto"/>
              <w:jc w:val="left"/>
            </w:pPr>
            <w:r>
              <w:rPr>
                <w:rFonts w:ascii="Times New Roman" w:hAnsi="Times New Roman" w:eastAsia="Times New Roman" w:cs="Times New Roman"/>
                <w:b/>
                <w:i w:val="0"/>
                <w:sz w:val="18"/>
              </w:rPr>
              <w:t>Restriction</w:t>
            </w:r>
          </w:p>
        </w:tc>
        <w:tc>
          <w:tcPr>
            <w:tcW w:w="3360" w:type="dxa"/>
            <w:tcBorders>
              <w:top w:val="single" w:color="000000" w:sz="10" w:space="0"/>
              <w:left w:val="nil"/>
              <w:bottom w:val="single" w:color="000000" w:sz="10" w:space="0"/>
              <w:right w:val="nil"/>
              <w:insideH w:val="nil"/>
              <w:insideV w:val="nil"/>
            </w:tcBorders>
            <w:vAlign w:val="center"/>
          </w:tcPr>
          <w:p w14:paraId="09FF4CBB">
            <w:pPr>
              <w:spacing w:before="0" w:after="0" w:line="240" w:lineRule="auto"/>
              <w:jc w:val="left"/>
            </w:pPr>
            <w:r>
              <w:rPr>
                <w:rFonts w:ascii="Times New Roman" w:hAnsi="Times New Roman" w:eastAsia="Times New Roman" w:cs="Times New Roman"/>
                <w:b/>
                <w:i w:val="0"/>
                <w:sz w:val="18"/>
              </w:rPr>
              <w:t>Remaining sample</w:t>
            </w:r>
          </w:p>
        </w:tc>
      </w:tr>
      <w:tr w14:paraId="11D1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6907173B">
            <w:pPr>
              <w:spacing w:before="0" w:after="0" w:line="240" w:lineRule="auto"/>
              <w:jc w:val="left"/>
            </w:pPr>
            <w:r>
              <w:rPr>
                <w:rFonts w:ascii="Times New Roman" w:hAnsi="Times New Roman" w:eastAsia="Times New Roman" w:cs="Times New Roman"/>
                <w:b w:val="0"/>
                <w:i w:val="0"/>
                <w:sz w:val="18"/>
              </w:rPr>
              <w:t>1</w:t>
            </w:r>
          </w:p>
        </w:tc>
        <w:tc>
          <w:tcPr>
            <w:tcW w:w="3360" w:type="dxa"/>
            <w:tcBorders>
              <w:top w:val="nil"/>
              <w:left w:val="nil"/>
              <w:bottom w:val="nil"/>
              <w:right w:val="nil"/>
              <w:insideH w:val="nil"/>
              <w:insideV w:val="nil"/>
            </w:tcBorders>
            <w:vAlign w:val="center"/>
          </w:tcPr>
          <w:p w14:paraId="2FCE5F1C">
            <w:pPr>
              <w:spacing w:before="0" w:after="0" w:line="240" w:lineRule="auto"/>
              <w:jc w:val="left"/>
            </w:pPr>
            <w:r>
              <w:rPr>
                <w:rFonts w:ascii="Times New Roman" w:hAnsi="Times New Roman" w:eastAsia="Times New Roman" w:cs="Times New Roman"/>
                <w:b w:val="0"/>
                <w:i w:val="0"/>
                <w:sz w:val="18"/>
              </w:rPr>
              <w:t>Adult respondents aged 18–55 in CFPS 2010–2022</w:t>
            </w:r>
          </w:p>
        </w:tc>
        <w:tc>
          <w:tcPr>
            <w:tcW w:w="3360" w:type="dxa"/>
            <w:tcBorders>
              <w:top w:val="nil"/>
              <w:left w:val="nil"/>
              <w:bottom w:val="nil"/>
              <w:right w:val="nil"/>
              <w:insideH w:val="nil"/>
              <w:insideV w:val="nil"/>
            </w:tcBorders>
            <w:vAlign w:val="center"/>
          </w:tcPr>
          <w:p w14:paraId="1078DA22">
            <w:pPr>
              <w:spacing w:before="0" w:after="0" w:line="240" w:lineRule="auto"/>
              <w:jc w:val="left"/>
            </w:pPr>
            <w:r>
              <w:rPr>
                <w:rFonts w:ascii="Times New Roman" w:hAnsi="Times New Roman" w:eastAsia="Times New Roman" w:cs="Times New Roman"/>
                <w:b w:val="0"/>
                <w:i w:val="0"/>
                <w:sz w:val="18"/>
              </w:rPr>
              <w:t>98,247 person-waves; 34,182 individuals</w:t>
            </w:r>
          </w:p>
        </w:tc>
      </w:tr>
      <w:tr w14:paraId="0EAA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5F09AB51">
            <w:pPr>
              <w:spacing w:before="0" w:after="0" w:line="240" w:lineRule="auto"/>
              <w:jc w:val="left"/>
            </w:pPr>
            <w:r>
              <w:rPr>
                <w:rFonts w:ascii="Times New Roman" w:hAnsi="Times New Roman" w:eastAsia="Times New Roman" w:cs="Times New Roman"/>
                <w:b w:val="0"/>
                <w:i w:val="0"/>
                <w:sz w:val="18"/>
              </w:rPr>
              <w:t>2</w:t>
            </w:r>
          </w:p>
        </w:tc>
        <w:tc>
          <w:tcPr>
            <w:tcW w:w="3360" w:type="dxa"/>
            <w:tcBorders>
              <w:top w:val="nil"/>
              <w:left w:val="nil"/>
              <w:bottom w:val="nil"/>
              <w:right w:val="nil"/>
              <w:insideH w:val="nil"/>
              <w:insideV w:val="nil"/>
            </w:tcBorders>
            <w:vAlign w:val="center"/>
          </w:tcPr>
          <w:p w14:paraId="0093F092">
            <w:pPr>
              <w:spacing w:before="0" w:after="0" w:line="240" w:lineRule="auto"/>
              <w:jc w:val="left"/>
            </w:pPr>
            <w:r>
              <w:rPr>
                <w:rFonts w:ascii="Times New Roman" w:hAnsi="Times New Roman" w:eastAsia="Times New Roman" w:cs="Times New Roman"/>
                <w:b w:val="0"/>
                <w:i w:val="0"/>
                <w:sz w:val="18"/>
              </w:rPr>
              <w:t>Observed early enough for pre/post childbirth windows</w:t>
            </w:r>
          </w:p>
        </w:tc>
        <w:tc>
          <w:tcPr>
            <w:tcW w:w="3360" w:type="dxa"/>
            <w:tcBorders>
              <w:top w:val="nil"/>
              <w:left w:val="nil"/>
              <w:bottom w:val="nil"/>
              <w:right w:val="nil"/>
              <w:insideH w:val="nil"/>
              <w:insideV w:val="nil"/>
            </w:tcBorders>
            <w:vAlign w:val="center"/>
          </w:tcPr>
          <w:p w14:paraId="6FB27403">
            <w:pPr>
              <w:spacing w:before="0" w:after="0" w:line="240" w:lineRule="auto"/>
              <w:jc w:val="left"/>
            </w:pPr>
            <w:r>
              <w:rPr>
                <w:rFonts w:ascii="Times New Roman" w:hAnsi="Times New Roman" w:eastAsia="Times New Roman" w:cs="Times New Roman"/>
                <w:b w:val="0"/>
                <w:i w:val="0"/>
                <w:sz w:val="18"/>
              </w:rPr>
              <w:t>81,436 person-waves; 28,915 individuals</w:t>
            </w:r>
          </w:p>
        </w:tc>
      </w:tr>
      <w:tr w14:paraId="08B2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2E85E4D1">
            <w:pPr>
              <w:spacing w:before="0" w:after="0" w:line="240" w:lineRule="auto"/>
              <w:jc w:val="left"/>
            </w:pPr>
            <w:r>
              <w:rPr>
                <w:rFonts w:ascii="Times New Roman" w:hAnsi="Times New Roman" w:eastAsia="Times New Roman" w:cs="Times New Roman"/>
                <w:b w:val="0"/>
                <w:i w:val="0"/>
                <w:sz w:val="18"/>
              </w:rPr>
              <w:t>3</w:t>
            </w:r>
          </w:p>
        </w:tc>
        <w:tc>
          <w:tcPr>
            <w:tcW w:w="3360" w:type="dxa"/>
            <w:tcBorders>
              <w:top w:val="nil"/>
              <w:left w:val="nil"/>
              <w:bottom w:val="nil"/>
              <w:right w:val="nil"/>
              <w:insideH w:val="nil"/>
              <w:insideV w:val="nil"/>
            </w:tcBorders>
            <w:vAlign w:val="center"/>
          </w:tcPr>
          <w:p w14:paraId="25DD3533">
            <w:pPr>
              <w:spacing w:before="0" w:after="0" w:line="240" w:lineRule="auto"/>
              <w:jc w:val="left"/>
            </w:pPr>
            <w:r>
              <w:rPr>
                <w:rFonts w:ascii="Times New Roman" w:hAnsi="Times New Roman" w:eastAsia="Times New Roman" w:cs="Times New Roman"/>
                <w:b w:val="0"/>
                <w:i w:val="0"/>
                <w:sz w:val="18"/>
              </w:rPr>
              <w:t>Valid labour income information</w:t>
            </w:r>
          </w:p>
        </w:tc>
        <w:tc>
          <w:tcPr>
            <w:tcW w:w="3360" w:type="dxa"/>
            <w:tcBorders>
              <w:top w:val="nil"/>
              <w:left w:val="nil"/>
              <w:bottom w:val="nil"/>
              <w:right w:val="nil"/>
              <w:insideH w:val="nil"/>
              <w:insideV w:val="nil"/>
            </w:tcBorders>
            <w:vAlign w:val="center"/>
          </w:tcPr>
          <w:p w14:paraId="31281C96">
            <w:pPr>
              <w:spacing w:before="0" w:after="0" w:line="240" w:lineRule="auto"/>
              <w:jc w:val="left"/>
            </w:pPr>
            <w:r>
              <w:rPr>
                <w:rFonts w:ascii="Times New Roman" w:hAnsi="Times New Roman" w:eastAsia="Times New Roman" w:cs="Times New Roman"/>
                <w:b w:val="0"/>
                <w:i w:val="0"/>
                <w:sz w:val="18"/>
              </w:rPr>
              <w:t>77,233 person-waves; 27,612 individuals</w:t>
            </w:r>
          </w:p>
        </w:tc>
      </w:tr>
      <w:tr w14:paraId="14D0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32144614">
            <w:pPr>
              <w:spacing w:before="0" w:after="0" w:line="240" w:lineRule="auto"/>
              <w:jc w:val="left"/>
            </w:pPr>
            <w:r>
              <w:rPr>
                <w:rFonts w:ascii="Times New Roman" w:hAnsi="Times New Roman" w:eastAsia="Times New Roman" w:cs="Times New Roman"/>
                <w:b w:val="0"/>
                <w:i w:val="0"/>
                <w:sz w:val="18"/>
              </w:rPr>
              <w:t>4</w:t>
            </w:r>
          </w:p>
        </w:tc>
        <w:tc>
          <w:tcPr>
            <w:tcW w:w="3360" w:type="dxa"/>
            <w:tcBorders>
              <w:top w:val="nil"/>
              <w:left w:val="nil"/>
              <w:bottom w:val="nil"/>
              <w:right w:val="nil"/>
              <w:insideH w:val="nil"/>
              <w:insideV w:val="nil"/>
            </w:tcBorders>
            <w:vAlign w:val="center"/>
          </w:tcPr>
          <w:p w14:paraId="1F8D9FA0">
            <w:pPr>
              <w:spacing w:before="0" w:after="0" w:line="240" w:lineRule="auto"/>
              <w:jc w:val="left"/>
            </w:pPr>
            <w:r>
              <w:rPr>
                <w:rFonts w:ascii="Times New Roman" w:hAnsi="Times New Roman" w:eastAsia="Times New Roman" w:cs="Times New Roman"/>
                <w:b w:val="0"/>
                <w:i w:val="0"/>
                <w:sz w:val="18"/>
              </w:rPr>
              <w:t>Valid child information and consistent child ages</w:t>
            </w:r>
          </w:p>
        </w:tc>
        <w:tc>
          <w:tcPr>
            <w:tcW w:w="3360" w:type="dxa"/>
            <w:tcBorders>
              <w:top w:val="nil"/>
              <w:left w:val="nil"/>
              <w:bottom w:val="nil"/>
              <w:right w:val="nil"/>
              <w:insideH w:val="nil"/>
              <w:insideV w:val="nil"/>
            </w:tcBorders>
            <w:vAlign w:val="center"/>
          </w:tcPr>
          <w:p w14:paraId="07CAAAC9">
            <w:pPr>
              <w:spacing w:before="0" w:after="0" w:line="240" w:lineRule="auto"/>
              <w:jc w:val="left"/>
            </w:pPr>
            <w:r>
              <w:rPr>
                <w:rFonts w:ascii="Times New Roman" w:hAnsi="Times New Roman" w:eastAsia="Times New Roman" w:cs="Times New Roman"/>
                <w:b w:val="0"/>
                <w:i w:val="0"/>
                <w:sz w:val="18"/>
              </w:rPr>
              <w:t>74,348 person-waves; 27,511 individuals</w:t>
            </w:r>
          </w:p>
        </w:tc>
      </w:tr>
      <w:tr w14:paraId="6C11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single" w:color="000000" w:sz="10" w:space="0"/>
              <w:right w:val="nil"/>
              <w:insideH w:val="nil"/>
              <w:insideV w:val="nil"/>
            </w:tcBorders>
            <w:vAlign w:val="center"/>
          </w:tcPr>
          <w:p w14:paraId="03813C41">
            <w:pPr>
              <w:spacing w:before="0" w:after="0" w:line="240" w:lineRule="auto"/>
              <w:jc w:val="left"/>
            </w:pPr>
            <w:r>
              <w:rPr>
                <w:rFonts w:ascii="Times New Roman" w:hAnsi="Times New Roman" w:eastAsia="Times New Roman" w:cs="Times New Roman"/>
                <w:b w:val="0"/>
                <w:i w:val="0"/>
                <w:sz w:val="18"/>
              </w:rPr>
              <w:t>5</w:t>
            </w:r>
          </w:p>
        </w:tc>
        <w:tc>
          <w:tcPr>
            <w:tcW w:w="3360" w:type="dxa"/>
            <w:tcBorders>
              <w:top w:val="nil"/>
              <w:left w:val="nil"/>
              <w:bottom w:val="single" w:color="000000" w:sz="10" w:space="0"/>
              <w:right w:val="nil"/>
              <w:insideH w:val="nil"/>
              <w:insideV w:val="nil"/>
            </w:tcBorders>
            <w:vAlign w:val="center"/>
          </w:tcPr>
          <w:p w14:paraId="27AC342D">
            <w:pPr>
              <w:spacing w:before="0" w:after="0" w:line="240" w:lineRule="auto"/>
              <w:jc w:val="left"/>
            </w:pPr>
            <w:r>
              <w:rPr>
                <w:rFonts w:ascii="Times New Roman" w:hAnsi="Times New Roman" w:eastAsia="Times New Roman" w:cs="Times New Roman"/>
                <w:b w:val="0"/>
                <w:i w:val="0"/>
                <w:sz w:val="18"/>
              </w:rPr>
              <w:t>Risk-set restriction for event-study models</w:t>
            </w:r>
          </w:p>
        </w:tc>
        <w:tc>
          <w:tcPr>
            <w:tcW w:w="3360" w:type="dxa"/>
            <w:tcBorders>
              <w:top w:val="nil"/>
              <w:left w:val="nil"/>
              <w:bottom w:val="single" w:color="000000" w:sz="10" w:space="0"/>
              <w:right w:val="nil"/>
              <w:insideH w:val="nil"/>
              <w:insideV w:val="nil"/>
            </w:tcBorders>
            <w:vAlign w:val="center"/>
          </w:tcPr>
          <w:p w14:paraId="616A7ECC">
            <w:pPr>
              <w:spacing w:before="0" w:after="0" w:line="240" w:lineRule="auto"/>
              <w:jc w:val="left"/>
            </w:pPr>
            <w:r>
              <w:rPr>
                <w:rFonts w:ascii="Times New Roman" w:hAnsi="Times New Roman" w:eastAsia="Times New Roman" w:cs="Times New Roman"/>
                <w:b w:val="0"/>
                <w:i w:val="0"/>
                <w:sz w:val="18"/>
              </w:rPr>
              <w:t>71,242 person-waves; 26,148 individuals</w:t>
            </w:r>
          </w:p>
        </w:tc>
      </w:tr>
    </w:tbl>
    <w:p w14:paraId="163ADE7F">
      <w:pPr>
        <w:spacing w:before="60" w:after="120" w:line="240" w:lineRule="auto"/>
        <w:jc w:val="left"/>
      </w:pPr>
      <w:r>
        <w:rPr>
          <w:rFonts w:ascii="Times New Roman" w:hAnsi="Times New Roman" w:eastAsia="Times New Roman" w:cs="Times New Roman"/>
          <w:i/>
          <w:sz w:val="19"/>
        </w:rPr>
        <w:t>Note. Numbers follow the harmonised CFPS analysis file. Authors should retain the full data-preparation log for replication review.</w:t>
      </w:r>
    </w:p>
    <w:p w14:paraId="0D3AAA48">
      <w:pPr>
        <w:pStyle w:val="3"/>
        <w:spacing w:line="240" w:lineRule="auto"/>
        <w:jc w:val="left"/>
      </w:pPr>
      <w:r>
        <w:rPr>
          <w:rFonts w:ascii="Times New Roman" w:hAnsi="Times New Roman" w:eastAsia="Times New Roman" w:cs="Times New Roman"/>
          <w:b/>
          <w:color w:val="1F4E79"/>
          <w:sz w:val="28"/>
        </w:rPr>
        <w:t>S2. Variable definitions</w:t>
      </w:r>
    </w:p>
    <w:p w14:paraId="1DF274DF">
      <w:pPr>
        <w:spacing w:before="120" w:after="60" w:line="240" w:lineRule="auto"/>
        <w:jc w:val="left"/>
      </w:pPr>
      <w:r>
        <w:rPr>
          <w:rFonts w:ascii="Times New Roman" w:hAnsi="Times New Roman" w:eastAsia="Times New Roman" w:cs="Times New Roman"/>
          <w:b/>
          <w:sz w:val="20"/>
        </w:rPr>
        <w:t>Table S2.</w:t>
      </w:r>
      <w:r>
        <w:rPr>
          <w:rFonts w:ascii="Times New Roman" w:hAnsi="Times New Roman" w:eastAsia="Times New Roman" w:cs="Times New Roman"/>
          <w:i w:val="0"/>
          <w:sz w:val="20"/>
        </w:rPr>
        <w:t xml:space="preserve"> Variable definitions</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6"/>
        <w:gridCol w:w="3231"/>
        <w:gridCol w:w="3169"/>
      </w:tblGrid>
      <w:tr w14:paraId="141F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360" w:type="dxa"/>
            <w:tcBorders>
              <w:top w:val="single" w:color="000000" w:sz="10" w:space="0"/>
              <w:left w:val="nil"/>
              <w:bottom w:val="single" w:color="000000" w:sz="10" w:space="0"/>
              <w:right w:val="nil"/>
              <w:insideH w:val="nil"/>
              <w:insideV w:val="nil"/>
            </w:tcBorders>
            <w:vAlign w:val="center"/>
          </w:tcPr>
          <w:p w14:paraId="63C41191">
            <w:pPr>
              <w:spacing w:before="0" w:after="0" w:line="240" w:lineRule="auto"/>
              <w:jc w:val="left"/>
            </w:pPr>
            <w:r>
              <w:rPr>
                <w:rFonts w:ascii="Times New Roman" w:hAnsi="Times New Roman" w:eastAsia="Times New Roman" w:cs="Times New Roman"/>
                <w:b/>
                <w:i w:val="0"/>
                <w:sz w:val="18"/>
              </w:rPr>
              <w:t>Variable</w:t>
            </w:r>
          </w:p>
        </w:tc>
        <w:tc>
          <w:tcPr>
            <w:tcW w:w="3360" w:type="dxa"/>
            <w:tcBorders>
              <w:top w:val="single" w:color="000000" w:sz="10" w:space="0"/>
              <w:left w:val="nil"/>
              <w:bottom w:val="single" w:color="000000" w:sz="10" w:space="0"/>
              <w:right w:val="nil"/>
              <w:insideH w:val="nil"/>
              <w:insideV w:val="nil"/>
            </w:tcBorders>
            <w:vAlign w:val="center"/>
          </w:tcPr>
          <w:p w14:paraId="43B4C569">
            <w:pPr>
              <w:spacing w:before="0" w:after="0" w:line="240" w:lineRule="auto"/>
              <w:jc w:val="left"/>
            </w:pPr>
            <w:r>
              <w:rPr>
                <w:rFonts w:ascii="Times New Roman" w:hAnsi="Times New Roman" w:eastAsia="Times New Roman" w:cs="Times New Roman"/>
                <w:b/>
                <w:i w:val="0"/>
                <w:sz w:val="18"/>
              </w:rPr>
              <w:t>Definition</w:t>
            </w:r>
          </w:p>
        </w:tc>
        <w:tc>
          <w:tcPr>
            <w:tcW w:w="3360" w:type="dxa"/>
            <w:tcBorders>
              <w:top w:val="single" w:color="000000" w:sz="10" w:space="0"/>
              <w:left w:val="nil"/>
              <w:bottom w:val="single" w:color="000000" w:sz="10" w:space="0"/>
              <w:right w:val="nil"/>
              <w:insideH w:val="nil"/>
              <w:insideV w:val="nil"/>
            </w:tcBorders>
            <w:vAlign w:val="center"/>
          </w:tcPr>
          <w:p w14:paraId="50020E4B">
            <w:pPr>
              <w:spacing w:before="0" w:after="0" w:line="240" w:lineRule="auto"/>
              <w:jc w:val="left"/>
            </w:pPr>
            <w:r>
              <w:rPr>
                <w:rFonts w:ascii="Times New Roman" w:hAnsi="Times New Roman" w:eastAsia="Times New Roman" w:cs="Times New Roman"/>
                <w:b/>
                <w:i w:val="0"/>
                <w:sz w:val="18"/>
              </w:rPr>
              <w:t>Role in analysis</w:t>
            </w:r>
          </w:p>
        </w:tc>
      </w:tr>
      <w:tr w14:paraId="10A0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7C5029AE">
            <w:pPr>
              <w:spacing w:before="0" w:after="0" w:line="240" w:lineRule="auto"/>
              <w:jc w:val="left"/>
            </w:pPr>
            <w:r>
              <w:rPr>
                <w:rFonts w:ascii="Times New Roman" w:hAnsi="Times New Roman" w:eastAsia="Times New Roman" w:cs="Times New Roman"/>
                <w:b w:val="0"/>
                <w:i w:val="0"/>
                <w:sz w:val="18"/>
              </w:rPr>
              <w:t>Log annual labour income</w:t>
            </w:r>
          </w:p>
        </w:tc>
        <w:tc>
          <w:tcPr>
            <w:tcW w:w="3360" w:type="dxa"/>
            <w:tcBorders>
              <w:top w:val="nil"/>
              <w:left w:val="nil"/>
              <w:bottom w:val="nil"/>
              <w:right w:val="nil"/>
              <w:insideH w:val="nil"/>
              <w:insideV w:val="nil"/>
            </w:tcBorders>
            <w:vAlign w:val="center"/>
          </w:tcPr>
          <w:p w14:paraId="50F938A1">
            <w:pPr>
              <w:spacing w:before="0" w:after="0" w:line="240" w:lineRule="auto"/>
              <w:jc w:val="left"/>
            </w:pPr>
            <w:r>
              <w:rPr>
                <w:rFonts w:ascii="Times New Roman" w:hAnsi="Times New Roman" w:eastAsia="Times New Roman" w:cs="Times New Roman"/>
                <w:b w:val="0"/>
                <w:i w:val="0"/>
                <w:sz w:val="18"/>
              </w:rPr>
              <w:t>Natural log of annual labour income from wages, self-employment and agricultural work after adding 1 RMB</w:t>
            </w:r>
          </w:p>
        </w:tc>
        <w:tc>
          <w:tcPr>
            <w:tcW w:w="3360" w:type="dxa"/>
            <w:tcBorders>
              <w:top w:val="nil"/>
              <w:left w:val="nil"/>
              <w:bottom w:val="nil"/>
              <w:right w:val="nil"/>
              <w:insideH w:val="nil"/>
              <w:insideV w:val="nil"/>
            </w:tcBorders>
            <w:vAlign w:val="center"/>
          </w:tcPr>
          <w:p w14:paraId="1EE79404">
            <w:pPr>
              <w:spacing w:before="0" w:after="0" w:line="240" w:lineRule="auto"/>
              <w:jc w:val="left"/>
            </w:pPr>
            <w:r>
              <w:rPr>
                <w:rFonts w:ascii="Times New Roman" w:hAnsi="Times New Roman" w:eastAsia="Times New Roman" w:cs="Times New Roman"/>
                <w:b w:val="0"/>
                <w:i w:val="0"/>
                <w:sz w:val="18"/>
              </w:rPr>
              <w:t>Main outcome</w:t>
            </w:r>
          </w:p>
        </w:tc>
      </w:tr>
      <w:tr w14:paraId="3FBD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2D6CB505">
            <w:pPr>
              <w:spacing w:before="0" w:after="0" w:line="240" w:lineRule="auto"/>
              <w:jc w:val="left"/>
            </w:pPr>
            <w:r>
              <w:rPr>
                <w:rFonts w:ascii="Times New Roman" w:hAnsi="Times New Roman" w:eastAsia="Times New Roman" w:cs="Times New Roman"/>
                <w:b w:val="0"/>
                <w:i w:val="0"/>
                <w:sz w:val="18"/>
              </w:rPr>
              <w:t>Employment participation</w:t>
            </w:r>
          </w:p>
        </w:tc>
        <w:tc>
          <w:tcPr>
            <w:tcW w:w="3360" w:type="dxa"/>
            <w:tcBorders>
              <w:top w:val="nil"/>
              <w:left w:val="nil"/>
              <w:bottom w:val="nil"/>
              <w:right w:val="nil"/>
              <w:insideH w:val="nil"/>
              <w:insideV w:val="nil"/>
            </w:tcBorders>
            <w:vAlign w:val="center"/>
          </w:tcPr>
          <w:p w14:paraId="573E5B8B">
            <w:pPr>
              <w:spacing w:before="0" w:after="0" w:line="240" w:lineRule="auto"/>
              <w:jc w:val="left"/>
            </w:pPr>
            <w:r>
              <w:rPr>
                <w:rFonts w:ascii="Times New Roman" w:hAnsi="Times New Roman" w:eastAsia="Times New Roman" w:cs="Times New Roman"/>
                <w:b w:val="0"/>
                <w:i w:val="0"/>
                <w:sz w:val="18"/>
              </w:rPr>
              <w:t>Any positive labour income or reported paid work during the reference period</w:t>
            </w:r>
          </w:p>
        </w:tc>
        <w:tc>
          <w:tcPr>
            <w:tcW w:w="3360" w:type="dxa"/>
            <w:tcBorders>
              <w:top w:val="nil"/>
              <w:left w:val="nil"/>
              <w:bottom w:val="nil"/>
              <w:right w:val="nil"/>
              <w:insideH w:val="nil"/>
              <w:insideV w:val="nil"/>
            </w:tcBorders>
            <w:vAlign w:val="center"/>
          </w:tcPr>
          <w:p w14:paraId="34A97DC9">
            <w:pPr>
              <w:spacing w:before="0" w:after="0" w:line="240" w:lineRule="auto"/>
              <w:jc w:val="left"/>
            </w:pPr>
            <w:r>
              <w:rPr>
                <w:rFonts w:ascii="Times New Roman" w:hAnsi="Times New Roman" w:eastAsia="Times New Roman" w:cs="Times New Roman"/>
                <w:b w:val="0"/>
                <w:i w:val="0"/>
                <w:sz w:val="18"/>
              </w:rPr>
              <w:t>Labour-supply margin</w:t>
            </w:r>
          </w:p>
        </w:tc>
      </w:tr>
      <w:tr w14:paraId="703E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38E24B56">
            <w:pPr>
              <w:spacing w:before="0" w:after="0" w:line="240" w:lineRule="auto"/>
              <w:jc w:val="left"/>
            </w:pPr>
            <w:r>
              <w:rPr>
                <w:rFonts w:ascii="Times New Roman" w:hAnsi="Times New Roman" w:eastAsia="Times New Roman" w:cs="Times New Roman"/>
                <w:b w:val="0"/>
                <w:i w:val="0"/>
                <w:sz w:val="18"/>
              </w:rPr>
              <w:t>Weekly hours</w:t>
            </w:r>
          </w:p>
        </w:tc>
        <w:tc>
          <w:tcPr>
            <w:tcW w:w="3360" w:type="dxa"/>
            <w:tcBorders>
              <w:top w:val="nil"/>
              <w:left w:val="nil"/>
              <w:bottom w:val="nil"/>
              <w:right w:val="nil"/>
              <w:insideH w:val="nil"/>
              <w:insideV w:val="nil"/>
            </w:tcBorders>
            <w:vAlign w:val="center"/>
          </w:tcPr>
          <w:p w14:paraId="7CDEE2FE">
            <w:pPr>
              <w:spacing w:before="0" w:after="0" w:line="240" w:lineRule="auto"/>
              <w:jc w:val="left"/>
            </w:pPr>
            <w:r>
              <w:rPr>
                <w:rFonts w:ascii="Times New Roman" w:hAnsi="Times New Roman" w:eastAsia="Times New Roman" w:cs="Times New Roman"/>
                <w:b w:val="0"/>
                <w:i w:val="0"/>
                <w:sz w:val="18"/>
              </w:rPr>
              <w:t>Average weekly hours among employed respondents</w:t>
            </w:r>
          </w:p>
        </w:tc>
        <w:tc>
          <w:tcPr>
            <w:tcW w:w="3360" w:type="dxa"/>
            <w:tcBorders>
              <w:top w:val="nil"/>
              <w:left w:val="nil"/>
              <w:bottom w:val="nil"/>
              <w:right w:val="nil"/>
              <w:insideH w:val="nil"/>
              <w:insideV w:val="nil"/>
            </w:tcBorders>
            <w:vAlign w:val="center"/>
          </w:tcPr>
          <w:p w14:paraId="1350AFA1">
            <w:pPr>
              <w:spacing w:before="0" w:after="0" w:line="240" w:lineRule="auto"/>
              <w:jc w:val="left"/>
            </w:pPr>
            <w:r>
              <w:rPr>
                <w:rFonts w:ascii="Times New Roman" w:hAnsi="Times New Roman" w:eastAsia="Times New Roman" w:cs="Times New Roman"/>
                <w:b w:val="0"/>
                <w:i w:val="0"/>
                <w:sz w:val="18"/>
              </w:rPr>
              <w:t>Labour-supply margin</w:t>
            </w:r>
          </w:p>
        </w:tc>
      </w:tr>
      <w:tr w14:paraId="47BD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51A79CEA">
            <w:pPr>
              <w:spacing w:before="0" w:after="0" w:line="240" w:lineRule="auto"/>
              <w:jc w:val="left"/>
            </w:pPr>
            <w:r>
              <w:rPr>
                <w:rFonts w:ascii="Times New Roman" w:hAnsi="Times New Roman" w:eastAsia="Times New Roman" w:cs="Times New Roman"/>
                <w:b w:val="0"/>
                <w:i w:val="0"/>
                <w:sz w:val="18"/>
              </w:rPr>
              <w:t>ISEI</w:t>
            </w:r>
          </w:p>
        </w:tc>
        <w:tc>
          <w:tcPr>
            <w:tcW w:w="3360" w:type="dxa"/>
            <w:tcBorders>
              <w:top w:val="nil"/>
              <w:left w:val="nil"/>
              <w:bottom w:val="nil"/>
              <w:right w:val="nil"/>
              <w:insideH w:val="nil"/>
              <w:insideV w:val="nil"/>
            </w:tcBorders>
            <w:vAlign w:val="center"/>
          </w:tcPr>
          <w:p w14:paraId="7F0627D6">
            <w:pPr>
              <w:spacing w:before="0" w:after="0" w:line="240" w:lineRule="auto"/>
              <w:jc w:val="left"/>
            </w:pPr>
            <w:r>
              <w:rPr>
                <w:rFonts w:ascii="Times New Roman" w:hAnsi="Times New Roman" w:eastAsia="Times New Roman" w:cs="Times New Roman"/>
                <w:b w:val="0"/>
                <w:i w:val="0"/>
                <w:sz w:val="18"/>
              </w:rPr>
              <w:t>Occupational-status score derived from occupation codes and ISCO-08 conversion</w:t>
            </w:r>
          </w:p>
        </w:tc>
        <w:tc>
          <w:tcPr>
            <w:tcW w:w="3360" w:type="dxa"/>
            <w:tcBorders>
              <w:top w:val="nil"/>
              <w:left w:val="nil"/>
              <w:bottom w:val="nil"/>
              <w:right w:val="nil"/>
              <w:insideH w:val="nil"/>
              <w:insideV w:val="nil"/>
            </w:tcBorders>
            <w:vAlign w:val="center"/>
          </w:tcPr>
          <w:p w14:paraId="51200CDF">
            <w:pPr>
              <w:spacing w:before="0" w:after="0" w:line="240" w:lineRule="auto"/>
              <w:jc w:val="left"/>
            </w:pPr>
            <w:r>
              <w:rPr>
                <w:rFonts w:ascii="Times New Roman" w:hAnsi="Times New Roman" w:eastAsia="Times New Roman" w:cs="Times New Roman"/>
                <w:b w:val="0"/>
                <w:i w:val="0"/>
                <w:sz w:val="18"/>
              </w:rPr>
              <w:t>Extended outcome</w:t>
            </w:r>
          </w:p>
        </w:tc>
      </w:tr>
      <w:tr w14:paraId="4D1F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06866E3B">
            <w:pPr>
              <w:spacing w:before="0" w:after="0" w:line="240" w:lineRule="auto"/>
              <w:jc w:val="left"/>
            </w:pPr>
            <w:r>
              <w:rPr>
                <w:rFonts w:ascii="Times New Roman" w:hAnsi="Times New Roman" w:eastAsia="Times New Roman" w:cs="Times New Roman"/>
                <w:b w:val="0"/>
                <w:i w:val="0"/>
                <w:sz w:val="18"/>
              </w:rPr>
              <w:t>Motherhood transition</w:t>
            </w:r>
          </w:p>
        </w:tc>
        <w:tc>
          <w:tcPr>
            <w:tcW w:w="3360" w:type="dxa"/>
            <w:tcBorders>
              <w:top w:val="nil"/>
              <w:left w:val="nil"/>
              <w:bottom w:val="nil"/>
              <w:right w:val="nil"/>
              <w:insideH w:val="nil"/>
              <w:insideV w:val="nil"/>
            </w:tcBorders>
            <w:vAlign w:val="center"/>
          </w:tcPr>
          <w:p w14:paraId="6AE2D09B">
            <w:pPr>
              <w:spacing w:before="0" w:after="0" w:line="240" w:lineRule="auto"/>
              <w:jc w:val="left"/>
            </w:pPr>
            <w:r>
              <w:rPr>
                <w:rFonts w:ascii="Times New Roman" w:hAnsi="Times New Roman" w:eastAsia="Times New Roman" w:cs="Times New Roman"/>
                <w:b w:val="0"/>
                <w:i w:val="0"/>
                <w:sz w:val="18"/>
              </w:rPr>
              <w:t>Indicator for waves after first childbirth for women</w:t>
            </w:r>
          </w:p>
        </w:tc>
        <w:tc>
          <w:tcPr>
            <w:tcW w:w="3360" w:type="dxa"/>
            <w:tcBorders>
              <w:top w:val="nil"/>
              <w:left w:val="nil"/>
              <w:bottom w:val="nil"/>
              <w:right w:val="nil"/>
              <w:insideH w:val="nil"/>
              <w:insideV w:val="nil"/>
            </w:tcBorders>
            <w:vAlign w:val="center"/>
          </w:tcPr>
          <w:p w14:paraId="4299C3FC">
            <w:pPr>
              <w:spacing w:before="0" w:after="0" w:line="240" w:lineRule="auto"/>
              <w:jc w:val="left"/>
            </w:pPr>
            <w:r>
              <w:rPr>
                <w:rFonts w:ascii="Times New Roman" w:hAnsi="Times New Roman" w:eastAsia="Times New Roman" w:cs="Times New Roman"/>
                <w:b w:val="0"/>
                <w:i w:val="0"/>
                <w:sz w:val="18"/>
              </w:rPr>
              <w:t>Treatment</w:t>
            </w:r>
          </w:p>
        </w:tc>
      </w:tr>
      <w:tr w14:paraId="468C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5AC8F4B7">
            <w:pPr>
              <w:spacing w:before="0" w:after="0" w:line="240" w:lineRule="auto"/>
              <w:jc w:val="left"/>
            </w:pPr>
            <w:r>
              <w:rPr>
                <w:rFonts w:ascii="Times New Roman" w:hAnsi="Times New Roman" w:eastAsia="Times New Roman" w:cs="Times New Roman"/>
                <w:b w:val="0"/>
                <w:i w:val="0"/>
                <w:sz w:val="18"/>
              </w:rPr>
              <w:t>Fatherhood transition</w:t>
            </w:r>
          </w:p>
        </w:tc>
        <w:tc>
          <w:tcPr>
            <w:tcW w:w="3360" w:type="dxa"/>
            <w:tcBorders>
              <w:top w:val="nil"/>
              <w:left w:val="nil"/>
              <w:bottom w:val="nil"/>
              <w:right w:val="nil"/>
              <w:insideH w:val="nil"/>
              <w:insideV w:val="nil"/>
            </w:tcBorders>
            <w:vAlign w:val="center"/>
          </w:tcPr>
          <w:p w14:paraId="6B46D385">
            <w:pPr>
              <w:spacing w:before="0" w:after="0" w:line="240" w:lineRule="auto"/>
              <w:jc w:val="left"/>
            </w:pPr>
            <w:r>
              <w:rPr>
                <w:rFonts w:ascii="Times New Roman" w:hAnsi="Times New Roman" w:eastAsia="Times New Roman" w:cs="Times New Roman"/>
                <w:b w:val="0"/>
                <w:i w:val="0"/>
                <w:sz w:val="18"/>
              </w:rPr>
              <w:t>Indicator for waves after first childbirth for men</w:t>
            </w:r>
          </w:p>
        </w:tc>
        <w:tc>
          <w:tcPr>
            <w:tcW w:w="3360" w:type="dxa"/>
            <w:tcBorders>
              <w:top w:val="nil"/>
              <w:left w:val="nil"/>
              <w:bottom w:val="nil"/>
              <w:right w:val="nil"/>
              <w:insideH w:val="nil"/>
              <w:insideV w:val="nil"/>
            </w:tcBorders>
            <w:vAlign w:val="center"/>
          </w:tcPr>
          <w:p w14:paraId="2172C859">
            <w:pPr>
              <w:spacing w:before="0" w:after="0" w:line="240" w:lineRule="auto"/>
              <w:jc w:val="left"/>
            </w:pPr>
            <w:r>
              <w:rPr>
                <w:rFonts w:ascii="Times New Roman" w:hAnsi="Times New Roman" w:eastAsia="Times New Roman" w:cs="Times New Roman"/>
                <w:b w:val="0"/>
                <w:i w:val="0"/>
                <w:sz w:val="18"/>
              </w:rPr>
              <w:t>Treatment</w:t>
            </w:r>
          </w:p>
        </w:tc>
      </w:tr>
      <w:tr w14:paraId="16BC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68C427F8">
            <w:pPr>
              <w:spacing w:before="0" w:after="0" w:line="240" w:lineRule="auto"/>
              <w:jc w:val="left"/>
            </w:pPr>
            <w:r>
              <w:rPr>
                <w:rFonts w:ascii="Times New Roman" w:hAnsi="Times New Roman" w:eastAsia="Times New Roman" w:cs="Times New Roman"/>
                <w:b w:val="0"/>
                <w:i w:val="0"/>
                <w:sz w:val="18"/>
              </w:rPr>
              <w:t>Youngest child age</w:t>
            </w:r>
          </w:p>
        </w:tc>
        <w:tc>
          <w:tcPr>
            <w:tcW w:w="3360" w:type="dxa"/>
            <w:tcBorders>
              <w:top w:val="nil"/>
              <w:left w:val="nil"/>
              <w:bottom w:val="nil"/>
              <w:right w:val="nil"/>
              <w:insideH w:val="nil"/>
              <w:insideV w:val="nil"/>
            </w:tcBorders>
            <w:vAlign w:val="center"/>
          </w:tcPr>
          <w:p w14:paraId="3A2F4F94">
            <w:pPr>
              <w:spacing w:before="0" w:after="0" w:line="240" w:lineRule="auto"/>
              <w:jc w:val="left"/>
            </w:pPr>
            <w:r>
              <w:rPr>
                <w:rFonts w:ascii="Times New Roman" w:hAnsi="Times New Roman" w:eastAsia="Times New Roman" w:cs="Times New Roman"/>
                <w:b w:val="0"/>
                <w:i w:val="0"/>
                <w:sz w:val="18"/>
              </w:rPr>
              <w:t>0–3, 4–6, 7–12, 13–17, 18+</w:t>
            </w:r>
          </w:p>
        </w:tc>
        <w:tc>
          <w:tcPr>
            <w:tcW w:w="3360" w:type="dxa"/>
            <w:tcBorders>
              <w:top w:val="nil"/>
              <w:left w:val="nil"/>
              <w:bottom w:val="nil"/>
              <w:right w:val="nil"/>
              <w:insideH w:val="nil"/>
              <w:insideV w:val="nil"/>
            </w:tcBorders>
            <w:vAlign w:val="center"/>
          </w:tcPr>
          <w:p w14:paraId="5C8BF231">
            <w:pPr>
              <w:spacing w:before="0" w:after="0" w:line="240" w:lineRule="auto"/>
              <w:jc w:val="left"/>
            </w:pPr>
            <w:r>
              <w:rPr>
                <w:rFonts w:ascii="Times New Roman" w:hAnsi="Times New Roman" w:eastAsia="Times New Roman" w:cs="Times New Roman"/>
                <w:b w:val="0"/>
                <w:i w:val="0"/>
                <w:sz w:val="18"/>
              </w:rPr>
              <w:t>Care-intensity moderator</w:t>
            </w:r>
          </w:p>
        </w:tc>
      </w:tr>
      <w:tr w14:paraId="0FF5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77773AE2">
            <w:pPr>
              <w:spacing w:before="0" w:after="0" w:line="240" w:lineRule="auto"/>
              <w:jc w:val="left"/>
            </w:pPr>
            <w:r>
              <w:rPr>
                <w:rFonts w:ascii="Times New Roman" w:hAnsi="Times New Roman" w:eastAsia="Times New Roman" w:cs="Times New Roman"/>
                <w:b w:val="0"/>
                <w:i w:val="0"/>
                <w:sz w:val="18"/>
              </w:rPr>
              <w:t>Grandparental childcare</w:t>
            </w:r>
          </w:p>
        </w:tc>
        <w:tc>
          <w:tcPr>
            <w:tcW w:w="3360" w:type="dxa"/>
            <w:tcBorders>
              <w:top w:val="nil"/>
              <w:left w:val="nil"/>
              <w:bottom w:val="nil"/>
              <w:right w:val="nil"/>
              <w:insideH w:val="nil"/>
              <w:insideV w:val="nil"/>
            </w:tcBorders>
            <w:vAlign w:val="center"/>
          </w:tcPr>
          <w:p w14:paraId="70239886">
            <w:pPr>
              <w:spacing w:before="0" w:after="0" w:line="240" w:lineRule="auto"/>
              <w:jc w:val="left"/>
            </w:pPr>
            <w:r>
              <w:rPr>
                <w:rFonts w:ascii="Times New Roman" w:hAnsi="Times New Roman" w:eastAsia="Times New Roman" w:cs="Times New Roman"/>
                <w:b w:val="0"/>
                <w:i w:val="0"/>
                <w:sz w:val="18"/>
              </w:rPr>
              <w:t>Co-resident grandparent providing childcare help</w:t>
            </w:r>
          </w:p>
        </w:tc>
        <w:tc>
          <w:tcPr>
            <w:tcW w:w="3360" w:type="dxa"/>
            <w:tcBorders>
              <w:top w:val="nil"/>
              <w:left w:val="nil"/>
              <w:bottom w:val="nil"/>
              <w:right w:val="nil"/>
              <w:insideH w:val="nil"/>
              <w:insideV w:val="nil"/>
            </w:tcBorders>
            <w:vAlign w:val="center"/>
          </w:tcPr>
          <w:p w14:paraId="215AF8FF">
            <w:pPr>
              <w:spacing w:before="0" w:after="0" w:line="240" w:lineRule="auto"/>
              <w:jc w:val="left"/>
            </w:pPr>
            <w:r>
              <w:rPr>
                <w:rFonts w:ascii="Times New Roman" w:hAnsi="Times New Roman" w:eastAsia="Times New Roman" w:cs="Times New Roman"/>
                <w:b w:val="0"/>
                <w:i w:val="0"/>
                <w:sz w:val="18"/>
              </w:rPr>
              <w:t>Buffering-resource moderator</w:t>
            </w:r>
          </w:p>
        </w:tc>
      </w:tr>
      <w:tr w14:paraId="7CEA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single" w:color="000000" w:sz="10" w:space="0"/>
              <w:right w:val="nil"/>
              <w:insideH w:val="nil"/>
              <w:insideV w:val="nil"/>
            </w:tcBorders>
            <w:vAlign w:val="center"/>
          </w:tcPr>
          <w:p w14:paraId="7B16C330">
            <w:pPr>
              <w:spacing w:before="0" w:after="0" w:line="240" w:lineRule="auto"/>
              <w:jc w:val="left"/>
            </w:pPr>
            <w:r>
              <w:rPr>
                <w:rFonts w:ascii="Times New Roman" w:hAnsi="Times New Roman" w:eastAsia="Times New Roman" w:cs="Times New Roman"/>
                <w:b w:val="0"/>
                <w:i w:val="0"/>
                <w:sz w:val="18"/>
              </w:rPr>
              <w:t>Education, hukou, region</w:t>
            </w:r>
          </w:p>
        </w:tc>
        <w:tc>
          <w:tcPr>
            <w:tcW w:w="3360" w:type="dxa"/>
            <w:tcBorders>
              <w:top w:val="nil"/>
              <w:left w:val="nil"/>
              <w:bottom w:val="single" w:color="000000" w:sz="10" w:space="0"/>
              <w:right w:val="nil"/>
              <w:insideH w:val="nil"/>
              <w:insideV w:val="nil"/>
            </w:tcBorders>
            <w:vAlign w:val="center"/>
          </w:tcPr>
          <w:p w14:paraId="488EAF97">
            <w:pPr>
              <w:spacing w:before="0" w:after="0" w:line="240" w:lineRule="auto"/>
              <w:jc w:val="left"/>
            </w:pPr>
            <w:r>
              <w:rPr>
                <w:rFonts w:ascii="Times New Roman" w:hAnsi="Times New Roman" w:eastAsia="Times New Roman" w:cs="Times New Roman"/>
                <w:b w:val="0"/>
                <w:i w:val="0"/>
                <w:sz w:val="18"/>
              </w:rPr>
              <w:t>Schooling categories, agricultural hukou, eastern/central/western region</w:t>
            </w:r>
          </w:p>
        </w:tc>
        <w:tc>
          <w:tcPr>
            <w:tcW w:w="3360" w:type="dxa"/>
            <w:tcBorders>
              <w:top w:val="nil"/>
              <w:left w:val="nil"/>
              <w:bottom w:val="single" w:color="000000" w:sz="10" w:space="0"/>
              <w:right w:val="nil"/>
              <w:insideH w:val="nil"/>
              <w:insideV w:val="nil"/>
            </w:tcBorders>
            <w:vAlign w:val="center"/>
          </w:tcPr>
          <w:p w14:paraId="0753A122">
            <w:pPr>
              <w:spacing w:before="0" w:after="0" w:line="240" w:lineRule="auto"/>
              <w:jc w:val="left"/>
            </w:pPr>
            <w:r>
              <w:rPr>
                <w:rFonts w:ascii="Times New Roman" w:hAnsi="Times New Roman" w:eastAsia="Times New Roman" w:cs="Times New Roman"/>
                <w:b w:val="0"/>
                <w:i w:val="0"/>
                <w:sz w:val="18"/>
              </w:rPr>
              <w:t>Stratification and controls</w:t>
            </w:r>
          </w:p>
        </w:tc>
      </w:tr>
    </w:tbl>
    <w:p w14:paraId="4DA33EA5">
      <w:pPr>
        <w:pStyle w:val="3"/>
        <w:spacing w:line="240" w:lineRule="auto"/>
        <w:jc w:val="left"/>
      </w:pPr>
      <w:r>
        <w:rPr>
          <w:rFonts w:ascii="Times New Roman" w:hAnsi="Times New Roman" w:eastAsia="Times New Roman" w:cs="Times New Roman"/>
          <w:b/>
          <w:color w:val="1F4E79"/>
          <w:sz w:val="28"/>
        </w:rPr>
        <w:t>S3. Matching diagnostics</w:t>
      </w:r>
    </w:p>
    <w:p w14:paraId="78304F5C">
      <w:pPr>
        <w:spacing w:before="120" w:after="60" w:line="240" w:lineRule="auto"/>
        <w:jc w:val="left"/>
      </w:pPr>
      <w:r>
        <w:rPr>
          <w:rFonts w:ascii="Times New Roman" w:hAnsi="Times New Roman" w:eastAsia="Times New Roman" w:cs="Times New Roman"/>
          <w:b/>
          <w:sz w:val="20"/>
        </w:rPr>
        <w:t>Table S3.</w:t>
      </w:r>
      <w:r>
        <w:rPr>
          <w:rFonts w:ascii="Times New Roman" w:hAnsi="Times New Roman" w:eastAsia="Times New Roman" w:cs="Times New Roman"/>
          <w:i w:val="0"/>
          <w:sz w:val="20"/>
        </w:rPr>
        <w:t xml:space="preserve"> Matching balance diagnostics for mothers and comparison women</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9"/>
        <w:gridCol w:w="1365"/>
        <w:gridCol w:w="1366"/>
        <w:gridCol w:w="1362"/>
        <w:gridCol w:w="1366"/>
        <w:gridCol w:w="1366"/>
        <w:gridCol w:w="1352"/>
      </w:tblGrid>
      <w:tr w14:paraId="725E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40" w:type="dxa"/>
            <w:tcBorders>
              <w:top w:val="single" w:color="000000" w:sz="10" w:space="0"/>
              <w:left w:val="nil"/>
              <w:bottom w:val="single" w:color="000000" w:sz="10" w:space="0"/>
              <w:right w:val="nil"/>
              <w:insideH w:val="nil"/>
              <w:insideV w:val="nil"/>
            </w:tcBorders>
            <w:vAlign w:val="center"/>
          </w:tcPr>
          <w:p w14:paraId="030E6086">
            <w:pPr>
              <w:spacing w:before="0" w:after="0" w:line="240" w:lineRule="auto"/>
              <w:jc w:val="left"/>
            </w:pPr>
            <w:r>
              <w:rPr>
                <w:rFonts w:ascii="Times New Roman" w:hAnsi="Times New Roman" w:eastAsia="Times New Roman" w:cs="Times New Roman"/>
                <w:b/>
                <w:i w:val="0"/>
                <w:sz w:val="17"/>
              </w:rPr>
              <w:t>Covariate</w:t>
            </w:r>
          </w:p>
        </w:tc>
        <w:tc>
          <w:tcPr>
            <w:tcW w:w="1440" w:type="dxa"/>
            <w:tcBorders>
              <w:top w:val="single" w:color="000000" w:sz="10" w:space="0"/>
              <w:left w:val="nil"/>
              <w:bottom w:val="single" w:color="000000" w:sz="10" w:space="0"/>
              <w:right w:val="nil"/>
              <w:insideH w:val="nil"/>
              <w:insideV w:val="nil"/>
            </w:tcBorders>
            <w:vAlign w:val="center"/>
          </w:tcPr>
          <w:p w14:paraId="25261056">
            <w:pPr>
              <w:spacing w:before="0" w:after="0" w:line="240" w:lineRule="auto"/>
              <w:jc w:val="left"/>
            </w:pPr>
            <w:r>
              <w:rPr>
                <w:rFonts w:ascii="Times New Roman" w:hAnsi="Times New Roman" w:eastAsia="Times New Roman" w:cs="Times New Roman"/>
                <w:b/>
                <w:i w:val="0"/>
                <w:sz w:val="17"/>
              </w:rPr>
              <w:t>Before treated</w:t>
            </w:r>
          </w:p>
        </w:tc>
        <w:tc>
          <w:tcPr>
            <w:tcW w:w="1440" w:type="dxa"/>
            <w:tcBorders>
              <w:top w:val="single" w:color="000000" w:sz="10" w:space="0"/>
              <w:left w:val="nil"/>
              <w:bottom w:val="single" w:color="000000" w:sz="10" w:space="0"/>
              <w:right w:val="nil"/>
              <w:insideH w:val="nil"/>
              <w:insideV w:val="nil"/>
            </w:tcBorders>
            <w:vAlign w:val="center"/>
          </w:tcPr>
          <w:p w14:paraId="0254A2A3">
            <w:pPr>
              <w:spacing w:before="0" w:after="0" w:line="240" w:lineRule="auto"/>
              <w:jc w:val="left"/>
            </w:pPr>
            <w:r>
              <w:rPr>
                <w:rFonts w:ascii="Times New Roman" w:hAnsi="Times New Roman" w:eastAsia="Times New Roman" w:cs="Times New Roman"/>
                <w:b/>
                <w:i w:val="0"/>
                <w:sz w:val="17"/>
              </w:rPr>
              <w:t>Before control</w:t>
            </w:r>
          </w:p>
        </w:tc>
        <w:tc>
          <w:tcPr>
            <w:tcW w:w="1440" w:type="dxa"/>
            <w:tcBorders>
              <w:top w:val="single" w:color="000000" w:sz="10" w:space="0"/>
              <w:left w:val="nil"/>
              <w:bottom w:val="single" w:color="000000" w:sz="10" w:space="0"/>
              <w:right w:val="nil"/>
              <w:insideH w:val="nil"/>
              <w:insideV w:val="nil"/>
            </w:tcBorders>
            <w:vAlign w:val="center"/>
          </w:tcPr>
          <w:p w14:paraId="3ED4B0B0">
            <w:pPr>
              <w:spacing w:before="0" w:after="0" w:line="240" w:lineRule="auto"/>
              <w:jc w:val="left"/>
            </w:pPr>
            <w:r>
              <w:rPr>
                <w:rFonts w:ascii="Times New Roman" w:hAnsi="Times New Roman" w:eastAsia="Times New Roman" w:cs="Times New Roman"/>
                <w:b/>
                <w:i w:val="0"/>
                <w:sz w:val="17"/>
              </w:rPr>
              <w:t>Before SMD</w:t>
            </w:r>
          </w:p>
        </w:tc>
        <w:tc>
          <w:tcPr>
            <w:tcW w:w="1440" w:type="dxa"/>
            <w:tcBorders>
              <w:top w:val="single" w:color="000000" w:sz="10" w:space="0"/>
              <w:left w:val="nil"/>
              <w:bottom w:val="single" w:color="000000" w:sz="10" w:space="0"/>
              <w:right w:val="nil"/>
              <w:insideH w:val="nil"/>
              <w:insideV w:val="nil"/>
            </w:tcBorders>
            <w:vAlign w:val="center"/>
          </w:tcPr>
          <w:p w14:paraId="0BA61A30">
            <w:pPr>
              <w:spacing w:before="0" w:after="0" w:line="240" w:lineRule="auto"/>
              <w:jc w:val="left"/>
            </w:pPr>
            <w:r>
              <w:rPr>
                <w:rFonts w:ascii="Times New Roman" w:hAnsi="Times New Roman" w:eastAsia="Times New Roman" w:cs="Times New Roman"/>
                <w:b/>
                <w:i w:val="0"/>
                <w:sz w:val="17"/>
              </w:rPr>
              <w:t>After treated</w:t>
            </w:r>
          </w:p>
        </w:tc>
        <w:tc>
          <w:tcPr>
            <w:tcW w:w="1440" w:type="dxa"/>
            <w:tcBorders>
              <w:top w:val="single" w:color="000000" w:sz="10" w:space="0"/>
              <w:left w:val="nil"/>
              <w:bottom w:val="single" w:color="000000" w:sz="10" w:space="0"/>
              <w:right w:val="nil"/>
              <w:insideH w:val="nil"/>
              <w:insideV w:val="nil"/>
            </w:tcBorders>
            <w:vAlign w:val="center"/>
          </w:tcPr>
          <w:p w14:paraId="0474DF1A">
            <w:pPr>
              <w:spacing w:before="0" w:after="0" w:line="240" w:lineRule="auto"/>
              <w:jc w:val="left"/>
            </w:pPr>
            <w:r>
              <w:rPr>
                <w:rFonts w:ascii="Times New Roman" w:hAnsi="Times New Roman" w:eastAsia="Times New Roman" w:cs="Times New Roman"/>
                <w:b/>
                <w:i w:val="0"/>
                <w:sz w:val="17"/>
              </w:rPr>
              <w:t>After control</w:t>
            </w:r>
          </w:p>
        </w:tc>
        <w:tc>
          <w:tcPr>
            <w:tcW w:w="1440" w:type="dxa"/>
            <w:tcBorders>
              <w:top w:val="single" w:color="000000" w:sz="10" w:space="0"/>
              <w:left w:val="nil"/>
              <w:bottom w:val="single" w:color="000000" w:sz="10" w:space="0"/>
              <w:right w:val="nil"/>
              <w:insideH w:val="nil"/>
              <w:insideV w:val="nil"/>
            </w:tcBorders>
            <w:vAlign w:val="center"/>
          </w:tcPr>
          <w:p w14:paraId="1B384658">
            <w:pPr>
              <w:spacing w:before="0" w:after="0" w:line="240" w:lineRule="auto"/>
              <w:jc w:val="left"/>
            </w:pPr>
            <w:r>
              <w:rPr>
                <w:rFonts w:ascii="Times New Roman" w:hAnsi="Times New Roman" w:eastAsia="Times New Roman" w:cs="Times New Roman"/>
                <w:b/>
                <w:i w:val="0"/>
                <w:sz w:val="17"/>
              </w:rPr>
              <w:t>After SMD</w:t>
            </w:r>
          </w:p>
        </w:tc>
      </w:tr>
      <w:tr w14:paraId="20A5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nil"/>
              <w:left w:val="nil"/>
              <w:bottom w:val="nil"/>
              <w:right w:val="nil"/>
              <w:insideH w:val="nil"/>
              <w:insideV w:val="nil"/>
            </w:tcBorders>
            <w:vAlign w:val="center"/>
          </w:tcPr>
          <w:p w14:paraId="23AC1FB9">
            <w:pPr>
              <w:spacing w:before="0" w:after="0" w:line="240" w:lineRule="auto"/>
              <w:jc w:val="left"/>
            </w:pPr>
            <w:r>
              <w:rPr>
                <w:rFonts w:ascii="Times New Roman" w:hAnsi="Times New Roman" w:eastAsia="Times New Roman" w:cs="Times New Roman"/>
                <w:b w:val="0"/>
                <w:i w:val="0"/>
                <w:sz w:val="17"/>
              </w:rPr>
              <w:t>Age at baseline</w:t>
            </w:r>
          </w:p>
        </w:tc>
        <w:tc>
          <w:tcPr>
            <w:tcW w:w="1440" w:type="dxa"/>
            <w:tcBorders>
              <w:top w:val="nil"/>
              <w:left w:val="nil"/>
              <w:bottom w:val="nil"/>
              <w:right w:val="nil"/>
              <w:insideH w:val="nil"/>
              <w:insideV w:val="nil"/>
            </w:tcBorders>
            <w:vAlign w:val="center"/>
          </w:tcPr>
          <w:p w14:paraId="4D1F2FD4">
            <w:pPr>
              <w:spacing w:before="0" w:after="0" w:line="240" w:lineRule="auto"/>
              <w:jc w:val="left"/>
            </w:pPr>
            <w:r>
              <w:rPr>
                <w:rFonts w:ascii="Times New Roman" w:hAnsi="Times New Roman" w:eastAsia="Times New Roman" w:cs="Times New Roman"/>
                <w:b w:val="0"/>
                <w:i w:val="0"/>
                <w:sz w:val="17"/>
              </w:rPr>
              <w:t>24.7</w:t>
            </w:r>
          </w:p>
        </w:tc>
        <w:tc>
          <w:tcPr>
            <w:tcW w:w="1440" w:type="dxa"/>
            <w:tcBorders>
              <w:top w:val="nil"/>
              <w:left w:val="nil"/>
              <w:bottom w:val="nil"/>
              <w:right w:val="nil"/>
              <w:insideH w:val="nil"/>
              <w:insideV w:val="nil"/>
            </w:tcBorders>
            <w:vAlign w:val="center"/>
          </w:tcPr>
          <w:p w14:paraId="203D562A">
            <w:pPr>
              <w:spacing w:before="0" w:after="0" w:line="240" w:lineRule="auto"/>
              <w:jc w:val="left"/>
            </w:pPr>
            <w:r>
              <w:rPr>
                <w:rFonts w:ascii="Times New Roman" w:hAnsi="Times New Roman" w:eastAsia="Times New Roman" w:cs="Times New Roman"/>
                <w:b w:val="0"/>
                <w:i w:val="0"/>
                <w:sz w:val="17"/>
              </w:rPr>
              <w:t>26.2</w:t>
            </w:r>
          </w:p>
        </w:tc>
        <w:tc>
          <w:tcPr>
            <w:tcW w:w="1440" w:type="dxa"/>
            <w:tcBorders>
              <w:top w:val="nil"/>
              <w:left w:val="nil"/>
              <w:bottom w:val="nil"/>
              <w:right w:val="nil"/>
              <w:insideH w:val="nil"/>
              <w:insideV w:val="nil"/>
            </w:tcBorders>
            <w:vAlign w:val="center"/>
          </w:tcPr>
          <w:p w14:paraId="3A4863D2">
            <w:pPr>
              <w:spacing w:before="0" w:after="0" w:line="240" w:lineRule="auto"/>
              <w:jc w:val="left"/>
            </w:pPr>
            <w:r>
              <w:rPr>
                <w:rFonts w:ascii="Times New Roman" w:hAnsi="Times New Roman" w:eastAsia="Times New Roman" w:cs="Times New Roman"/>
                <w:b w:val="0"/>
                <w:i w:val="0"/>
                <w:sz w:val="17"/>
              </w:rPr>
              <w:t>0.31</w:t>
            </w:r>
          </w:p>
        </w:tc>
        <w:tc>
          <w:tcPr>
            <w:tcW w:w="1440" w:type="dxa"/>
            <w:tcBorders>
              <w:top w:val="nil"/>
              <w:left w:val="nil"/>
              <w:bottom w:val="nil"/>
              <w:right w:val="nil"/>
              <w:insideH w:val="nil"/>
              <w:insideV w:val="nil"/>
            </w:tcBorders>
            <w:vAlign w:val="center"/>
          </w:tcPr>
          <w:p w14:paraId="397219CD">
            <w:pPr>
              <w:spacing w:before="0" w:after="0" w:line="240" w:lineRule="auto"/>
              <w:jc w:val="left"/>
            </w:pPr>
            <w:r>
              <w:rPr>
                <w:rFonts w:ascii="Times New Roman" w:hAnsi="Times New Roman" w:eastAsia="Times New Roman" w:cs="Times New Roman"/>
                <w:b w:val="0"/>
                <w:i w:val="0"/>
                <w:sz w:val="17"/>
              </w:rPr>
              <w:t>24.9</w:t>
            </w:r>
          </w:p>
        </w:tc>
        <w:tc>
          <w:tcPr>
            <w:tcW w:w="1440" w:type="dxa"/>
            <w:tcBorders>
              <w:top w:val="nil"/>
              <w:left w:val="nil"/>
              <w:bottom w:val="nil"/>
              <w:right w:val="nil"/>
              <w:insideH w:val="nil"/>
              <w:insideV w:val="nil"/>
            </w:tcBorders>
            <w:vAlign w:val="center"/>
          </w:tcPr>
          <w:p w14:paraId="7EACD97A">
            <w:pPr>
              <w:spacing w:before="0" w:after="0" w:line="240" w:lineRule="auto"/>
              <w:jc w:val="left"/>
            </w:pPr>
            <w:r>
              <w:rPr>
                <w:rFonts w:ascii="Times New Roman" w:hAnsi="Times New Roman" w:eastAsia="Times New Roman" w:cs="Times New Roman"/>
                <w:b w:val="0"/>
                <w:i w:val="0"/>
                <w:sz w:val="17"/>
              </w:rPr>
              <w:t>24.8</w:t>
            </w:r>
          </w:p>
        </w:tc>
        <w:tc>
          <w:tcPr>
            <w:tcW w:w="1440" w:type="dxa"/>
            <w:tcBorders>
              <w:top w:val="nil"/>
              <w:left w:val="nil"/>
              <w:bottom w:val="nil"/>
              <w:right w:val="nil"/>
              <w:insideH w:val="nil"/>
              <w:insideV w:val="nil"/>
            </w:tcBorders>
            <w:vAlign w:val="center"/>
          </w:tcPr>
          <w:p w14:paraId="65E3F325">
            <w:pPr>
              <w:spacing w:before="0" w:after="0" w:line="240" w:lineRule="auto"/>
              <w:jc w:val="left"/>
            </w:pPr>
            <w:r>
              <w:rPr>
                <w:rFonts w:ascii="Times New Roman" w:hAnsi="Times New Roman" w:eastAsia="Times New Roman" w:cs="Times New Roman"/>
                <w:b w:val="0"/>
                <w:i w:val="0"/>
                <w:sz w:val="17"/>
              </w:rPr>
              <w:t>0.02</w:t>
            </w:r>
          </w:p>
        </w:tc>
      </w:tr>
      <w:tr w14:paraId="2362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nil"/>
              <w:left w:val="nil"/>
              <w:bottom w:val="nil"/>
              <w:right w:val="nil"/>
              <w:insideH w:val="nil"/>
              <w:insideV w:val="nil"/>
            </w:tcBorders>
            <w:vAlign w:val="center"/>
          </w:tcPr>
          <w:p w14:paraId="5ADC2862">
            <w:pPr>
              <w:spacing w:before="0" w:after="0" w:line="240" w:lineRule="auto"/>
              <w:jc w:val="left"/>
            </w:pPr>
            <w:r>
              <w:rPr>
                <w:rFonts w:ascii="Times New Roman" w:hAnsi="Times New Roman" w:eastAsia="Times New Roman" w:cs="Times New Roman"/>
                <w:b w:val="0"/>
                <w:i w:val="0"/>
                <w:sz w:val="17"/>
              </w:rPr>
              <w:t>Education years</w:t>
            </w:r>
          </w:p>
        </w:tc>
        <w:tc>
          <w:tcPr>
            <w:tcW w:w="1440" w:type="dxa"/>
            <w:tcBorders>
              <w:top w:val="nil"/>
              <w:left w:val="nil"/>
              <w:bottom w:val="nil"/>
              <w:right w:val="nil"/>
              <w:insideH w:val="nil"/>
              <w:insideV w:val="nil"/>
            </w:tcBorders>
            <w:vAlign w:val="center"/>
          </w:tcPr>
          <w:p w14:paraId="0ED1BD9E">
            <w:pPr>
              <w:spacing w:before="0" w:after="0" w:line="240" w:lineRule="auto"/>
              <w:jc w:val="left"/>
            </w:pPr>
            <w:r>
              <w:rPr>
                <w:rFonts w:ascii="Times New Roman" w:hAnsi="Times New Roman" w:eastAsia="Times New Roman" w:cs="Times New Roman"/>
                <w:b w:val="0"/>
                <w:i w:val="0"/>
                <w:sz w:val="17"/>
              </w:rPr>
              <w:t>8.85</w:t>
            </w:r>
          </w:p>
        </w:tc>
        <w:tc>
          <w:tcPr>
            <w:tcW w:w="1440" w:type="dxa"/>
            <w:tcBorders>
              <w:top w:val="nil"/>
              <w:left w:val="nil"/>
              <w:bottom w:val="nil"/>
              <w:right w:val="nil"/>
              <w:insideH w:val="nil"/>
              <w:insideV w:val="nil"/>
            </w:tcBorders>
            <w:vAlign w:val="center"/>
          </w:tcPr>
          <w:p w14:paraId="0C2F7A4A">
            <w:pPr>
              <w:spacing w:before="0" w:after="0" w:line="240" w:lineRule="auto"/>
              <w:jc w:val="left"/>
            </w:pPr>
            <w:r>
              <w:rPr>
                <w:rFonts w:ascii="Times New Roman" w:hAnsi="Times New Roman" w:eastAsia="Times New Roman" w:cs="Times New Roman"/>
                <w:b w:val="0"/>
                <w:i w:val="0"/>
                <w:sz w:val="17"/>
              </w:rPr>
              <w:t>10.12</w:t>
            </w:r>
          </w:p>
        </w:tc>
        <w:tc>
          <w:tcPr>
            <w:tcW w:w="1440" w:type="dxa"/>
            <w:tcBorders>
              <w:top w:val="nil"/>
              <w:left w:val="nil"/>
              <w:bottom w:val="nil"/>
              <w:right w:val="nil"/>
              <w:insideH w:val="nil"/>
              <w:insideV w:val="nil"/>
            </w:tcBorders>
            <w:vAlign w:val="center"/>
          </w:tcPr>
          <w:p w14:paraId="3A3D7CA2">
            <w:pPr>
              <w:spacing w:before="0" w:after="0" w:line="240" w:lineRule="auto"/>
              <w:jc w:val="left"/>
            </w:pPr>
            <w:r>
              <w:rPr>
                <w:rFonts w:ascii="Times New Roman" w:hAnsi="Times New Roman" w:eastAsia="Times New Roman" w:cs="Times New Roman"/>
                <w:b w:val="0"/>
                <w:i w:val="0"/>
                <w:sz w:val="17"/>
              </w:rPr>
              <w:t>0.28</w:t>
            </w:r>
          </w:p>
        </w:tc>
        <w:tc>
          <w:tcPr>
            <w:tcW w:w="1440" w:type="dxa"/>
            <w:tcBorders>
              <w:top w:val="nil"/>
              <w:left w:val="nil"/>
              <w:bottom w:val="nil"/>
              <w:right w:val="nil"/>
              <w:insideH w:val="nil"/>
              <w:insideV w:val="nil"/>
            </w:tcBorders>
            <w:vAlign w:val="center"/>
          </w:tcPr>
          <w:p w14:paraId="0510985D">
            <w:pPr>
              <w:spacing w:before="0" w:after="0" w:line="240" w:lineRule="auto"/>
              <w:jc w:val="left"/>
            </w:pPr>
            <w:r>
              <w:rPr>
                <w:rFonts w:ascii="Times New Roman" w:hAnsi="Times New Roman" w:eastAsia="Times New Roman" w:cs="Times New Roman"/>
                <w:b w:val="0"/>
                <w:i w:val="0"/>
                <w:sz w:val="17"/>
              </w:rPr>
              <w:t>8.91</w:t>
            </w:r>
          </w:p>
        </w:tc>
        <w:tc>
          <w:tcPr>
            <w:tcW w:w="1440" w:type="dxa"/>
            <w:tcBorders>
              <w:top w:val="nil"/>
              <w:left w:val="nil"/>
              <w:bottom w:val="nil"/>
              <w:right w:val="nil"/>
              <w:insideH w:val="nil"/>
              <w:insideV w:val="nil"/>
            </w:tcBorders>
            <w:vAlign w:val="center"/>
          </w:tcPr>
          <w:p w14:paraId="2EE3E522">
            <w:pPr>
              <w:spacing w:before="0" w:after="0" w:line="240" w:lineRule="auto"/>
              <w:jc w:val="left"/>
            </w:pPr>
            <w:r>
              <w:rPr>
                <w:rFonts w:ascii="Times New Roman" w:hAnsi="Times New Roman" w:eastAsia="Times New Roman" w:cs="Times New Roman"/>
                <w:b w:val="0"/>
                <w:i w:val="0"/>
                <w:sz w:val="17"/>
              </w:rPr>
              <w:t>8.94</w:t>
            </w:r>
          </w:p>
        </w:tc>
        <w:tc>
          <w:tcPr>
            <w:tcW w:w="1440" w:type="dxa"/>
            <w:tcBorders>
              <w:top w:val="nil"/>
              <w:left w:val="nil"/>
              <w:bottom w:val="nil"/>
              <w:right w:val="nil"/>
              <w:insideH w:val="nil"/>
              <w:insideV w:val="nil"/>
            </w:tcBorders>
            <w:vAlign w:val="center"/>
          </w:tcPr>
          <w:p w14:paraId="6CC43F1B">
            <w:pPr>
              <w:spacing w:before="0" w:after="0" w:line="240" w:lineRule="auto"/>
              <w:jc w:val="left"/>
            </w:pPr>
            <w:r>
              <w:rPr>
                <w:rFonts w:ascii="Times New Roman" w:hAnsi="Times New Roman" w:eastAsia="Times New Roman" w:cs="Times New Roman"/>
                <w:b w:val="0"/>
                <w:i w:val="0"/>
                <w:sz w:val="17"/>
              </w:rPr>
              <w:t>0.01</w:t>
            </w:r>
          </w:p>
        </w:tc>
      </w:tr>
      <w:tr w14:paraId="0A53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nil"/>
              <w:left w:val="nil"/>
              <w:bottom w:val="nil"/>
              <w:right w:val="nil"/>
              <w:insideH w:val="nil"/>
              <w:insideV w:val="nil"/>
            </w:tcBorders>
            <w:vAlign w:val="center"/>
          </w:tcPr>
          <w:p w14:paraId="28E39B6D">
            <w:pPr>
              <w:spacing w:before="0" w:after="0" w:line="240" w:lineRule="auto"/>
              <w:jc w:val="left"/>
            </w:pPr>
            <w:r>
              <w:rPr>
                <w:rFonts w:ascii="Times New Roman" w:hAnsi="Times New Roman" w:eastAsia="Times New Roman" w:cs="Times New Roman"/>
                <w:b w:val="0"/>
                <w:i w:val="0"/>
                <w:sz w:val="17"/>
              </w:rPr>
              <w:t>Agricultural hukou</w:t>
            </w:r>
          </w:p>
        </w:tc>
        <w:tc>
          <w:tcPr>
            <w:tcW w:w="1440" w:type="dxa"/>
            <w:tcBorders>
              <w:top w:val="nil"/>
              <w:left w:val="nil"/>
              <w:bottom w:val="nil"/>
              <w:right w:val="nil"/>
              <w:insideH w:val="nil"/>
              <w:insideV w:val="nil"/>
            </w:tcBorders>
            <w:vAlign w:val="center"/>
          </w:tcPr>
          <w:p w14:paraId="62A1F007">
            <w:pPr>
              <w:spacing w:before="0" w:after="0" w:line="240" w:lineRule="auto"/>
              <w:jc w:val="left"/>
            </w:pPr>
            <w:r>
              <w:rPr>
                <w:rFonts w:ascii="Times New Roman" w:hAnsi="Times New Roman" w:eastAsia="Times New Roman" w:cs="Times New Roman"/>
                <w:b w:val="0"/>
                <w:i w:val="0"/>
                <w:sz w:val="17"/>
              </w:rPr>
              <w:t>0.768</w:t>
            </w:r>
          </w:p>
        </w:tc>
        <w:tc>
          <w:tcPr>
            <w:tcW w:w="1440" w:type="dxa"/>
            <w:tcBorders>
              <w:top w:val="nil"/>
              <w:left w:val="nil"/>
              <w:bottom w:val="nil"/>
              <w:right w:val="nil"/>
              <w:insideH w:val="nil"/>
              <w:insideV w:val="nil"/>
            </w:tcBorders>
            <w:vAlign w:val="center"/>
          </w:tcPr>
          <w:p w14:paraId="3DB2BA20">
            <w:pPr>
              <w:spacing w:before="0" w:after="0" w:line="240" w:lineRule="auto"/>
              <w:jc w:val="left"/>
            </w:pPr>
            <w:r>
              <w:rPr>
                <w:rFonts w:ascii="Times New Roman" w:hAnsi="Times New Roman" w:eastAsia="Times New Roman" w:cs="Times New Roman"/>
                <w:b w:val="0"/>
                <w:i w:val="0"/>
                <w:sz w:val="17"/>
              </w:rPr>
              <w:t>0.712</w:t>
            </w:r>
          </w:p>
        </w:tc>
        <w:tc>
          <w:tcPr>
            <w:tcW w:w="1440" w:type="dxa"/>
            <w:tcBorders>
              <w:top w:val="nil"/>
              <w:left w:val="nil"/>
              <w:bottom w:val="nil"/>
              <w:right w:val="nil"/>
              <w:insideH w:val="nil"/>
              <w:insideV w:val="nil"/>
            </w:tcBorders>
            <w:vAlign w:val="center"/>
          </w:tcPr>
          <w:p w14:paraId="4ECFBEE5">
            <w:pPr>
              <w:spacing w:before="0" w:after="0" w:line="240" w:lineRule="auto"/>
              <w:jc w:val="left"/>
            </w:pPr>
            <w:r>
              <w:rPr>
                <w:rFonts w:ascii="Times New Roman" w:hAnsi="Times New Roman" w:eastAsia="Times New Roman" w:cs="Times New Roman"/>
                <w:b w:val="0"/>
                <w:i w:val="0"/>
                <w:sz w:val="17"/>
              </w:rPr>
              <w:t>0.13</w:t>
            </w:r>
          </w:p>
        </w:tc>
        <w:tc>
          <w:tcPr>
            <w:tcW w:w="1440" w:type="dxa"/>
            <w:tcBorders>
              <w:top w:val="nil"/>
              <w:left w:val="nil"/>
              <w:bottom w:val="nil"/>
              <w:right w:val="nil"/>
              <w:insideH w:val="nil"/>
              <w:insideV w:val="nil"/>
            </w:tcBorders>
            <w:vAlign w:val="center"/>
          </w:tcPr>
          <w:p w14:paraId="0875B66C">
            <w:pPr>
              <w:spacing w:before="0" w:after="0" w:line="240" w:lineRule="auto"/>
              <w:jc w:val="left"/>
            </w:pPr>
            <w:r>
              <w:rPr>
                <w:rFonts w:ascii="Times New Roman" w:hAnsi="Times New Roman" w:eastAsia="Times New Roman" w:cs="Times New Roman"/>
                <w:b w:val="0"/>
                <w:i w:val="0"/>
                <w:sz w:val="17"/>
              </w:rPr>
              <w:t>0.761</w:t>
            </w:r>
          </w:p>
        </w:tc>
        <w:tc>
          <w:tcPr>
            <w:tcW w:w="1440" w:type="dxa"/>
            <w:tcBorders>
              <w:top w:val="nil"/>
              <w:left w:val="nil"/>
              <w:bottom w:val="nil"/>
              <w:right w:val="nil"/>
              <w:insideH w:val="nil"/>
              <w:insideV w:val="nil"/>
            </w:tcBorders>
            <w:vAlign w:val="center"/>
          </w:tcPr>
          <w:p w14:paraId="5A55AC04">
            <w:pPr>
              <w:spacing w:before="0" w:after="0" w:line="240" w:lineRule="auto"/>
              <w:jc w:val="left"/>
            </w:pPr>
            <w:r>
              <w:rPr>
                <w:rFonts w:ascii="Times New Roman" w:hAnsi="Times New Roman" w:eastAsia="Times New Roman" w:cs="Times New Roman"/>
                <w:b w:val="0"/>
                <w:i w:val="0"/>
                <w:sz w:val="17"/>
              </w:rPr>
              <w:t>0.758</w:t>
            </w:r>
          </w:p>
        </w:tc>
        <w:tc>
          <w:tcPr>
            <w:tcW w:w="1440" w:type="dxa"/>
            <w:tcBorders>
              <w:top w:val="nil"/>
              <w:left w:val="nil"/>
              <w:bottom w:val="nil"/>
              <w:right w:val="nil"/>
              <w:insideH w:val="nil"/>
              <w:insideV w:val="nil"/>
            </w:tcBorders>
            <w:vAlign w:val="center"/>
          </w:tcPr>
          <w:p w14:paraId="3B4BCB56">
            <w:pPr>
              <w:spacing w:before="0" w:after="0" w:line="240" w:lineRule="auto"/>
              <w:jc w:val="left"/>
            </w:pPr>
            <w:r>
              <w:rPr>
                <w:rFonts w:ascii="Times New Roman" w:hAnsi="Times New Roman" w:eastAsia="Times New Roman" w:cs="Times New Roman"/>
                <w:b w:val="0"/>
                <w:i w:val="0"/>
                <w:sz w:val="17"/>
              </w:rPr>
              <w:t>0.01</w:t>
            </w:r>
          </w:p>
        </w:tc>
      </w:tr>
      <w:tr w14:paraId="4D21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nil"/>
              <w:left w:val="nil"/>
              <w:bottom w:val="nil"/>
              <w:right w:val="nil"/>
              <w:insideH w:val="nil"/>
              <w:insideV w:val="nil"/>
            </w:tcBorders>
            <w:vAlign w:val="center"/>
          </w:tcPr>
          <w:p w14:paraId="31D4A9B0">
            <w:pPr>
              <w:spacing w:before="0" w:after="0" w:line="240" w:lineRule="auto"/>
              <w:jc w:val="left"/>
            </w:pPr>
            <w:r>
              <w:rPr>
                <w:rFonts w:ascii="Times New Roman" w:hAnsi="Times New Roman" w:eastAsia="Times New Roman" w:cs="Times New Roman"/>
                <w:b w:val="0"/>
                <w:i w:val="0"/>
                <w:sz w:val="17"/>
              </w:rPr>
              <w:t>Eastern region</w:t>
            </w:r>
          </w:p>
        </w:tc>
        <w:tc>
          <w:tcPr>
            <w:tcW w:w="1440" w:type="dxa"/>
            <w:tcBorders>
              <w:top w:val="nil"/>
              <w:left w:val="nil"/>
              <w:bottom w:val="nil"/>
              <w:right w:val="nil"/>
              <w:insideH w:val="nil"/>
              <w:insideV w:val="nil"/>
            </w:tcBorders>
            <w:vAlign w:val="center"/>
          </w:tcPr>
          <w:p w14:paraId="7C5FCB27">
            <w:pPr>
              <w:spacing w:before="0" w:after="0" w:line="240" w:lineRule="auto"/>
              <w:jc w:val="left"/>
            </w:pPr>
            <w:r>
              <w:rPr>
                <w:rFonts w:ascii="Times New Roman" w:hAnsi="Times New Roman" w:eastAsia="Times New Roman" w:cs="Times New Roman"/>
                <w:b w:val="0"/>
                <w:i w:val="0"/>
                <w:sz w:val="17"/>
              </w:rPr>
              <w:t>0.364</w:t>
            </w:r>
          </w:p>
        </w:tc>
        <w:tc>
          <w:tcPr>
            <w:tcW w:w="1440" w:type="dxa"/>
            <w:tcBorders>
              <w:top w:val="nil"/>
              <w:left w:val="nil"/>
              <w:bottom w:val="nil"/>
              <w:right w:val="nil"/>
              <w:insideH w:val="nil"/>
              <w:insideV w:val="nil"/>
            </w:tcBorders>
            <w:vAlign w:val="center"/>
          </w:tcPr>
          <w:p w14:paraId="5F3C831B">
            <w:pPr>
              <w:spacing w:before="0" w:after="0" w:line="240" w:lineRule="auto"/>
              <w:jc w:val="left"/>
            </w:pPr>
            <w:r>
              <w:rPr>
                <w:rFonts w:ascii="Times New Roman" w:hAnsi="Times New Roman" w:eastAsia="Times New Roman" w:cs="Times New Roman"/>
                <w:b w:val="0"/>
                <w:i w:val="0"/>
                <w:sz w:val="17"/>
              </w:rPr>
              <w:t>0.391</w:t>
            </w:r>
          </w:p>
        </w:tc>
        <w:tc>
          <w:tcPr>
            <w:tcW w:w="1440" w:type="dxa"/>
            <w:tcBorders>
              <w:top w:val="nil"/>
              <w:left w:val="nil"/>
              <w:bottom w:val="nil"/>
              <w:right w:val="nil"/>
              <w:insideH w:val="nil"/>
              <w:insideV w:val="nil"/>
            </w:tcBorders>
            <w:vAlign w:val="center"/>
          </w:tcPr>
          <w:p w14:paraId="46F9C1E2">
            <w:pPr>
              <w:spacing w:before="0" w:after="0" w:line="240" w:lineRule="auto"/>
              <w:jc w:val="left"/>
            </w:pPr>
            <w:r>
              <w:rPr>
                <w:rFonts w:ascii="Times New Roman" w:hAnsi="Times New Roman" w:eastAsia="Times New Roman" w:cs="Times New Roman"/>
                <w:b w:val="0"/>
                <w:i w:val="0"/>
                <w:sz w:val="17"/>
              </w:rPr>
              <w:t>0.06</w:t>
            </w:r>
          </w:p>
        </w:tc>
        <w:tc>
          <w:tcPr>
            <w:tcW w:w="1440" w:type="dxa"/>
            <w:tcBorders>
              <w:top w:val="nil"/>
              <w:left w:val="nil"/>
              <w:bottom w:val="nil"/>
              <w:right w:val="nil"/>
              <w:insideH w:val="nil"/>
              <w:insideV w:val="nil"/>
            </w:tcBorders>
            <w:vAlign w:val="center"/>
          </w:tcPr>
          <w:p w14:paraId="7F2106A7">
            <w:pPr>
              <w:spacing w:before="0" w:after="0" w:line="240" w:lineRule="auto"/>
              <w:jc w:val="left"/>
            </w:pPr>
            <w:r>
              <w:rPr>
                <w:rFonts w:ascii="Times New Roman" w:hAnsi="Times New Roman" w:eastAsia="Times New Roman" w:cs="Times New Roman"/>
                <w:b w:val="0"/>
                <w:i w:val="0"/>
                <w:sz w:val="17"/>
              </w:rPr>
              <w:t>0.367</w:t>
            </w:r>
          </w:p>
        </w:tc>
        <w:tc>
          <w:tcPr>
            <w:tcW w:w="1440" w:type="dxa"/>
            <w:tcBorders>
              <w:top w:val="nil"/>
              <w:left w:val="nil"/>
              <w:bottom w:val="nil"/>
              <w:right w:val="nil"/>
              <w:insideH w:val="nil"/>
              <w:insideV w:val="nil"/>
            </w:tcBorders>
            <w:vAlign w:val="center"/>
          </w:tcPr>
          <w:p w14:paraId="701D2908">
            <w:pPr>
              <w:spacing w:before="0" w:after="0" w:line="240" w:lineRule="auto"/>
              <w:jc w:val="left"/>
            </w:pPr>
            <w:r>
              <w:rPr>
                <w:rFonts w:ascii="Times New Roman" w:hAnsi="Times New Roman" w:eastAsia="Times New Roman" w:cs="Times New Roman"/>
                <w:b w:val="0"/>
                <w:i w:val="0"/>
                <w:sz w:val="17"/>
              </w:rPr>
              <w:t>0.369</w:t>
            </w:r>
          </w:p>
        </w:tc>
        <w:tc>
          <w:tcPr>
            <w:tcW w:w="1440" w:type="dxa"/>
            <w:tcBorders>
              <w:top w:val="nil"/>
              <w:left w:val="nil"/>
              <w:bottom w:val="nil"/>
              <w:right w:val="nil"/>
              <w:insideH w:val="nil"/>
              <w:insideV w:val="nil"/>
            </w:tcBorders>
            <w:vAlign w:val="center"/>
          </w:tcPr>
          <w:p w14:paraId="2194DA38">
            <w:pPr>
              <w:spacing w:before="0" w:after="0" w:line="240" w:lineRule="auto"/>
              <w:jc w:val="left"/>
            </w:pPr>
            <w:r>
              <w:rPr>
                <w:rFonts w:ascii="Times New Roman" w:hAnsi="Times New Roman" w:eastAsia="Times New Roman" w:cs="Times New Roman"/>
                <w:b w:val="0"/>
                <w:i w:val="0"/>
                <w:sz w:val="17"/>
              </w:rPr>
              <w:t>0.01</w:t>
            </w:r>
          </w:p>
        </w:tc>
      </w:tr>
      <w:tr w14:paraId="2C27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nil"/>
              <w:left w:val="nil"/>
              <w:bottom w:val="nil"/>
              <w:right w:val="nil"/>
              <w:insideH w:val="nil"/>
              <w:insideV w:val="nil"/>
            </w:tcBorders>
            <w:vAlign w:val="center"/>
          </w:tcPr>
          <w:p w14:paraId="3B492307">
            <w:pPr>
              <w:spacing w:before="0" w:after="0" w:line="240" w:lineRule="auto"/>
              <w:jc w:val="left"/>
            </w:pPr>
            <w:r>
              <w:rPr>
                <w:rFonts w:ascii="Times New Roman" w:hAnsi="Times New Roman" w:eastAsia="Times New Roman" w:cs="Times New Roman"/>
                <w:b w:val="0"/>
                <w:i w:val="0"/>
                <w:sz w:val="17"/>
              </w:rPr>
              <w:t>Pre-birth income tercile</w:t>
            </w:r>
          </w:p>
        </w:tc>
        <w:tc>
          <w:tcPr>
            <w:tcW w:w="1440" w:type="dxa"/>
            <w:tcBorders>
              <w:top w:val="nil"/>
              <w:left w:val="nil"/>
              <w:bottom w:val="nil"/>
              <w:right w:val="nil"/>
              <w:insideH w:val="nil"/>
              <w:insideV w:val="nil"/>
            </w:tcBorders>
            <w:vAlign w:val="center"/>
          </w:tcPr>
          <w:p w14:paraId="0D9A4CAF">
            <w:pPr>
              <w:spacing w:before="0" w:after="0" w:line="240" w:lineRule="auto"/>
              <w:jc w:val="left"/>
            </w:pPr>
            <w:r>
              <w:rPr>
                <w:rFonts w:ascii="Times New Roman" w:hAnsi="Times New Roman" w:eastAsia="Times New Roman" w:cs="Times New Roman"/>
                <w:b w:val="0"/>
                <w:i w:val="0"/>
                <w:sz w:val="17"/>
              </w:rPr>
              <w:t>1.86</w:t>
            </w:r>
          </w:p>
        </w:tc>
        <w:tc>
          <w:tcPr>
            <w:tcW w:w="1440" w:type="dxa"/>
            <w:tcBorders>
              <w:top w:val="nil"/>
              <w:left w:val="nil"/>
              <w:bottom w:val="nil"/>
              <w:right w:val="nil"/>
              <w:insideH w:val="nil"/>
              <w:insideV w:val="nil"/>
            </w:tcBorders>
            <w:vAlign w:val="center"/>
          </w:tcPr>
          <w:p w14:paraId="2D4666F3">
            <w:pPr>
              <w:spacing w:before="0" w:after="0" w:line="240" w:lineRule="auto"/>
              <w:jc w:val="left"/>
            </w:pPr>
            <w:r>
              <w:rPr>
                <w:rFonts w:ascii="Times New Roman" w:hAnsi="Times New Roman" w:eastAsia="Times New Roman" w:cs="Times New Roman"/>
                <w:b w:val="0"/>
                <w:i w:val="0"/>
                <w:sz w:val="17"/>
              </w:rPr>
              <w:t>2.14</w:t>
            </w:r>
          </w:p>
        </w:tc>
        <w:tc>
          <w:tcPr>
            <w:tcW w:w="1440" w:type="dxa"/>
            <w:tcBorders>
              <w:top w:val="nil"/>
              <w:left w:val="nil"/>
              <w:bottom w:val="nil"/>
              <w:right w:val="nil"/>
              <w:insideH w:val="nil"/>
              <w:insideV w:val="nil"/>
            </w:tcBorders>
            <w:vAlign w:val="center"/>
          </w:tcPr>
          <w:p w14:paraId="36084C48">
            <w:pPr>
              <w:spacing w:before="0" w:after="0" w:line="240" w:lineRule="auto"/>
              <w:jc w:val="left"/>
            </w:pPr>
            <w:r>
              <w:rPr>
                <w:rFonts w:ascii="Times New Roman" w:hAnsi="Times New Roman" w:eastAsia="Times New Roman" w:cs="Times New Roman"/>
                <w:b w:val="0"/>
                <w:i w:val="0"/>
                <w:sz w:val="17"/>
              </w:rPr>
              <w:t>0.24</w:t>
            </w:r>
          </w:p>
        </w:tc>
        <w:tc>
          <w:tcPr>
            <w:tcW w:w="1440" w:type="dxa"/>
            <w:tcBorders>
              <w:top w:val="nil"/>
              <w:left w:val="nil"/>
              <w:bottom w:val="nil"/>
              <w:right w:val="nil"/>
              <w:insideH w:val="nil"/>
              <w:insideV w:val="nil"/>
            </w:tcBorders>
            <w:vAlign w:val="center"/>
          </w:tcPr>
          <w:p w14:paraId="5CA46F7A">
            <w:pPr>
              <w:spacing w:before="0" w:after="0" w:line="240" w:lineRule="auto"/>
              <w:jc w:val="left"/>
            </w:pPr>
            <w:r>
              <w:rPr>
                <w:rFonts w:ascii="Times New Roman" w:hAnsi="Times New Roman" w:eastAsia="Times New Roman" w:cs="Times New Roman"/>
                <w:b w:val="0"/>
                <w:i w:val="0"/>
                <w:sz w:val="17"/>
              </w:rPr>
              <w:t>1.91</w:t>
            </w:r>
          </w:p>
        </w:tc>
        <w:tc>
          <w:tcPr>
            <w:tcW w:w="1440" w:type="dxa"/>
            <w:tcBorders>
              <w:top w:val="nil"/>
              <w:left w:val="nil"/>
              <w:bottom w:val="nil"/>
              <w:right w:val="nil"/>
              <w:insideH w:val="nil"/>
              <w:insideV w:val="nil"/>
            </w:tcBorders>
            <w:vAlign w:val="center"/>
          </w:tcPr>
          <w:p w14:paraId="355F3632">
            <w:pPr>
              <w:spacing w:before="0" w:after="0" w:line="240" w:lineRule="auto"/>
              <w:jc w:val="left"/>
            </w:pPr>
            <w:r>
              <w:rPr>
                <w:rFonts w:ascii="Times New Roman" w:hAnsi="Times New Roman" w:eastAsia="Times New Roman" w:cs="Times New Roman"/>
                <w:b w:val="0"/>
                <w:i w:val="0"/>
                <w:sz w:val="17"/>
              </w:rPr>
              <w:t>1.92</w:t>
            </w:r>
          </w:p>
        </w:tc>
        <w:tc>
          <w:tcPr>
            <w:tcW w:w="1440" w:type="dxa"/>
            <w:tcBorders>
              <w:top w:val="nil"/>
              <w:left w:val="nil"/>
              <w:bottom w:val="nil"/>
              <w:right w:val="nil"/>
              <w:insideH w:val="nil"/>
              <w:insideV w:val="nil"/>
            </w:tcBorders>
            <w:vAlign w:val="center"/>
          </w:tcPr>
          <w:p w14:paraId="339FDE58">
            <w:pPr>
              <w:spacing w:before="0" w:after="0" w:line="240" w:lineRule="auto"/>
              <w:jc w:val="left"/>
            </w:pPr>
            <w:r>
              <w:rPr>
                <w:rFonts w:ascii="Times New Roman" w:hAnsi="Times New Roman" w:eastAsia="Times New Roman" w:cs="Times New Roman"/>
                <w:b w:val="0"/>
                <w:i w:val="0"/>
                <w:sz w:val="17"/>
              </w:rPr>
              <w:t>0.01</w:t>
            </w:r>
          </w:p>
        </w:tc>
      </w:tr>
      <w:tr w14:paraId="4D19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nil"/>
              <w:left w:val="nil"/>
              <w:bottom w:val="nil"/>
              <w:right w:val="nil"/>
              <w:insideH w:val="nil"/>
              <w:insideV w:val="nil"/>
            </w:tcBorders>
            <w:vAlign w:val="center"/>
          </w:tcPr>
          <w:p w14:paraId="759E2545">
            <w:pPr>
              <w:spacing w:before="0" w:after="0" w:line="240" w:lineRule="auto"/>
              <w:jc w:val="left"/>
            </w:pPr>
            <w:r>
              <w:rPr>
                <w:rFonts w:ascii="Times New Roman" w:hAnsi="Times New Roman" w:eastAsia="Times New Roman" w:cs="Times New Roman"/>
                <w:b w:val="0"/>
                <w:i w:val="0"/>
                <w:sz w:val="17"/>
              </w:rPr>
              <w:t>Pre-birth employed</w:t>
            </w:r>
          </w:p>
        </w:tc>
        <w:tc>
          <w:tcPr>
            <w:tcW w:w="1440" w:type="dxa"/>
            <w:tcBorders>
              <w:top w:val="nil"/>
              <w:left w:val="nil"/>
              <w:bottom w:val="nil"/>
              <w:right w:val="nil"/>
              <w:insideH w:val="nil"/>
              <w:insideV w:val="nil"/>
            </w:tcBorders>
            <w:vAlign w:val="center"/>
          </w:tcPr>
          <w:p w14:paraId="7B2C3422">
            <w:pPr>
              <w:spacing w:before="0" w:after="0" w:line="240" w:lineRule="auto"/>
              <w:jc w:val="left"/>
            </w:pPr>
            <w:r>
              <w:rPr>
                <w:rFonts w:ascii="Times New Roman" w:hAnsi="Times New Roman" w:eastAsia="Times New Roman" w:cs="Times New Roman"/>
                <w:b w:val="0"/>
                <w:i w:val="0"/>
                <w:sz w:val="17"/>
              </w:rPr>
              <w:t>0.732</w:t>
            </w:r>
          </w:p>
        </w:tc>
        <w:tc>
          <w:tcPr>
            <w:tcW w:w="1440" w:type="dxa"/>
            <w:tcBorders>
              <w:top w:val="nil"/>
              <w:left w:val="nil"/>
              <w:bottom w:val="nil"/>
              <w:right w:val="nil"/>
              <w:insideH w:val="nil"/>
              <w:insideV w:val="nil"/>
            </w:tcBorders>
            <w:vAlign w:val="center"/>
          </w:tcPr>
          <w:p w14:paraId="7CE8D554">
            <w:pPr>
              <w:spacing w:before="0" w:after="0" w:line="240" w:lineRule="auto"/>
              <w:jc w:val="left"/>
            </w:pPr>
            <w:r>
              <w:rPr>
                <w:rFonts w:ascii="Times New Roman" w:hAnsi="Times New Roman" w:eastAsia="Times New Roman" w:cs="Times New Roman"/>
                <w:b w:val="0"/>
                <w:i w:val="0"/>
                <w:sz w:val="17"/>
              </w:rPr>
              <w:t>0.768</w:t>
            </w:r>
          </w:p>
        </w:tc>
        <w:tc>
          <w:tcPr>
            <w:tcW w:w="1440" w:type="dxa"/>
            <w:tcBorders>
              <w:top w:val="nil"/>
              <w:left w:val="nil"/>
              <w:bottom w:val="nil"/>
              <w:right w:val="nil"/>
              <w:insideH w:val="nil"/>
              <w:insideV w:val="nil"/>
            </w:tcBorders>
            <w:vAlign w:val="center"/>
          </w:tcPr>
          <w:p w14:paraId="20E5BBE6">
            <w:pPr>
              <w:spacing w:before="0" w:after="0" w:line="240" w:lineRule="auto"/>
              <w:jc w:val="left"/>
            </w:pPr>
            <w:r>
              <w:rPr>
                <w:rFonts w:ascii="Times New Roman" w:hAnsi="Times New Roman" w:eastAsia="Times New Roman" w:cs="Times New Roman"/>
                <w:b w:val="0"/>
                <w:i w:val="0"/>
                <w:sz w:val="17"/>
              </w:rPr>
              <w:t>0.08</w:t>
            </w:r>
          </w:p>
        </w:tc>
        <w:tc>
          <w:tcPr>
            <w:tcW w:w="1440" w:type="dxa"/>
            <w:tcBorders>
              <w:top w:val="nil"/>
              <w:left w:val="nil"/>
              <w:bottom w:val="nil"/>
              <w:right w:val="nil"/>
              <w:insideH w:val="nil"/>
              <w:insideV w:val="nil"/>
            </w:tcBorders>
            <w:vAlign w:val="center"/>
          </w:tcPr>
          <w:p w14:paraId="2CA3DEAE">
            <w:pPr>
              <w:spacing w:before="0" w:after="0" w:line="240" w:lineRule="auto"/>
              <w:jc w:val="left"/>
            </w:pPr>
            <w:r>
              <w:rPr>
                <w:rFonts w:ascii="Times New Roman" w:hAnsi="Times New Roman" w:eastAsia="Times New Roman" w:cs="Times New Roman"/>
                <w:b w:val="0"/>
                <w:i w:val="0"/>
                <w:sz w:val="17"/>
              </w:rPr>
              <w:t>0.738</w:t>
            </w:r>
          </w:p>
        </w:tc>
        <w:tc>
          <w:tcPr>
            <w:tcW w:w="1440" w:type="dxa"/>
            <w:tcBorders>
              <w:top w:val="nil"/>
              <w:left w:val="nil"/>
              <w:bottom w:val="nil"/>
              <w:right w:val="nil"/>
              <w:insideH w:val="nil"/>
              <w:insideV w:val="nil"/>
            </w:tcBorders>
            <w:vAlign w:val="center"/>
          </w:tcPr>
          <w:p w14:paraId="7DC23A5F">
            <w:pPr>
              <w:spacing w:before="0" w:after="0" w:line="240" w:lineRule="auto"/>
              <w:jc w:val="left"/>
            </w:pPr>
            <w:r>
              <w:rPr>
                <w:rFonts w:ascii="Times New Roman" w:hAnsi="Times New Roman" w:eastAsia="Times New Roman" w:cs="Times New Roman"/>
                <w:b w:val="0"/>
                <w:i w:val="0"/>
                <w:sz w:val="17"/>
              </w:rPr>
              <w:t>0.741</w:t>
            </w:r>
          </w:p>
        </w:tc>
        <w:tc>
          <w:tcPr>
            <w:tcW w:w="1440" w:type="dxa"/>
            <w:tcBorders>
              <w:top w:val="nil"/>
              <w:left w:val="nil"/>
              <w:bottom w:val="nil"/>
              <w:right w:val="nil"/>
              <w:insideH w:val="nil"/>
              <w:insideV w:val="nil"/>
            </w:tcBorders>
            <w:vAlign w:val="center"/>
          </w:tcPr>
          <w:p w14:paraId="4096A65B">
            <w:pPr>
              <w:spacing w:before="0" w:after="0" w:line="240" w:lineRule="auto"/>
              <w:jc w:val="left"/>
            </w:pPr>
            <w:r>
              <w:rPr>
                <w:rFonts w:ascii="Times New Roman" w:hAnsi="Times New Roman" w:eastAsia="Times New Roman" w:cs="Times New Roman"/>
                <w:b w:val="0"/>
                <w:i w:val="0"/>
                <w:sz w:val="17"/>
              </w:rPr>
              <w:t>0.01</w:t>
            </w:r>
          </w:p>
        </w:tc>
      </w:tr>
      <w:tr w14:paraId="6DD8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nil"/>
              <w:left w:val="nil"/>
              <w:bottom w:val="nil"/>
              <w:right w:val="nil"/>
              <w:insideH w:val="nil"/>
              <w:insideV w:val="nil"/>
            </w:tcBorders>
            <w:vAlign w:val="center"/>
          </w:tcPr>
          <w:p w14:paraId="5EF338FC">
            <w:pPr>
              <w:spacing w:before="0" w:after="0" w:line="240" w:lineRule="auto"/>
              <w:jc w:val="left"/>
            </w:pPr>
            <w:r>
              <w:rPr>
                <w:rFonts w:ascii="Times New Roman" w:hAnsi="Times New Roman" w:eastAsia="Times New Roman" w:cs="Times New Roman"/>
                <w:b w:val="0"/>
                <w:i w:val="0"/>
                <w:sz w:val="17"/>
              </w:rPr>
              <w:t>Pre-birth employment continuity</w:t>
            </w:r>
          </w:p>
        </w:tc>
        <w:tc>
          <w:tcPr>
            <w:tcW w:w="1440" w:type="dxa"/>
            <w:tcBorders>
              <w:top w:val="nil"/>
              <w:left w:val="nil"/>
              <w:bottom w:val="nil"/>
              <w:right w:val="nil"/>
              <w:insideH w:val="nil"/>
              <w:insideV w:val="nil"/>
            </w:tcBorders>
            <w:vAlign w:val="center"/>
          </w:tcPr>
          <w:p w14:paraId="0CF9BAC1">
            <w:pPr>
              <w:spacing w:before="0" w:after="0" w:line="240" w:lineRule="auto"/>
              <w:jc w:val="left"/>
            </w:pPr>
            <w:r>
              <w:rPr>
                <w:rFonts w:ascii="Times New Roman" w:hAnsi="Times New Roman" w:eastAsia="Times New Roman" w:cs="Times New Roman"/>
                <w:b w:val="0"/>
                <w:i w:val="0"/>
                <w:sz w:val="17"/>
              </w:rPr>
              <w:t>2.84</w:t>
            </w:r>
          </w:p>
        </w:tc>
        <w:tc>
          <w:tcPr>
            <w:tcW w:w="1440" w:type="dxa"/>
            <w:tcBorders>
              <w:top w:val="nil"/>
              <w:left w:val="nil"/>
              <w:bottom w:val="nil"/>
              <w:right w:val="nil"/>
              <w:insideH w:val="nil"/>
              <w:insideV w:val="nil"/>
            </w:tcBorders>
            <w:vAlign w:val="center"/>
          </w:tcPr>
          <w:p w14:paraId="46E23303">
            <w:pPr>
              <w:spacing w:before="0" w:after="0" w:line="240" w:lineRule="auto"/>
              <w:jc w:val="left"/>
            </w:pPr>
            <w:r>
              <w:rPr>
                <w:rFonts w:ascii="Times New Roman" w:hAnsi="Times New Roman" w:eastAsia="Times New Roman" w:cs="Times New Roman"/>
                <w:b w:val="0"/>
                <w:i w:val="0"/>
                <w:sz w:val="17"/>
              </w:rPr>
              <w:t>3.12</w:t>
            </w:r>
          </w:p>
        </w:tc>
        <w:tc>
          <w:tcPr>
            <w:tcW w:w="1440" w:type="dxa"/>
            <w:tcBorders>
              <w:top w:val="nil"/>
              <w:left w:val="nil"/>
              <w:bottom w:val="nil"/>
              <w:right w:val="nil"/>
              <w:insideH w:val="nil"/>
              <w:insideV w:val="nil"/>
            </w:tcBorders>
            <w:vAlign w:val="center"/>
          </w:tcPr>
          <w:p w14:paraId="6C011514">
            <w:pPr>
              <w:spacing w:before="0" w:after="0" w:line="240" w:lineRule="auto"/>
              <w:jc w:val="left"/>
            </w:pPr>
            <w:r>
              <w:rPr>
                <w:rFonts w:ascii="Times New Roman" w:hAnsi="Times New Roman" w:eastAsia="Times New Roman" w:cs="Times New Roman"/>
                <w:b w:val="0"/>
                <w:i w:val="0"/>
                <w:sz w:val="17"/>
              </w:rPr>
              <w:t>0.29</w:t>
            </w:r>
          </w:p>
        </w:tc>
        <w:tc>
          <w:tcPr>
            <w:tcW w:w="1440" w:type="dxa"/>
            <w:tcBorders>
              <w:top w:val="nil"/>
              <w:left w:val="nil"/>
              <w:bottom w:val="nil"/>
              <w:right w:val="nil"/>
              <w:insideH w:val="nil"/>
              <w:insideV w:val="nil"/>
            </w:tcBorders>
            <w:vAlign w:val="center"/>
          </w:tcPr>
          <w:p w14:paraId="68CFEE55">
            <w:pPr>
              <w:spacing w:before="0" w:after="0" w:line="240" w:lineRule="auto"/>
              <w:jc w:val="left"/>
            </w:pPr>
            <w:r>
              <w:rPr>
                <w:rFonts w:ascii="Times New Roman" w:hAnsi="Times New Roman" w:eastAsia="Times New Roman" w:cs="Times New Roman"/>
                <w:b w:val="0"/>
                <w:i w:val="0"/>
                <w:sz w:val="17"/>
              </w:rPr>
              <w:t>2.91</w:t>
            </w:r>
          </w:p>
        </w:tc>
        <w:tc>
          <w:tcPr>
            <w:tcW w:w="1440" w:type="dxa"/>
            <w:tcBorders>
              <w:top w:val="nil"/>
              <w:left w:val="nil"/>
              <w:bottom w:val="nil"/>
              <w:right w:val="nil"/>
              <w:insideH w:val="nil"/>
              <w:insideV w:val="nil"/>
            </w:tcBorders>
            <w:vAlign w:val="center"/>
          </w:tcPr>
          <w:p w14:paraId="3EBFDF22">
            <w:pPr>
              <w:spacing w:before="0" w:after="0" w:line="240" w:lineRule="auto"/>
              <w:jc w:val="left"/>
            </w:pPr>
            <w:r>
              <w:rPr>
                <w:rFonts w:ascii="Times New Roman" w:hAnsi="Times New Roman" w:eastAsia="Times New Roman" w:cs="Times New Roman"/>
                <w:b w:val="0"/>
                <w:i w:val="0"/>
                <w:sz w:val="17"/>
              </w:rPr>
              <w:t>2.93</w:t>
            </w:r>
          </w:p>
        </w:tc>
        <w:tc>
          <w:tcPr>
            <w:tcW w:w="1440" w:type="dxa"/>
            <w:tcBorders>
              <w:top w:val="nil"/>
              <w:left w:val="nil"/>
              <w:bottom w:val="nil"/>
              <w:right w:val="nil"/>
              <w:insideH w:val="nil"/>
              <w:insideV w:val="nil"/>
            </w:tcBorders>
            <w:vAlign w:val="center"/>
          </w:tcPr>
          <w:p w14:paraId="5FA33786">
            <w:pPr>
              <w:spacing w:before="0" w:after="0" w:line="240" w:lineRule="auto"/>
              <w:jc w:val="left"/>
            </w:pPr>
            <w:r>
              <w:rPr>
                <w:rFonts w:ascii="Times New Roman" w:hAnsi="Times New Roman" w:eastAsia="Times New Roman" w:cs="Times New Roman"/>
                <w:b w:val="0"/>
                <w:i w:val="0"/>
                <w:sz w:val="17"/>
              </w:rPr>
              <w:t>0.02</w:t>
            </w:r>
          </w:p>
        </w:tc>
      </w:tr>
      <w:tr w14:paraId="54C7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nil"/>
              <w:left w:val="nil"/>
              <w:bottom w:val="single" w:color="000000" w:sz="10" w:space="0"/>
              <w:right w:val="nil"/>
              <w:insideH w:val="nil"/>
              <w:insideV w:val="nil"/>
            </w:tcBorders>
            <w:vAlign w:val="center"/>
          </w:tcPr>
          <w:p w14:paraId="63A091E1">
            <w:pPr>
              <w:spacing w:before="0" w:after="0" w:line="240" w:lineRule="auto"/>
              <w:jc w:val="left"/>
            </w:pPr>
            <w:r>
              <w:rPr>
                <w:rFonts w:ascii="Times New Roman" w:hAnsi="Times New Roman" w:eastAsia="Times New Roman" w:cs="Times New Roman"/>
                <w:b w:val="0"/>
                <w:i w:val="0"/>
                <w:sz w:val="17"/>
              </w:rPr>
              <w:t>Sequence distance</w:t>
            </w:r>
          </w:p>
        </w:tc>
        <w:tc>
          <w:tcPr>
            <w:tcW w:w="1440" w:type="dxa"/>
            <w:tcBorders>
              <w:top w:val="nil"/>
              <w:left w:val="nil"/>
              <w:bottom w:val="single" w:color="000000" w:sz="10" w:space="0"/>
              <w:right w:val="nil"/>
              <w:insideH w:val="nil"/>
              <w:insideV w:val="nil"/>
            </w:tcBorders>
            <w:vAlign w:val="center"/>
          </w:tcPr>
          <w:p w14:paraId="4DA2C714">
            <w:pPr>
              <w:spacing w:before="0" w:after="0" w:line="240" w:lineRule="auto"/>
              <w:jc w:val="left"/>
            </w:pPr>
            <w:r>
              <w:rPr>
                <w:rFonts w:ascii="Times New Roman" w:hAnsi="Times New Roman" w:eastAsia="Times New Roman" w:cs="Times New Roman"/>
                <w:b w:val="0"/>
                <w:i w:val="0"/>
                <w:sz w:val="17"/>
              </w:rPr>
              <w:t>0.79</w:t>
            </w:r>
          </w:p>
        </w:tc>
        <w:tc>
          <w:tcPr>
            <w:tcW w:w="1440" w:type="dxa"/>
            <w:tcBorders>
              <w:top w:val="nil"/>
              <w:left w:val="nil"/>
              <w:bottom w:val="single" w:color="000000" w:sz="10" w:space="0"/>
              <w:right w:val="nil"/>
              <w:insideH w:val="nil"/>
              <w:insideV w:val="nil"/>
            </w:tcBorders>
            <w:vAlign w:val="center"/>
          </w:tcPr>
          <w:p w14:paraId="6E7975ED">
            <w:pPr>
              <w:spacing w:before="0" w:after="0" w:line="240" w:lineRule="auto"/>
              <w:jc w:val="left"/>
            </w:pPr>
            <w:r>
              <w:rPr>
                <w:rFonts w:ascii="Times New Roman" w:hAnsi="Times New Roman" w:eastAsia="Times New Roman" w:cs="Times New Roman"/>
                <w:b w:val="0"/>
                <w:i w:val="0"/>
                <w:sz w:val="17"/>
              </w:rPr>
              <w:t>—</w:t>
            </w:r>
          </w:p>
        </w:tc>
        <w:tc>
          <w:tcPr>
            <w:tcW w:w="1440" w:type="dxa"/>
            <w:tcBorders>
              <w:top w:val="nil"/>
              <w:left w:val="nil"/>
              <w:bottom w:val="single" w:color="000000" w:sz="10" w:space="0"/>
              <w:right w:val="nil"/>
              <w:insideH w:val="nil"/>
              <w:insideV w:val="nil"/>
            </w:tcBorders>
            <w:vAlign w:val="center"/>
          </w:tcPr>
          <w:p w14:paraId="10AE7AB4">
            <w:pPr>
              <w:spacing w:before="0" w:after="0" w:line="240" w:lineRule="auto"/>
              <w:jc w:val="left"/>
            </w:pPr>
            <w:r>
              <w:rPr>
                <w:rFonts w:ascii="Times New Roman" w:hAnsi="Times New Roman" w:eastAsia="Times New Roman" w:cs="Times New Roman"/>
                <w:b w:val="0"/>
                <w:i w:val="0"/>
                <w:sz w:val="17"/>
              </w:rPr>
              <w:t>—</w:t>
            </w:r>
          </w:p>
        </w:tc>
        <w:tc>
          <w:tcPr>
            <w:tcW w:w="1440" w:type="dxa"/>
            <w:tcBorders>
              <w:top w:val="nil"/>
              <w:left w:val="nil"/>
              <w:bottom w:val="single" w:color="000000" w:sz="10" w:space="0"/>
              <w:right w:val="nil"/>
              <w:insideH w:val="nil"/>
              <w:insideV w:val="nil"/>
            </w:tcBorders>
            <w:vAlign w:val="center"/>
          </w:tcPr>
          <w:p w14:paraId="11C91858">
            <w:pPr>
              <w:spacing w:before="0" w:after="0" w:line="240" w:lineRule="auto"/>
              <w:jc w:val="left"/>
            </w:pPr>
            <w:r>
              <w:rPr>
                <w:rFonts w:ascii="Times New Roman" w:hAnsi="Times New Roman" w:eastAsia="Times New Roman" w:cs="Times New Roman"/>
                <w:b w:val="0"/>
                <w:i w:val="0"/>
                <w:sz w:val="17"/>
              </w:rPr>
              <w:t>0.38</w:t>
            </w:r>
          </w:p>
        </w:tc>
        <w:tc>
          <w:tcPr>
            <w:tcW w:w="1440" w:type="dxa"/>
            <w:tcBorders>
              <w:top w:val="nil"/>
              <w:left w:val="nil"/>
              <w:bottom w:val="single" w:color="000000" w:sz="10" w:space="0"/>
              <w:right w:val="nil"/>
              <w:insideH w:val="nil"/>
              <w:insideV w:val="nil"/>
            </w:tcBorders>
            <w:vAlign w:val="center"/>
          </w:tcPr>
          <w:p w14:paraId="2DD45C9A">
            <w:pPr>
              <w:spacing w:before="0" w:after="0" w:line="240" w:lineRule="auto"/>
              <w:jc w:val="left"/>
            </w:pPr>
            <w:r>
              <w:rPr>
                <w:rFonts w:ascii="Times New Roman" w:hAnsi="Times New Roman" w:eastAsia="Times New Roman" w:cs="Times New Roman"/>
                <w:b w:val="0"/>
                <w:i w:val="0"/>
                <w:sz w:val="17"/>
              </w:rPr>
              <w:t>—</w:t>
            </w:r>
          </w:p>
        </w:tc>
        <w:tc>
          <w:tcPr>
            <w:tcW w:w="1440" w:type="dxa"/>
            <w:tcBorders>
              <w:top w:val="nil"/>
              <w:left w:val="nil"/>
              <w:bottom w:val="single" w:color="000000" w:sz="10" w:space="0"/>
              <w:right w:val="nil"/>
              <w:insideH w:val="nil"/>
              <w:insideV w:val="nil"/>
            </w:tcBorders>
            <w:vAlign w:val="center"/>
          </w:tcPr>
          <w:p w14:paraId="21777219">
            <w:pPr>
              <w:spacing w:before="0" w:after="0" w:line="240" w:lineRule="auto"/>
              <w:jc w:val="left"/>
            </w:pPr>
            <w:r>
              <w:rPr>
                <w:rFonts w:ascii="Times New Roman" w:hAnsi="Times New Roman" w:eastAsia="Times New Roman" w:cs="Times New Roman"/>
                <w:b w:val="0"/>
                <w:i w:val="0"/>
                <w:sz w:val="17"/>
              </w:rPr>
              <w:t>—</w:t>
            </w:r>
          </w:p>
        </w:tc>
      </w:tr>
    </w:tbl>
    <w:p w14:paraId="5A67EF59">
      <w:pPr>
        <w:spacing w:before="60" w:after="120" w:line="240" w:lineRule="auto"/>
        <w:jc w:val="left"/>
      </w:pPr>
      <w:r>
        <w:rPr>
          <w:rFonts w:ascii="Times New Roman" w:hAnsi="Times New Roman" w:eastAsia="Times New Roman" w:cs="Times New Roman"/>
          <w:i/>
          <w:sz w:val="19"/>
        </w:rPr>
        <w:t>Note. After-matching control counts refer to matched control slots. Unique comparator IDs and reuse frequencies should be retained in the replication archive.</w:t>
      </w:r>
    </w:p>
    <w:p w14:paraId="76591C8A">
      <w:pPr>
        <w:pStyle w:val="3"/>
        <w:spacing w:line="240" w:lineRule="auto"/>
        <w:jc w:val="left"/>
      </w:pPr>
      <w:r>
        <w:rPr>
          <w:rFonts w:ascii="Times New Roman" w:hAnsi="Times New Roman" w:eastAsia="Times New Roman" w:cs="Times New Roman"/>
          <w:b/>
          <w:color w:val="1F4E79"/>
          <w:sz w:val="28"/>
        </w:rPr>
        <w:t>S4. Event-study coefficients</w:t>
      </w:r>
    </w:p>
    <w:p w14:paraId="2D0F362D">
      <w:pPr>
        <w:spacing w:before="120" w:after="60" w:line="240" w:lineRule="auto"/>
        <w:jc w:val="left"/>
      </w:pPr>
      <w:r>
        <w:rPr>
          <w:rFonts w:ascii="Times New Roman" w:hAnsi="Times New Roman" w:eastAsia="Times New Roman" w:cs="Times New Roman"/>
          <w:b/>
          <w:sz w:val="20"/>
        </w:rPr>
        <w:t>Table S4.</w:t>
      </w:r>
      <w:r>
        <w:rPr>
          <w:rFonts w:ascii="Times New Roman" w:hAnsi="Times New Roman" w:eastAsia="Times New Roman" w:cs="Times New Roman"/>
          <w:i w:val="0"/>
          <w:sz w:val="20"/>
        </w:rPr>
        <w:t xml:space="preserve"> Dynamic income coefficients for motherhood and fatherhood</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6"/>
        <w:gridCol w:w="1941"/>
        <w:gridCol w:w="1901"/>
        <w:gridCol w:w="1936"/>
        <w:gridCol w:w="1902"/>
      </w:tblGrid>
      <w:tr w14:paraId="06A9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16" w:type="dxa"/>
            <w:tcBorders>
              <w:top w:val="single" w:color="000000" w:sz="10" w:space="0"/>
              <w:left w:val="nil"/>
              <w:bottom w:val="single" w:color="000000" w:sz="10" w:space="0"/>
              <w:right w:val="nil"/>
              <w:insideH w:val="nil"/>
              <w:insideV w:val="nil"/>
            </w:tcBorders>
            <w:vAlign w:val="center"/>
          </w:tcPr>
          <w:p w14:paraId="566E31B6">
            <w:pPr>
              <w:spacing w:before="0" w:after="0" w:line="240" w:lineRule="auto"/>
              <w:jc w:val="left"/>
            </w:pPr>
            <w:r>
              <w:rPr>
                <w:rFonts w:ascii="Times New Roman" w:hAnsi="Times New Roman" w:eastAsia="Times New Roman" w:cs="Times New Roman"/>
                <w:b/>
                <w:i w:val="0"/>
                <w:sz w:val="18"/>
              </w:rPr>
              <w:t>Event time</w:t>
            </w:r>
          </w:p>
        </w:tc>
        <w:tc>
          <w:tcPr>
            <w:tcW w:w="2016" w:type="dxa"/>
            <w:tcBorders>
              <w:top w:val="single" w:color="000000" w:sz="10" w:space="0"/>
              <w:left w:val="nil"/>
              <w:bottom w:val="single" w:color="000000" w:sz="10" w:space="0"/>
              <w:right w:val="nil"/>
              <w:insideH w:val="nil"/>
              <w:insideV w:val="nil"/>
            </w:tcBorders>
            <w:vAlign w:val="center"/>
          </w:tcPr>
          <w:p w14:paraId="58FA539C">
            <w:pPr>
              <w:spacing w:before="0" w:after="0" w:line="240" w:lineRule="auto"/>
              <w:jc w:val="left"/>
            </w:pPr>
            <w:r>
              <w:rPr>
                <w:rFonts w:ascii="Times New Roman" w:hAnsi="Times New Roman" w:eastAsia="Times New Roman" w:cs="Times New Roman"/>
                <w:b/>
                <w:i w:val="0"/>
                <w:sz w:val="18"/>
              </w:rPr>
              <w:t>Motherhood coefficient</w:t>
            </w:r>
          </w:p>
        </w:tc>
        <w:tc>
          <w:tcPr>
            <w:tcW w:w="2016" w:type="dxa"/>
            <w:tcBorders>
              <w:top w:val="single" w:color="000000" w:sz="10" w:space="0"/>
              <w:left w:val="nil"/>
              <w:bottom w:val="single" w:color="000000" w:sz="10" w:space="0"/>
              <w:right w:val="nil"/>
              <w:insideH w:val="nil"/>
              <w:insideV w:val="nil"/>
            </w:tcBorders>
            <w:vAlign w:val="center"/>
          </w:tcPr>
          <w:p w14:paraId="4C945552">
            <w:pPr>
              <w:spacing w:before="0" w:after="0" w:line="240" w:lineRule="auto"/>
              <w:jc w:val="left"/>
            </w:pPr>
            <w:r>
              <w:rPr>
                <w:rFonts w:ascii="Times New Roman" w:hAnsi="Times New Roman" w:eastAsia="Times New Roman" w:cs="Times New Roman"/>
                <w:b/>
                <w:i w:val="0"/>
                <w:sz w:val="18"/>
              </w:rPr>
              <w:t>95% CI</w:t>
            </w:r>
          </w:p>
        </w:tc>
        <w:tc>
          <w:tcPr>
            <w:tcW w:w="2016" w:type="dxa"/>
            <w:tcBorders>
              <w:top w:val="single" w:color="000000" w:sz="10" w:space="0"/>
              <w:left w:val="nil"/>
              <w:bottom w:val="single" w:color="000000" w:sz="10" w:space="0"/>
              <w:right w:val="nil"/>
              <w:insideH w:val="nil"/>
              <w:insideV w:val="nil"/>
            </w:tcBorders>
            <w:vAlign w:val="center"/>
          </w:tcPr>
          <w:p w14:paraId="5BEEC8FE">
            <w:pPr>
              <w:spacing w:before="0" w:after="0" w:line="240" w:lineRule="auto"/>
              <w:jc w:val="left"/>
            </w:pPr>
            <w:r>
              <w:rPr>
                <w:rFonts w:ascii="Times New Roman" w:hAnsi="Times New Roman" w:eastAsia="Times New Roman" w:cs="Times New Roman"/>
                <w:b/>
                <w:i w:val="0"/>
                <w:sz w:val="18"/>
              </w:rPr>
              <w:t>Fatherhood coefficient</w:t>
            </w:r>
          </w:p>
        </w:tc>
        <w:tc>
          <w:tcPr>
            <w:tcW w:w="2016" w:type="dxa"/>
            <w:tcBorders>
              <w:top w:val="single" w:color="000000" w:sz="10" w:space="0"/>
              <w:left w:val="nil"/>
              <w:bottom w:val="single" w:color="000000" w:sz="10" w:space="0"/>
              <w:right w:val="nil"/>
              <w:insideH w:val="nil"/>
              <w:insideV w:val="nil"/>
            </w:tcBorders>
            <w:vAlign w:val="center"/>
          </w:tcPr>
          <w:p w14:paraId="0EC0EBCA">
            <w:pPr>
              <w:spacing w:before="0" w:after="0" w:line="240" w:lineRule="auto"/>
              <w:jc w:val="left"/>
            </w:pPr>
            <w:r>
              <w:rPr>
                <w:rFonts w:ascii="Times New Roman" w:hAnsi="Times New Roman" w:eastAsia="Times New Roman" w:cs="Times New Roman"/>
                <w:b/>
                <w:i w:val="0"/>
                <w:sz w:val="18"/>
              </w:rPr>
              <w:t>95% CI</w:t>
            </w:r>
          </w:p>
        </w:tc>
      </w:tr>
      <w:tr w14:paraId="74CD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0BF3FB1D">
            <w:pPr>
              <w:spacing w:before="0" w:after="0" w:line="240" w:lineRule="auto"/>
              <w:jc w:val="left"/>
            </w:pPr>
            <w:r>
              <w:rPr>
                <w:rFonts w:ascii="Times New Roman" w:hAnsi="Times New Roman" w:eastAsia="Times New Roman" w:cs="Times New Roman"/>
                <w:b w:val="0"/>
                <w:i w:val="0"/>
                <w:sz w:val="18"/>
              </w:rPr>
              <w:t>-5</w:t>
            </w:r>
          </w:p>
        </w:tc>
        <w:tc>
          <w:tcPr>
            <w:tcW w:w="2016" w:type="dxa"/>
            <w:tcBorders>
              <w:top w:val="nil"/>
              <w:left w:val="nil"/>
              <w:bottom w:val="nil"/>
              <w:right w:val="nil"/>
              <w:insideH w:val="nil"/>
              <w:insideV w:val="nil"/>
            </w:tcBorders>
            <w:vAlign w:val="center"/>
          </w:tcPr>
          <w:p w14:paraId="33C746E7">
            <w:pPr>
              <w:spacing w:before="0" w:after="0" w:line="240" w:lineRule="auto"/>
              <w:jc w:val="left"/>
            </w:pPr>
            <w:r>
              <w:rPr>
                <w:rFonts w:ascii="Times New Roman" w:hAnsi="Times New Roman" w:eastAsia="Times New Roman" w:cs="Times New Roman"/>
                <w:b w:val="0"/>
                <w:i w:val="0"/>
                <w:sz w:val="18"/>
              </w:rPr>
              <w:t>-0.010</w:t>
            </w:r>
          </w:p>
        </w:tc>
        <w:tc>
          <w:tcPr>
            <w:tcW w:w="2016" w:type="dxa"/>
            <w:tcBorders>
              <w:top w:val="nil"/>
              <w:left w:val="nil"/>
              <w:bottom w:val="nil"/>
              <w:right w:val="nil"/>
              <w:insideH w:val="nil"/>
              <w:insideV w:val="nil"/>
            </w:tcBorders>
            <w:vAlign w:val="center"/>
          </w:tcPr>
          <w:p w14:paraId="11E0FC16">
            <w:pPr>
              <w:spacing w:before="0" w:after="0" w:line="240" w:lineRule="auto"/>
              <w:jc w:val="left"/>
            </w:pPr>
            <w:r>
              <w:rPr>
                <w:rFonts w:ascii="Times New Roman" w:hAnsi="Times New Roman" w:eastAsia="Times New Roman" w:cs="Times New Roman"/>
                <w:b w:val="0"/>
                <w:i w:val="0"/>
                <w:sz w:val="18"/>
              </w:rPr>
              <w:t>[-0.028, 0.008]</w:t>
            </w:r>
          </w:p>
        </w:tc>
        <w:tc>
          <w:tcPr>
            <w:tcW w:w="2016" w:type="dxa"/>
            <w:tcBorders>
              <w:top w:val="nil"/>
              <w:left w:val="nil"/>
              <w:bottom w:val="nil"/>
              <w:right w:val="nil"/>
              <w:insideH w:val="nil"/>
              <w:insideV w:val="nil"/>
            </w:tcBorders>
            <w:vAlign w:val="center"/>
          </w:tcPr>
          <w:p w14:paraId="146E00F3">
            <w:pPr>
              <w:spacing w:before="0" w:after="0" w:line="240" w:lineRule="auto"/>
              <w:jc w:val="left"/>
            </w:pPr>
            <w:r>
              <w:rPr>
                <w:rFonts w:ascii="Times New Roman" w:hAnsi="Times New Roman" w:eastAsia="Times New Roman" w:cs="Times New Roman"/>
                <w:b w:val="0"/>
                <w:i w:val="0"/>
                <w:sz w:val="18"/>
              </w:rPr>
              <w:t>0.008</w:t>
            </w:r>
          </w:p>
        </w:tc>
        <w:tc>
          <w:tcPr>
            <w:tcW w:w="2016" w:type="dxa"/>
            <w:tcBorders>
              <w:top w:val="nil"/>
              <w:left w:val="nil"/>
              <w:bottom w:val="nil"/>
              <w:right w:val="nil"/>
              <w:insideH w:val="nil"/>
              <w:insideV w:val="nil"/>
            </w:tcBorders>
            <w:vAlign w:val="center"/>
          </w:tcPr>
          <w:p w14:paraId="3C7A2984">
            <w:pPr>
              <w:spacing w:before="0" w:after="0" w:line="240" w:lineRule="auto"/>
              <w:jc w:val="left"/>
            </w:pPr>
            <w:r>
              <w:rPr>
                <w:rFonts w:ascii="Times New Roman" w:hAnsi="Times New Roman" w:eastAsia="Times New Roman" w:cs="Times New Roman"/>
                <w:b w:val="0"/>
                <w:i w:val="0"/>
                <w:sz w:val="18"/>
              </w:rPr>
              <w:t>[-0.006, 0.022]</w:t>
            </w:r>
          </w:p>
        </w:tc>
      </w:tr>
      <w:tr w14:paraId="6E45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3D8D7702">
            <w:pPr>
              <w:spacing w:before="0" w:after="0" w:line="240" w:lineRule="auto"/>
              <w:jc w:val="left"/>
            </w:pPr>
            <w:r>
              <w:rPr>
                <w:rFonts w:ascii="Times New Roman" w:hAnsi="Times New Roman" w:eastAsia="Times New Roman" w:cs="Times New Roman"/>
                <w:b w:val="0"/>
                <w:i w:val="0"/>
                <w:sz w:val="18"/>
              </w:rPr>
              <w:t>-4</w:t>
            </w:r>
          </w:p>
        </w:tc>
        <w:tc>
          <w:tcPr>
            <w:tcW w:w="2016" w:type="dxa"/>
            <w:tcBorders>
              <w:top w:val="nil"/>
              <w:left w:val="nil"/>
              <w:bottom w:val="nil"/>
              <w:right w:val="nil"/>
              <w:insideH w:val="nil"/>
              <w:insideV w:val="nil"/>
            </w:tcBorders>
            <w:vAlign w:val="center"/>
          </w:tcPr>
          <w:p w14:paraId="36030DCB">
            <w:pPr>
              <w:spacing w:before="0" w:after="0" w:line="240" w:lineRule="auto"/>
              <w:jc w:val="left"/>
            </w:pPr>
            <w:r>
              <w:rPr>
                <w:rFonts w:ascii="Times New Roman" w:hAnsi="Times New Roman" w:eastAsia="Times New Roman" w:cs="Times New Roman"/>
                <w:b w:val="0"/>
                <w:i w:val="0"/>
                <w:sz w:val="18"/>
              </w:rPr>
              <w:t>-0.005</w:t>
            </w:r>
          </w:p>
        </w:tc>
        <w:tc>
          <w:tcPr>
            <w:tcW w:w="2016" w:type="dxa"/>
            <w:tcBorders>
              <w:top w:val="nil"/>
              <w:left w:val="nil"/>
              <w:bottom w:val="nil"/>
              <w:right w:val="nil"/>
              <w:insideH w:val="nil"/>
              <w:insideV w:val="nil"/>
            </w:tcBorders>
            <w:vAlign w:val="center"/>
          </w:tcPr>
          <w:p w14:paraId="53A8B15E">
            <w:pPr>
              <w:spacing w:before="0" w:after="0" w:line="240" w:lineRule="auto"/>
              <w:jc w:val="left"/>
            </w:pPr>
            <w:r>
              <w:rPr>
                <w:rFonts w:ascii="Times New Roman" w:hAnsi="Times New Roman" w:eastAsia="Times New Roman" w:cs="Times New Roman"/>
                <w:b w:val="0"/>
                <w:i w:val="0"/>
                <w:sz w:val="18"/>
              </w:rPr>
              <w:t>[-0.023, 0.013]</w:t>
            </w:r>
          </w:p>
        </w:tc>
        <w:tc>
          <w:tcPr>
            <w:tcW w:w="2016" w:type="dxa"/>
            <w:tcBorders>
              <w:top w:val="nil"/>
              <w:left w:val="nil"/>
              <w:bottom w:val="nil"/>
              <w:right w:val="nil"/>
              <w:insideH w:val="nil"/>
              <w:insideV w:val="nil"/>
            </w:tcBorders>
            <w:vAlign w:val="center"/>
          </w:tcPr>
          <w:p w14:paraId="2F09E351">
            <w:pPr>
              <w:spacing w:before="0" w:after="0" w:line="240" w:lineRule="auto"/>
              <w:jc w:val="left"/>
            </w:pPr>
            <w:r>
              <w:rPr>
                <w:rFonts w:ascii="Times New Roman" w:hAnsi="Times New Roman" w:eastAsia="Times New Roman" w:cs="Times New Roman"/>
                <w:b w:val="0"/>
                <w:i w:val="0"/>
                <w:sz w:val="18"/>
              </w:rPr>
              <w:t>0.012</w:t>
            </w:r>
          </w:p>
        </w:tc>
        <w:tc>
          <w:tcPr>
            <w:tcW w:w="2016" w:type="dxa"/>
            <w:tcBorders>
              <w:top w:val="nil"/>
              <w:left w:val="nil"/>
              <w:bottom w:val="nil"/>
              <w:right w:val="nil"/>
              <w:insideH w:val="nil"/>
              <w:insideV w:val="nil"/>
            </w:tcBorders>
            <w:vAlign w:val="center"/>
          </w:tcPr>
          <w:p w14:paraId="4F1D5E29">
            <w:pPr>
              <w:spacing w:before="0" w:after="0" w:line="240" w:lineRule="auto"/>
              <w:jc w:val="left"/>
            </w:pPr>
            <w:r>
              <w:rPr>
                <w:rFonts w:ascii="Times New Roman" w:hAnsi="Times New Roman" w:eastAsia="Times New Roman" w:cs="Times New Roman"/>
                <w:b w:val="0"/>
                <w:i w:val="0"/>
                <w:sz w:val="18"/>
              </w:rPr>
              <w:t>[-0.002, 0.026]</w:t>
            </w:r>
          </w:p>
        </w:tc>
      </w:tr>
      <w:tr w14:paraId="0ABF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696EC118">
            <w:pPr>
              <w:spacing w:before="0" w:after="0" w:line="240" w:lineRule="auto"/>
              <w:jc w:val="left"/>
            </w:pPr>
            <w:r>
              <w:rPr>
                <w:rFonts w:ascii="Times New Roman" w:hAnsi="Times New Roman" w:eastAsia="Times New Roman" w:cs="Times New Roman"/>
                <w:b w:val="0"/>
                <w:i w:val="0"/>
                <w:sz w:val="18"/>
              </w:rPr>
              <w:t>-3</w:t>
            </w:r>
          </w:p>
        </w:tc>
        <w:tc>
          <w:tcPr>
            <w:tcW w:w="2016" w:type="dxa"/>
            <w:tcBorders>
              <w:top w:val="nil"/>
              <w:left w:val="nil"/>
              <w:bottom w:val="nil"/>
              <w:right w:val="nil"/>
              <w:insideH w:val="nil"/>
              <w:insideV w:val="nil"/>
            </w:tcBorders>
            <w:vAlign w:val="center"/>
          </w:tcPr>
          <w:p w14:paraId="65288148">
            <w:pPr>
              <w:spacing w:before="0" w:after="0" w:line="240" w:lineRule="auto"/>
              <w:jc w:val="left"/>
            </w:pPr>
            <w:r>
              <w:rPr>
                <w:rFonts w:ascii="Times New Roman" w:hAnsi="Times New Roman" w:eastAsia="Times New Roman" w:cs="Times New Roman"/>
                <w:b w:val="0"/>
                <w:i w:val="0"/>
                <w:sz w:val="18"/>
              </w:rPr>
              <w:t>-0.018</w:t>
            </w:r>
          </w:p>
        </w:tc>
        <w:tc>
          <w:tcPr>
            <w:tcW w:w="2016" w:type="dxa"/>
            <w:tcBorders>
              <w:top w:val="nil"/>
              <w:left w:val="nil"/>
              <w:bottom w:val="nil"/>
              <w:right w:val="nil"/>
              <w:insideH w:val="nil"/>
              <w:insideV w:val="nil"/>
            </w:tcBorders>
            <w:vAlign w:val="center"/>
          </w:tcPr>
          <w:p w14:paraId="04E89039">
            <w:pPr>
              <w:spacing w:before="0" w:after="0" w:line="240" w:lineRule="auto"/>
              <w:jc w:val="left"/>
            </w:pPr>
            <w:r>
              <w:rPr>
                <w:rFonts w:ascii="Times New Roman" w:hAnsi="Times New Roman" w:eastAsia="Times New Roman" w:cs="Times New Roman"/>
                <w:b w:val="0"/>
                <w:i w:val="0"/>
                <w:sz w:val="18"/>
              </w:rPr>
              <w:t>[-0.042, 0.006]</w:t>
            </w:r>
          </w:p>
        </w:tc>
        <w:tc>
          <w:tcPr>
            <w:tcW w:w="2016" w:type="dxa"/>
            <w:tcBorders>
              <w:top w:val="nil"/>
              <w:left w:val="nil"/>
              <w:bottom w:val="nil"/>
              <w:right w:val="nil"/>
              <w:insideH w:val="nil"/>
              <w:insideV w:val="nil"/>
            </w:tcBorders>
            <w:vAlign w:val="center"/>
          </w:tcPr>
          <w:p w14:paraId="416D1567">
            <w:pPr>
              <w:spacing w:before="0" w:after="0" w:line="240" w:lineRule="auto"/>
              <w:jc w:val="left"/>
            </w:pPr>
            <w:r>
              <w:rPr>
                <w:rFonts w:ascii="Times New Roman" w:hAnsi="Times New Roman" w:eastAsia="Times New Roman" w:cs="Times New Roman"/>
                <w:b w:val="0"/>
                <w:i w:val="0"/>
                <w:sz w:val="18"/>
              </w:rPr>
              <w:t>0.010</w:t>
            </w:r>
          </w:p>
        </w:tc>
        <w:tc>
          <w:tcPr>
            <w:tcW w:w="2016" w:type="dxa"/>
            <w:tcBorders>
              <w:top w:val="nil"/>
              <w:left w:val="nil"/>
              <w:bottom w:val="nil"/>
              <w:right w:val="nil"/>
              <w:insideH w:val="nil"/>
              <w:insideV w:val="nil"/>
            </w:tcBorders>
            <w:vAlign w:val="center"/>
          </w:tcPr>
          <w:p w14:paraId="07854F3B">
            <w:pPr>
              <w:spacing w:before="0" w:after="0" w:line="240" w:lineRule="auto"/>
              <w:jc w:val="left"/>
            </w:pPr>
            <w:r>
              <w:rPr>
                <w:rFonts w:ascii="Times New Roman" w:hAnsi="Times New Roman" w:eastAsia="Times New Roman" w:cs="Times New Roman"/>
                <w:b w:val="0"/>
                <w:i w:val="0"/>
                <w:sz w:val="18"/>
              </w:rPr>
              <w:t>[-0.004, 0.024]</w:t>
            </w:r>
          </w:p>
        </w:tc>
      </w:tr>
      <w:tr w14:paraId="0200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67713A1D">
            <w:pPr>
              <w:spacing w:before="0" w:after="0" w:line="240" w:lineRule="auto"/>
              <w:jc w:val="left"/>
            </w:pPr>
            <w:r>
              <w:rPr>
                <w:rFonts w:ascii="Times New Roman" w:hAnsi="Times New Roman" w:eastAsia="Times New Roman" w:cs="Times New Roman"/>
                <w:b w:val="0"/>
                <w:i w:val="0"/>
                <w:sz w:val="18"/>
              </w:rPr>
              <w:t>-2</w:t>
            </w:r>
          </w:p>
        </w:tc>
        <w:tc>
          <w:tcPr>
            <w:tcW w:w="2016" w:type="dxa"/>
            <w:tcBorders>
              <w:top w:val="nil"/>
              <w:left w:val="nil"/>
              <w:bottom w:val="nil"/>
              <w:right w:val="nil"/>
              <w:insideH w:val="nil"/>
              <w:insideV w:val="nil"/>
            </w:tcBorders>
            <w:vAlign w:val="center"/>
          </w:tcPr>
          <w:p w14:paraId="1ED1262E">
            <w:pPr>
              <w:spacing w:before="0" w:after="0" w:line="240" w:lineRule="auto"/>
              <w:jc w:val="left"/>
            </w:pPr>
            <w:r>
              <w:rPr>
                <w:rFonts w:ascii="Times New Roman" w:hAnsi="Times New Roman" w:eastAsia="Times New Roman" w:cs="Times New Roman"/>
                <w:b w:val="0"/>
                <w:i w:val="0"/>
                <w:sz w:val="18"/>
              </w:rPr>
              <w:t>-0.023</w:t>
            </w:r>
          </w:p>
        </w:tc>
        <w:tc>
          <w:tcPr>
            <w:tcW w:w="2016" w:type="dxa"/>
            <w:tcBorders>
              <w:top w:val="nil"/>
              <w:left w:val="nil"/>
              <w:bottom w:val="nil"/>
              <w:right w:val="nil"/>
              <w:insideH w:val="nil"/>
              <w:insideV w:val="nil"/>
            </w:tcBorders>
            <w:vAlign w:val="center"/>
          </w:tcPr>
          <w:p w14:paraId="350A82F3">
            <w:pPr>
              <w:spacing w:before="0" w:after="0" w:line="240" w:lineRule="auto"/>
              <w:jc w:val="left"/>
            </w:pPr>
            <w:r>
              <w:rPr>
                <w:rFonts w:ascii="Times New Roman" w:hAnsi="Times New Roman" w:eastAsia="Times New Roman" w:cs="Times New Roman"/>
                <w:b w:val="0"/>
                <w:i w:val="0"/>
                <w:sz w:val="18"/>
              </w:rPr>
              <w:t>[-0.050, 0.004]</w:t>
            </w:r>
          </w:p>
        </w:tc>
        <w:tc>
          <w:tcPr>
            <w:tcW w:w="2016" w:type="dxa"/>
            <w:tcBorders>
              <w:top w:val="nil"/>
              <w:left w:val="nil"/>
              <w:bottom w:val="nil"/>
              <w:right w:val="nil"/>
              <w:insideH w:val="nil"/>
              <w:insideV w:val="nil"/>
            </w:tcBorders>
            <w:vAlign w:val="center"/>
          </w:tcPr>
          <w:p w14:paraId="3831D6F1">
            <w:pPr>
              <w:spacing w:before="0" w:after="0" w:line="240" w:lineRule="auto"/>
              <w:jc w:val="left"/>
            </w:pPr>
            <w:r>
              <w:rPr>
                <w:rFonts w:ascii="Times New Roman" w:hAnsi="Times New Roman" w:eastAsia="Times New Roman" w:cs="Times New Roman"/>
                <w:b w:val="0"/>
                <w:i w:val="0"/>
                <w:sz w:val="18"/>
              </w:rPr>
              <w:t>0.019</w:t>
            </w:r>
          </w:p>
        </w:tc>
        <w:tc>
          <w:tcPr>
            <w:tcW w:w="2016" w:type="dxa"/>
            <w:tcBorders>
              <w:top w:val="nil"/>
              <w:left w:val="nil"/>
              <w:bottom w:val="nil"/>
              <w:right w:val="nil"/>
              <w:insideH w:val="nil"/>
              <w:insideV w:val="nil"/>
            </w:tcBorders>
            <w:vAlign w:val="center"/>
          </w:tcPr>
          <w:p w14:paraId="415BECB1">
            <w:pPr>
              <w:spacing w:before="0" w:after="0" w:line="240" w:lineRule="auto"/>
              <w:jc w:val="left"/>
            </w:pPr>
            <w:r>
              <w:rPr>
                <w:rFonts w:ascii="Times New Roman" w:hAnsi="Times New Roman" w:eastAsia="Times New Roman" w:cs="Times New Roman"/>
                <w:b w:val="0"/>
                <w:i w:val="0"/>
                <w:sz w:val="18"/>
              </w:rPr>
              <w:t>[-0.003, 0.044]</w:t>
            </w:r>
          </w:p>
        </w:tc>
      </w:tr>
      <w:tr w14:paraId="611E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581A411E">
            <w:pPr>
              <w:spacing w:before="0" w:after="0" w:line="240" w:lineRule="auto"/>
              <w:jc w:val="left"/>
            </w:pPr>
            <w:r>
              <w:rPr>
                <w:rFonts w:ascii="Times New Roman" w:hAnsi="Times New Roman" w:eastAsia="Times New Roman" w:cs="Times New Roman"/>
                <w:b w:val="0"/>
                <w:i w:val="0"/>
                <w:sz w:val="18"/>
              </w:rPr>
              <w:t>-1</w:t>
            </w:r>
          </w:p>
        </w:tc>
        <w:tc>
          <w:tcPr>
            <w:tcW w:w="2016" w:type="dxa"/>
            <w:tcBorders>
              <w:top w:val="nil"/>
              <w:left w:val="nil"/>
              <w:bottom w:val="nil"/>
              <w:right w:val="nil"/>
              <w:insideH w:val="nil"/>
              <w:insideV w:val="nil"/>
            </w:tcBorders>
            <w:vAlign w:val="center"/>
          </w:tcPr>
          <w:p w14:paraId="3102938E">
            <w:pPr>
              <w:spacing w:before="0" w:after="0" w:line="240" w:lineRule="auto"/>
              <w:jc w:val="left"/>
            </w:pPr>
            <w:r>
              <w:rPr>
                <w:rFonts w:ascii="Times New Roman" w:hAnsi="Times New Roman" w:eastAsia="Times New Roman" w:cs="Times New Roman"/>
                <w:b w:val="0"/>
                <w:i w:val="0"/>
                <w:sz w:val="18"/>
              </w:rPr>
              <w:t>0.000</w:t>
            </w:r>
          </w:p>
        </w:tc>
        <w:tc>
          <w:tcPr>
            <w:tcW w:w="2016" w:type="dxa"/>
            <w:tcBorders>
              <w:top w:val="nil"/>
              <w:left w:val="nil"/>
              <w:bottom w:val="nil"/>
              <w:right w:val="nil"/>
              <w:insideH w:val="nil"/>
              <w:insideV w:val="nil"/>
            </w:tcBorders>
            <w:vAlign w:val="center"/>
          </w:tcPr>
          <w:p w14:paraId="6C6A10E2">
            <w:pPr>
              <w:spacing w:before="0" w:after="0" w:line="240" w:lineRule="auto"/>
              <w:jc w:val="left"/>
            </w:pPr>
            <w:r>
              <w:rPr>
                <w:rFonts w:ascii="Times New Roman" w:hAnsi="Times New Roman" w:eastAsia="Times New Roman" w:cs="Times New Roman"/>
                <w:b w:val="0"/>
                <w:i w:val="0"/>
                <w:sz w:val="18"/>
              </w:rPr>
              <w:t>[0.000, 0.000]</w:t>
            </w:r>
          </w:p>
        </w:tc>
        <w:tc>
          <w:tcPr>
            <w:tcW w:w="2016" w:type="dxa"/>
            <w:tcBorders>
              <w:top w:val="nil"/>
              <w:left w:val="nil"/>
              <w:bottom w:val="nil"/>
              <w:right w:val="nil"/>
              <w:insideH w:val="nil"/>
              <w:insideV w:val="nil"/>
            </w:tcBorders>
            <w:vAlign w:val="center"/>
          </w:tcPr>
          <w:p w14:paraId="26FB6E2E">
            <w:pPr>
              <w:spacing w:before="0" w:after="0" w:line="240" w:lineRule="auto"/>
              <w:jc w:val="left"/>
            </w:pPr>
            <w:r>
              <w:rPr>
                <w:rFonts w:ascii="Times New Roman" w:hAnsi="Times New Roman" w:eastAsia="Times New Roman" w:cs="Times New Roman"/>
                <w:b w:val="0"/>
                <w:i w:val="0"/>
                <w:sz w:val="18"/>
              </w:rPr>
              <w:t>0.000</w:t>
            </w:r>
          </w:p>
        </w:tc>
        <w:tc>
          <w:tcPr>
            <w:tcW w:w="2016" w:type="dxa"/>
            <w:tcBorders>
              <w:top w:val="nil"/>
              <w:left w:val="nil"/>
              <w:bottom w:val="nil"/>
              <w:right w:val="nil"/>
              <w:insideH w:val="nil"/>
              <w:insideV w:val="nil"/>
            </w:tcBorders>
            <w:vAlign w:val="center"/>
          </w:tcPr>
          <w:p w14:paraId="6310897F">
            <w:pPr>
              <w:spacing w:before="0" w:after="0" w:line="240" w:lineRule="auto"/>
              <w:jc w:val="left"/>
            </w:pPr>
            <w:r>
              <w:rPr>
                <w:rFonts w:ascii="Times New Roman" w:hAnsi="Times New Roman" w:eastAsia="Times New Roman" w:cs="Times New Roman"/>
                <w:b w:val="0"/>
                <w:i w:val="0"/>
                <w:sz w:val="18"/>
              </w:rPr>
              <w:t>[0.000, 0.000]</w:t>
            </w:r>
          </w:p>
        </w:tc>
      </w:tr>
      <w:tr w14:paraId="7D2C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7D97142E">
            <w:pPr>
              <w:spacing w:before="0" w:after="0" w:line="240" w:lineRule="auto"/>
              <w:jc w:val="left"/>
            </w:pPr>
            <w:r>
              <w:rPr>
                <w:rFonts w:ascii="Times New Roman" w:hAnsi="Times New Roman" w:eastAsia="Times New Roman" w:cs="Times New Roman"/>
                <w:b w:val="0"/>
                <w:i w:val="0"/>
                <w:sz w:val="18"/>
              </w:rPr>
              <w:t>0</w:t>
            </w:r>
          </w:p>
        </w:tc>
        <w:tc>
          <w:tcPr>
            <w:tcW w:w="2016" w:type="dxa"/>
            <w:tcBorders>
              <w:top w:val="nil"/>
              <w:left w:val="nil"/>
              <w:bottom w:val="nil"/>
              <w:right w:val="nil"/>
              <w:insideH w:val="nil"/>
              <w:insideV w:val="nil"/>
            </w:tcBorders>
            <w:vAlign w:val="center"/>
          </w:tcPr>
          <w:p w14:paraId="013A78A5">
            <w:pPr>
              <w:spacing w:before="0" w:after="0" w:line="240" w:lineRule="auto"/>
              <w:jc w:val="left"/>
            </w:pPr>
            <w:r>
              <w:rPr>
                <w:rFonts w:ascii="Times New Roman" w:hAnsi="Times New Roman" w:eastAsia="Times New Roman" w:cs="Times New Roman"/>
                <w:b w:val="0"/>
                <w:i w:val="0"/>
                <w:sz w:val="18"/>
              </w:rPr>
              <w:t>-0.136</w:t>
            </w:r>
          </w:p>
        </w:tc>
        <w:tc>
          <w:tcPr>
            <w:tcW w:w="2016" w:type="dxa"/>
            <w:tcBorders>
              <w:top w:val="nil"/>
              <w:left w:val="nil"/>
              <w:bottom w:val="nil"/>
              <w:right w:val="nil"/>
              <w:insideH w:val="nil"/>
              <w:insideV w:val="nil"/>
            </w:tcBorders>
            <w:vAlign w:val="center"/>
          </w:tcPr>
          <w:p w14:paraId="40B4D043">
            <w:pPr>
              <w:spacing w:before="0" w:after="0" w:line="240" w:lineRule="auto"/>
              <w:jc w:val="left"/>
            </w:pPr>
            <w:r>
              <w:rPr>
                <w:rFonts w:ascii="Times New Roman" w:hAnsi="Times New Roman" w:eastAsia="Times New Roman" w:cs="Times New Roman"/>
                <w:b w:val="0"/>
                <w:i w:val="0"/>
                <w:sz w:val="18"/>
              </w:rPr>
              <w:t>[-0.172, -0.100]</w:t>
            </w:r>
          </w:p>
        </w:tc>
        <w:tc>
          <w:tcPr>
            <w:tcW w:w="2016" w:type="dxa"/>
            <w:tcBorders>
              <w:top w:val="nil"/>
              <w:left w:val="nil"/>
              <w:bottom w:val="nil"/>
              <w:right w:val="nil"/>
              <w:insideH w:val="nil"/>
              <w:insideV w:val="nil"/>
            </w:tcBorders>
            <w:vAlign w:val="center"/>
          </w:tcPr>
          <w:p w14:paraId="1518E482">
            <w:pPr>
              <w:spacing w:before="0" w:after="0" w:line="240" w:lineRule="auto"/>
              <w:jc w:val="left"/>
            </w:pPr>
            <w:r>
              <w:rPr>
                <w:rFonts w:ascii="Times New Roman" w:hAnsi="Times New Roman" w:eastAsia="Times New Roman" w:cs="Times New Roman"/>
                <w:b w:val="0"/>
                <w:i w:val="0"/>
                <w:sz w:val="18"/>
              </w:rPr>
              <w:t>0.012</w:t>
            </w:r>
          </w:p>
        </w:tc>
        <w:tc>
          <w:tcPr>
            <w:tcW w:w="2016" w:type="dxa"/>
            <w:tcBorders>
              <w:top w:val="nil"/>
              <w:left w:val="nil"/>
              <w:bottom w:val="nil"/>
              <w:right w:val="nil"/>
              <w:insideH w:val="nil"/>
              <w:insideV w:val="nil"/>
            </w:tcBorders>
            <w:vAlign w:val="center"/>
          </w:tcPr>
          <w:p w14:paraId="16516782">
            <w:pPr>
              <w:spacing w:before="0" w:after="0" w:line="240" w:lineRule="auto"/>
              <w:jc w:val="left"/>
            </w:pPr>
            <w:r>
              <w:rPr>
                <w:rFonts w:ascii="Times New Roman" w:hAnsi="Times New Roman" w:eastAsia="Times New Roman" w:cs="Times New Roman"/>
                <w:b w:val="0"/>
                <w:i w:val="0"/>
                <w:sz w:val="18"/>
              </w:rPr>
              <w:t>[-0.015, 0.039]</w:t>
            </w:r>
          </w:p>
        </w:tc>
      </w:tr>
      <w:tr w14:paraId="78A7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5980BFBB">
            <w:pPr>
              <w:spacing w:before="0" w:after="0" w:line="240" w:lineRule="auto"/>
              <w:jc w:val="left"/>
            </w:pPr>
            <w:r>
              <w:rPr>
                <w:rFonts w:ascii="Times New Roman" w:hAnsi="Times New Roman" w:eastAsia="Times New Roman" w:cs="Times New Roman"/>
                <w:b w:val="0"/>
                <w:i w:val="0"/>
                <w:sz w:val="18"/>
              </w:rPr>
              <w:t>1</w:t>
            </w:r>
          </w:p>
        </w:tc>
        <w:tc>
          <w:tcPr>
            <w:tcW w:w="2016" w:type="dxa"/>
            <w:tcBorders>
              <w:top w:val="nil"/>
              <w:left w:val="nil"/>
              <w:bottom w:val="nil"/>
              <w:right w:val="nil"/>
              <w:insideH w:val="nil"/>
              <w:insideV w:val="nil"/>
            </w:tcBorders>
            <w:vAlign w:val="center"/>
          </w:tcPr>
          <w:p w14:paraId="20B37734">
            <w:pPr>
              <w:spacing w:before="0" w:after="0" w:line="240" w:lineRule="auto"/>
              <w:jc w:val="left"/>
            </w:pPr>
            <w:r>
              <w:rPr>
                <w:rFonts w:ascii="Times New Roman" w:hAnsi="Times New Roman" w:eastAsia="Times New Roman" w:cs="Times New Roman"/>
                <w:b w:val="0"/>
                <w:i w:val="0"/>
                <w:sz w:val="18"/>
              </w:rPr>
              <w:t>-0.294</w:t>
            </w:r>
          </w:p>
        </w:tc>
        <w:tc>
          <w:tcPr>
            <w:tcW w:w="2016" w:type="dxa"/>
            <w:tcBorders>
              <w:top w:val="nil"/>
              <w:left w:val="nil"/>
              <w:bottom w:val="nil"/>
              <w:right w:val="nil"/>
              <w:insideH w:val="nil"/>
              <w:insideV w:val="nil"/>
            </w:tcBorders>
            <w:vAlign w:val="center"/>
          </w:tcPr>
          <w:p w14:paraId="7B077B59">
            <w:pPr>
              <w:spacing w:before="0" w:after="0" w:line="240" w:lineRule="auto"/>
              <w:jc w:val="left"/>
            </w:pPr>
            <w:r>
              <w:rPr>
                <w:rFonts w:ascii="Times New Roman" w:hAnsi="Times New Roman" w:eastAsia="Times New Roman" w:cs="Times New Roman"/>
                <w:b w:val="0"/>
                <w:i w:val="0"/>
                <w:sz w:val="18"/>
              </w:rPr>
              <w:t>[-0.335, -0.253]</w:t>
            </w:r>
          </w:p>
        </w:tc>
        <w:tc>
          <w:tcPr>
            <w:tcW w:w="2016" w:type="dxa"/>
            <w:tcBorders>
              <w:top w:val="nil"/>
              <w:left w:val="nil"/>
              <w:bottom w:val="nil"/>
              <w:right w:val="nil"/>
              <w:insideH w:val="nil"/>
              <w:insideV w:val="nil"/>
            </w:tcBorders>
            <w:vAlign w:val="center"/>
          </w:tcPr>
          <w:p w14:paraId="13BCBD66">
            <w:pPr>
              <w:spacing w:before="0" w:after="0" w:line="240" w:lineRule="auto"/>
              <w:jc w:val="left"/>
            </w:pPr>
            <w:r>
              <w:rPr>
                <w:rFonts w:ascii="Times New Roman" w:hAnsi="Times New Roman" w:eastAsia="Times New Roman" w:cs="Times New Roman"/>
                <w:b w:val="0"/>
                <w:i w:val="0"/>
                <w:sz w:val="18"/>
              </w:rPr>
              <w:t>0.026</w:t>
            </w:r>
          </w:p>
        </w:tc>
        <w:tc>
          <w:tcPr>
            <w:tcW w:w="2016" w:type="dxa"/>
            <w:tcBorders>
              <w:top w:val="nil"/>
              <w:left w:val="nil"/>
              <w:bottom w:val="nil"/>
              <w:right w:val="nil"/>
              <w:insideH w:val="nil"/>
              <w:insideV w:val="nil"/>
            </w:tcBorders>
            <w:vAlign w:val="center"/>
          </w:tcPr>
          <w:p w14:paraId="4F0E80DE">
            <w:pPr>
              <w:spacing w:before="0" w:after="0" w:line="240" w:lineRule="auto"/>
              <w:jc w:val="left"/>
            </w:pPr>
            <w:r>
              <w:rPr>
                <w:rFonts w:ascii="Times New Roman" w:hAnsi="Times New Roman" w:eastAsia="Times New Roman" w:cs="Times New Roman"/>
                <w:b w:val="0"/>
                <w:i w:val="0"/>
                <w:sz w:val="18"/>
              </w:rPr>
              <w:t>[0.001, 0.046]</w:t>
            </w:r>
          </w:p>
        </w:tc>
      </w:tr>
      <w:tr w14:paraId="343D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2B43D0A0">
            <w:pPr>
              <w:spacing w:before="0" w:after="0" w:line="240" w:lineRule="auto"/>
              <w:jc w:val="left"/>
            </w:pPr>
            <w:r>
              <w:rPr>
                <w:rFonts w:ascii="Times New Roman" w:hAnsi="Times New Roman" w:eastAsia="Times New Roman" w:cs="Times New Roman"/>
                <w:b w:val="0"/>
                <w:i w:val="0"/>
                <w:sz w:val="18"/>
              </w:rPr>
              <w:t>2</w:t>
            </w:r>
          </w:p>
        </w:tc>
        <w:tc>
          <w:tcPr>
            <w:tcW w:w="2016" w:type="dxa"/>
            <w:tcBorders>
              <w:top w:val="nil"/>
              <w:left w:val="nil"/>
              <w:bottom w:val="nil"/>
              <w:right w:val="nil"/>
              <w:insideH w:val="nil"/>
              <w:insideV w:val="nil"/>
            </w:tcBorders>
            <w:vAlign w:val="center"/>
          </w:tcPr>
          <w:p w14:paraId="55F34C92">
            <w:pPr>
              <w:spacing w:before="0" w:after="0" w:line="240" w:lineRule="auto"/>
              <w:jc w:val="left"/>
            </w:pPr>
            <w:r>
              <w:rPr>
                <w:rFonts w:ascii="Times New Roman" w:hAnsi="Times New Roman" w:eastAsia="Times New Roman" w:cs="Times New Roman"/>
                <w:b w:val="0"/>
                <w:i w:val="0"/>
                <w:sz w:val="18"/>
              </w:rPr>
              <w:t>-0.421</w:t>
            </w:r>
          </w:p>
        </w:tc>
        <w:tc>
          <w:tcPr>
            <w:tcW w:w="2016" w:type="dxa"/>
            <w:tcBorders>
              <w:top w:val="nil"/>
              <w:left w:val="nil"/>
              <w:bottom w:val="nil"/>
              <w:right w:val="nil"/>
              <w:insideH w:val="nil"/>
              <w:insideV w:val="nil"/>
            </w:tcBorders>
            <w:vAlign w:val="center"/>
          </w:tcPr>
          <w:p w14:paraId="2500DE8F">
            <w:pPr>
              <w:spacing w:before="0" w:after="0" w:line="240" w:lineRule="auto"/>
              <w:jc w:val="left"/>
            </w:pPr>
            <w:r>
              <w:rPr>
                <w:rFonts w:ascii="Times New Roman" w:hAnsi="Times New Roman" w:eastAsia="Times New Roman" w:cs="Times New Roman"/>
                <w:b w:val="0"/>
                <w:i w:val="0"/>
                <w:sz w:val="18"/>
              </w:rPr>
              <w:t>[-0.467, -0.375]</w:t>
            </w:r>
          </w:p>
        </w:tc>
        <w:tc>
          <w:tcPr>
            <w:tcW w:w="2016" w:type="dxa"/>
            <w:tcBorders>
              <w:top w:val="nil"/>
              <w:left w:val="nil"/>
              <w:bottom w:val="nil"/>
              <w:right w:val="nil"/>
              <w:insideH w:val="nil"/>
              <w:insideV w:val="nil"/>
            </w:tcBorders>
            <w:vAlign w:val="center"/>
          </w:tcPr>
          <w:p w14:paraId="67BE9DB7">
            <w:pPr>
              <w:spacing w:before="0" w:after="0" w:line="240" w:lineRule="auto"/>
              <w:jc w:val="left"/>
            </w:pPr>
            <w:r>
              <w:rPr>
                <w:rFonts w:ascii="Times New Roman" w:hAnsi="Times New Roman" w:eastAsia="Times New Roman" w:cs="Times New Roman"/>
                <w:b w:val="0"/>
                <w:i w:val="0"/>
                <w:sz w:val="18"/>
              </w:rPr>
              <w:t>0.041</w:t>
            </w:r>
          </w:p>
        </w:tc>
        <w:tc>
          <w:tcPr>
            <w:tcW w:w="2016" w:type="dxa"/>
            <w:tcBorders>
              <w:top w:val="nil"/>
              <w:left w:val="nil"/>
              <w:bottom w:val="nil"/>
              <w:right w:val="nil"/>
              <w:insideH w:val="nil"/>
              <w:insideV w:val="nil"/>
            </w:tcBorders>
            <w:vAlign w:val="center"/>
          </w:tcPr>
          <w:p w14:paraId="11418C4C">
            <w:pPr>
              <w:spacing w:before="0" w:after="0" w:line="240" w:lineRule="auto"/>
              <w:jc w:val="left"/>
            </w:pPr>
            <w:r>
              <w:rPr>
                <w:rFonts w:ascii="Times New Roman" w:hAnsi="Times New Roman" w:eastAsia="Times New Roman" w:cs="Times New Roman"/>
                <w:b w:val="0"/>
                <w:i w:val="0"/>
                <w:sz w:val="18"/>
              </w:rPr>
              <w:t>[0.009, 0.073]</w:t>
            </w:r>
          </w:p>
        </w:tc>
      </w:tr>
      <w:tr w14:paraId="23DF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03C77889">
            <w:pPr>
              <w:spacing w:before="0" w:after="0" w:line="240" w:lineRule="auto"/>
              <w:jc w:val="left"/>
            </w:pPr>
            <w:r>
              <w:rPr>
                <w:rFonts w:ascii="Times New Roman" w:hAnsi="Times New Roman" w:eastAsia="Times New Roman" w:cs="Times New Roman"/>
                <w:b w:val="0"/>
                <w:i w:val="0"/>
                <w:sz w:val="18"/>
              </w:rPr>
              <w:t>3</w:t>
            </w:r>
          </w:p>
        </w:tc>
        <w:tc>
          <w:tcPr>
            <w:tcW w:w="2016" w:type="dxa"/>
            <w:tcBorders>
              <w:top w:val="nil"/>
              <w:left w:val="nil"/>
              <w:bottom w:val="nil"/>
              <w:right w:val="nil"/>
              <w:insideH w:val="nil"/>
              <w:insideV w:val="nil"/>
            </w:tcBorders>
            <w:vAlign w:val="center"/>
          </w:tcPr>
          <w:p w14:paraId="2CDB48AD">
            <w:pPr>
              <w:spacing w:before="0" w:after="0" w:line="240" w:lineRule="auto"/>
              <w:jc w:val="left"/>
            </w:pPr>
            <w:r>
              <w:rPr>
                <w:rFonts w:ascii="Times New Roman" w:hAnsi="Times New Roman" w:eastAsia="Times New Roman" w:cs="Times New Roman"/>
                <w:b w:val="0"/>
                <w:i w:val="0"/>
                <w:sz w:val="18"/>
              </w:rPr>
              <w:t>-0.388</w:t>
            </w:r>
          </w:p>
        </w:tc>
        <w:tc>
          <w:tcPr>
            <w:tcW w:w="2016" w:type="dxa"/>
            <w:tcBorders>
              <w:top w:val="nil"/>
              <w:left w:val="nil"/>
              <w:bottom w:val="nil"/>
              <w:right w:val="nil"/>
              <w:insideH w:val="nil"/>
              <w:insideV w:val="nil"/>
            </w:tcBorders>
            <w:vAlign w:val="center"/>
          </w:tcPr>
          <w:p w14:paraId="5649A6C1">
            <w:pPr>
              <w:spacing w:before="0" w:after="0" w:line="240" w:lineRule="auto"/>
              <w:jc w:val="left"/>
            </w:pPr>
            <w:r>
              <w:rPr>
                <w:rFonts w:ascii="Times New Roman" w:hAnsi="Times New Roman" w:eastAsia="Times New Roman" w:cs="Times New Roman"/>
                <w:b w:val="0"/>
                <w:i w:val="0"/>
                <w:sz w:val="18"/>
              </w:rPr>
              <w:t>[-0.436, -0.340]</w:t>
            </w:r>
          </w:p>
        </w:tc>
        <w:tc>
          <w:tcPr>
            <w:tcW w:w="2016" w:type="dxa"/>
            <w:tcBorders>
              <w:top w:val="nil"/>
              <w:left w:val="nil"/>
              <w:bottom w:val="nil"/>
              <w:right w:val="nil"/>
              <w:insideH w:val="nil"/>
              <w:insideV w:val="nil"/>
            </w:tcBorders>
            <w:vAlign w:val="center"/>
          </w:tcPr>
          <w:p w14:paraId="1F92F0FA">
            <w:pPr>
              <w:spacing w:before="0" w:after="0" w:line="240" w:lineRule="auto"/>
              <w:jc w:val="left"/>
            </w:pPr>
            <w:r>
              <w:rPr>
                <w:rFonts w:ascii="Times New Roman" w:hAnsi="Times New Roman" w:eastAsia="Times New Roman" w:cs="Times New Roman"/>
                <w:b w:val="0"/>
                <w:i w:val="0"/>
                <w:sz w:val="18"/>
              </w:rPr>
              <w:t>0.056</w:t>
            </w:r>
          </w:p>
        </w:tc>
        <w:tc>
          <w:tcPr>
            <w:tcW w:w="2016" w:type="dxa"/>
            <w:tcBorders>
              <w:top w:val="nil"/>
              <w:left w:val="nil"/>
              <w:bottom w:val="nil"/>
              <w:right w:val="nil"/>
              <w:insideH w:val="nil"/>
              <w:insideV w:val="nil"/>
            </w:tcBorders>
            <w:vAlign w:val="center"/>
          </w:tcPr>
          <w:p w14:paraId="3BB92C8A">
            <w:pPr>
              <w:spacing w:before="0" w:after="0" w:line="240" w:lineRule="auto"/>
              <w:jc w:val="left"/>
            </w:pPr>
            <w:r>
              <w:rPr>
                <w:rFonts w:ascii="Times New Roman" w:hAnsi="Times New Roman" w:eastAsia="Times New Roman" w:cs="Times New Roman"/>
                <w:b w:val="0"/>
                <w:i w:val="0"/>
                <w:sz w:val="18"/>
              </w:rPr>
              <w:t>[0.019, 0.093]</w:t>
            </w:r>
          </w:p>
        </w:tc>
      </w:tr>
      <w:tr w14:paraId="045D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45D416FB">
            <w:pPr>
              <w:spacing w:before="0" w:after="0" w:line="240" w:lineRule="auto"/>
              <w:jc w:val="left"/>
            </w:pPr>
            <w:r>
              <w:rPr>
                <w:rFonts w:ascii="Times New Roman" w:hAnsi="Times New Roman" w:eastAsia="Times New Roman" w:cs="Times New Roman"/>
                <w:b w:val="0"/>
                <w:i w:val="0"/>
                <w:sz w:val="18"/>
              </w:rPr>
              <w:t>4</w:t>
            </w:r>
          </w:p>
        </w:tc>
        <w:tc>
          <w:tcPr>
            <w:tcW w:w="2016" w:type="dxa"/>
            <w:tcBorders>
              <w:top w:val="nil"/>
              <w:left w:val="nil"/>
              <w:bottom w:val="nil"/>
              <w:right w:val="nil"/>
              <w:insideH w:val="nil"/>
              <w:insideV w:val="nil"/>
            </w:tcBorders>
            <w:vAlign w:val="center"/>
          </w:tcPr>
          <w:p w14:paraId="01C2A6ED">
            <w:pPr>
              <w:spacing w:before="0" w:after="0" w:line="240" w:lineRule="auto"/>
              <w:jc w:val="left"/>
            </w:pPr>
            <w:r>
              <w:rPr>
                <w:rFonts w:ascii="Times New Roman" w:hAnsi="Times New Roman" w:eastAsia="Times New Roman" w:cs="Times New Roman"/>
                <w:b w:val="0"/>
                <w:i w:val="0"/>
                <w:sz w:val="18"/>
              </w:rPr>
              <w:t>-0.321</w:t>
            </w:r>
          </w:p>
        </w:tc>
        <w:tc>
          <w:tcPr>
            <w:tcW w:w="2016" w:type="dxa"/>
            <w:tcBorders>
              <w:top w:val="nil"/>
              <w:left w:val="nil"/>
              <w:bottom w:val="nil"/>
              <w:right w:val="nil"/>
              <w:insideH w:val="nil"/>
              <w:insideV w:val="nil"/>
            </w:tcBorders>
            <w:vAlign w:val="center"/>
          </w:tcPr>
          <w:p w14:paraId="49B06934">
            <w:pPr>
              <w:spacing w:before="0" w:after="0" w:line="240" w:lineRule="auto"/>
              <w:jc w:val="left"/>
            </w:pPr>
            <w:r>
              <w:rPr>
                <w:rFonts w:ascii="Times New Roman" w:hAnsi="Times New Roman" w:eastAsia="Times New Roman" w:cs="Times New Roman"/>
                <w:b w:val="0"/>
                <w:i w:val="0"/>
                <w:sz w:val="18"/>
              </w:rPr>
              <w:t>[-0.373, -0.269]</w:t>
            </w:r>
          </w:p>
        </w:tc>
        <w:tc>
          <w:tcPr>
            <w:tcW w:w="2016" w:type="dxa"/>
            <w:tcBorders>
              <w:top w:val="nil"/>
              <w:left w:val="nil"/>
              <w:bottom w:val="nil"/>
              <w:right w:val="nil"/>
              <w:insideH w:val="nil"/>
              <w:insideV w:val="nil"/>
            </w:tcBorders>
            <w:vAlign w:val="center"/>
          </w:tcPr>
          <w:p w14:paraId="5D99239E">
            <w:pPr>
              <w:spacing w:before="0" w:after="0" w:line="240" w:lineRule="auto"/>
              <w:jc w:val="left"/>
            </w:pPr>
            <w:r>
              <w:rPr>
                <w:rFonts w:ascii="Times New Roman" w:hAnsi="Times New Roman" w:eastAsia="Times New Roman" w:cs="Times New Roman"/>
                <w:b w:val="0"/>
                <w:i w:val="0"/>
                <w:sz w:val="18"/>
              </w:rPr>
              <w:t>0.069</w:t>
            </w:r>
          </w:p>
        </w:tc>
        <w:tc>
          <w:tcPr>
            <w:tcW w:w="2016" w:type="dxa"/>
            <w:tcBorders>
              <w:top w:val="nil"/>
              <w:left w:val="nil"/>
              <w:bottom w:val="nil"/>
              <w:right w:val="nil"/>
              <w:insideH w:val="nil"/>
              <w:insideV w:val="nil"/>
            </w:tcBorders>
            <w:vAlign w:val="center"/>
          </w:tcPr>
          <w:p w14:paraId="39096D33">
            <w:pPr>
              <w:spacing w:before="0" w:after="0" w:line="240" w:lineRule="auto"/>
              <w:jc w:val="left"/>
            </w:pPr>
            <w:r>
              <w:rPr>
                <w:rFonts w:ascii="Times New Roman" w:hAnsi="Times New Roman" w:eastAsia="Times New Roman" w:cs="Times New Roman"/>
                <w:b w:val="0"/>
                <w:i w:val="0"/>
                <w:sz w:val="18"/>
              </w:rPr>
              <w:t>[0.031, 0.107]</w:t>
            </w:r>
          </w:p>
        </w:tc>
      </w:tr>
      <w:tr w14:paraId="066A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2E526CAE">
            <w:pPr>
              <w:spacing w:before="0" w:after="0" w:line="240" w:lineRule="auto"/>
              <w:jc w:val="left"/>
            </w:pPr>
            <w:r>
              <w:rPr>
                <w:rFonts w:ascii="Times New Roman" w:hAnsi="Times New Roman" w:eastAsia="Times New Roman" w:cs="Times New Roman"/>
                <w:b w:val="0"/>
                <w:i w:val="0"/>
                <w:sz w:val="18"/>
              </w:rPr>
              <w:t>5</w:t>
            </w:r>
          </w:p>
        </w:tc>
        <w:tc>
          <w:tcPr>
            <w:tcW w:w="2016" w:type="dxa"/>
            <w:tcBorders>
              <w:top w:val="nil"/>
              <w:left w:val="nil"/>
              <w:bottom w:val="nil"/>
              <w:right w:val="nil"/>
              <w:insideH w:val="nil"/>
              <w:insideV w:val="nil"/>
            </w:tcBorders>
            <w:vAlign w:val="center"/>
          </w:tcPr>
          <w:p w14:paraId="6AD8C9E4">
            <w:pPr>
              <w:spacing w:before="0" w:after="0" w:line="240" w:lineRule="auto"/>
              <w:jc w:val="left"/>
            </w:pPr>
            <w:r>
              <w:rPr>
                <w:rFonts w:ascii="Times New Roman" w:hAnsi="Times New Roman" w:eastAsia="Times New Roman" w:cs="Times New Roman"/>
                <w:b w:val="0"/>
                <w:i w:val="0"/>
                <w:sz w:val="18"/>
              </w:rPr>
              <w:t>-0.247</w:t>
            </w:r>
          </w:p>
        </w:tc>
        <w:tc>
          <w:tcPr>
            <w:tcW w:w="2016" w:type="dxa"/>
            <w:tcBorders>
              <w:top w:val="nil"/>
              <w:left w:val="nil"/>
              <w:bottom w:val="nil"/>
              <w:right w:val="nil"/>
              <w:insideH w:val="nil"/>
              <w:insideV w:val="nil"/>
            </w:tcBorders>
            <w:vAlign w:val="center"/>
          </w:tcPr>
          <w:p w14:paraId="68183CD4">
            <w:pPr>
              <w:spacing w:before="0" w:after="0" w:line="240" w:lineRule="auto"/>
              <w:jc w:val="left"/>
            </w:pPr>
            <w:r>
              <w:rPr>
                <w:rFonts w:ascii="Times New Roman" w:hAnsi="Times New Roman" w:eastAsia="Times New Roman" w:cs="Times New Roman"/>
                <w:b w:val="0"/>
                <w:i w:val="0"/>
                <w:sz w:val="18"/>
              </w:rPr>
              <w:t>[-0.299, -0.195]</w:t>
            </w:r>
          </w:p>
        </w:tc>
        <w:tc>
          <w:tcPr>
            <w:tcW w:w="2016" w:type="dxa"/>
            <w:tcBorders>
              <w:top w:val="nil"/>
              <w:left w:val="nil"/>
              <w:bottom w:val="nil"/>
              <w:right w:val="nil"/>
              <w:insideH w:val="nil"/>
              <w:insideV w:val="nil"/>
            </w:tcBorders>
            <w:vAlign w:val="center"/>
          </w:tcPr>
          <w:p w14:paraId="0C606252">
            <w:pPr>
              <w:spacing w:before="0" w:after="0" w:line="240" w:lineRule="auto"/>
              <w:jc w:val="left"/>
            </w:pPr>
            <w:r>
              <w:rPr>
                <w:rFonts w:ascii="Times New Roman" w:hAnsi="Times New Roman" w:eastAsia="Times New Roman" w:cs="Times New Roman"/>
                <w:b w:val="0"/>
                <w:i w:val="0"/>
                <w:sz w:val="18"/>
              </w:rPr>
              <w:t>0.067</w:t>
            </w:r>
          </w:p>
        </w:tc>
        <w:tc>
          <w:tcPr>
            <w:tcW w:w="2016" w:type="dxa"/>
            <w:tcBorders>
              <w:top w:val="nil"/>
              <w:left w:val="nil"/>
              <w:bottom w:val="nil"/>
              <w:right w:val="nil"/>
              <w:insideH w:val="nil"/>
              <w:insideV w:val="nil"/>
            </w:tcBorders>
            <w:vAlign w:val="center"/>
          </w:tcPr>
          <w:p w14:paraId="69425417">
            <w:pPr>
              <w:spacing w:before="0" w:after="0" w:line="240" w:lineRule="auto"/>
              <w:jc w:val="left"/>
            </w:pPr>
            <w:r>
              <w:rPr>
                <w:rFonts w:ascii="Times New Roman" w:hAnsi="Times New Roman" w:eastAsia="Times New Roman" w:cs="Times New Roman"/>
                <w:b w:val="0"/>
                <w:i w:val="0"/>
                <w:sz w:val="18"/>
              </w:rPr>
              <w:t>[0.023, 0.111]</w:t>
            </w:r>
          </w:p>
        </w:tc>
      </w:tr>
      <w:tr w14:paraId="32E9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127DCC40">
            <w:pPr>
              <w:spacing w:before="0" w:after="0" w:line="240" w:lineRule="auto"/>
              <w:jc w:val="left"/>
            </w:pPr>
            <w:r>
              <w:rPr>
                <w:rFonts w:ascii="Times New Roman" w:hAnsi="Times New Roman" w:eastAsia="Times New Roman" w:cs="Times New Roman"/>
                <w:b w:val="0"/>
                <w:i w:val="0"/>
                <w:sz w:val="18"/>
              </w:rPr>
              <w:t>6</w:t>
            </w:r>
          </w:p>
        </w:tc>
        <w:tc>
          <w:tcPr>
            <w:tcW w:w="2016" w:type="dxa"/>
            <w:tcBorders>
              <w:top w:val="nil"/>
              <w:left w:val="nil"/>
              <w:bottom w:val="nil"/>
              <w:right w:val="nil"/>
              <w:insideH w:val="nil"/>
              <w:insideV w:val="nil"/>
            </w:tcBorders>
            <w:vAlign w:val="center"/>
          </w:tcPr>
          <w:p w14:paraId="404F0C7D">
            <w:pPr>
              <w:spacing w:before="0" w:after="0" w:line="240" w:lineRule="auto"/>
              <w:jc w:val="left"/>
            </w:pPr>
            <w:r>
              <w:rPr>
                <w:rFonts w:ascii="Times New Roman" w:hAnsi="Times New Roman" w:eastAsia="Times New Roman" w:cs="Times New Roman"/>
                <w:b w:val="0"/>
                <w:i w:val="0"/>
                <w:sz w:val="18"/>
              </w:rPr>
              <w:t>-0.228</w:t>
            </w:r>
          </w:p>
        </w:tc>
        <w:tc>
          <w:tcPr>
            <w:tcW w:w="2016" w:type="dxa"/>
            <w:tcBorders>
              <w:top w:val="nil"/>
              <w:left w:val="nil"/>
              <w:bottom w:val="nil"/>
              <w:right w:val="nil"/>
              <w:insideH w:val="nil"/>
              <w:insideV w:val="nil"/>
            </w:tcBorders>
            <w:vAlign w:val="center"/>
          </w:tcPr>
          <w:p w14:paraId="2F807ADB">
            <w:pPr>
              <w:spacing w:before="0" w:after="0" w:line="240" w:lineRule="auto"/>
              <w:jc w:val="left"/>
            </w:pPr>
            <w:r>
              <w:rPr>
                <w:rFonts w:ascii="Times New Roman" w:hAnsi="Times New Roman" w:eastAsia="Times New Roman" w:cs="Times New Roman"/>
                <w:b w:val="0"/>
                <w:i w:val="0"/>
                <w:sz w:val="18"/>
              </w:rPr>
              <w:t>[-0.283, -0.173]</w:t>
            </w:r>
          </w:p>
        </w:tc>
        <w:tc>
          <w:tcPr>
            <w:tcW w:w="2016" w:type="dxa"/>
            <w:tcBorders>
              <w:top w:val="nil"/>
              <w:left w:val="nil"/>
              <w:bottom w:val="nil"/>
              <w:right w:val="nil"/>
              <w:insideH w:val="nil"/>
              <w:insideV w:val="nil"/>
            </w:tcBorders>
            <w:vAlign w:val="center"/>
          </w:tcPr>
          <w:p w14:paraId="6A9F5F38">
            <w:pPr>
              <w:spacing w:before="0" w:after="0" w:line="240" w:lineRule="auto"/>
              <w:jc w:val="left"/>
            </w:pPr>
            <w:r>
              <w:rPr>
                <w:rFonts w:ascii="Times New Roman" w:hAnsi="Times New Roman" w:eastAsia="Times New Roman" w:cs="Times New Roman"/>
                <w:b w:val="0"/>
                <w:i w:val="0"/>
                <w:sz w:val="18"/>
              </w:rPr>
              <w:t>0.066</w:t>
            </w:r>
          </w:p>
        </w:tc>
        <w:tc>
          <w:tcPr>
            <w:tcW w:w="2016" w:type="dxa"/>
            <w:tcBorders>
              <w:top w:val="nil"/>
              <w:left w:val="nil"/>
              <w:bottom w:val="nil"/>
              <w:right w:val="nil"/>
              <w:insideH w:val="nil"/>
              <w:insideV w:val="nil"/>
            </w:tcBorders>
            <w:vAlign w:val="center"/>
          </w:tcPr>
          <w:p w14:paraId="1EBEE877">
            <w:pPr>
              <w:spacing w:before="0" w:after="0" w:line="240" w:lineRule="auto"/>
              <w:jc w:val="left"/>
            </w:pPr>
            <w:r>
              <w:rPr>
                <w:rFonts w:ascii="Times New Roman" w:hAnsi="Times New Roman" w:eastAsia="Times New Roman" w:cs="Times New Roman"/>
                <w:b w:val="0"/>
                <w:i w:val="0"/>
                <w:sz w:val="18"/>
              </w:rPr>
              <w:t>[0.022, 0.110]</w:t>
            </w:r>
          </w:p>
        </w:tc>
      </w:tr>
      <w:tr w14:paraId="73C8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63F174A5">
            <w:pPr>
              <w:spacing w:before="0" w:after="0" w:line="240" w:lineRule="auto"/>
              <w:jc w:val="left"/>
            </w:pPr>
            <w:r>
              <w:rPr>
                <w:rFonts w:ascii="Times New Roman" w:hAnsi="Times New Roman" w:eastAsia="Times New Roman" w:cs="Times New Roman"/>
                <w:b w:val="0"/>
                <w:i w:val="0"/>
                <w:sz w:val="18"/>
              </w:rPr>
              <w:t>7</w:t>
            </w:r>
          </w:p>
        </w:tc>
        <w:tc>
          <w:tcPr>
            <w:tcW w:w="2016" w:type="dxa"/>
            <w:tcBorders>
              <w:top w:val="nil"/>
              <w:left w:val="nil"/>
              <w:bottom w:val="nil"/>
              <w:right w:val="nil"/>
              <w:insideH w:val="nil"/>
              <w:insideV w:val="nil"/>
            </w:tcBorders>
            <w:vAlign w:val="center"/>
          </w:tcPr>
          <w:p w14:paraId="00B2414F">
            <w:pPr>
              <w:spacing w:before="0" w:after="0" w:line="240" w:lineRule="auto"/>
              <w:jc w:val="left"/>
            </w:pPr>
            <w:r>
              <w:rPr>
                <w:rFonts w:ascii="Times New Roman" w:hAnsi="Times New Roman" w:eastAsia="Times New Roman" w:cs="Times New Roman"/>
                <w:b w:val="0"/>
                <w:i w:val="0"/>
                <w:sz w:val="18"/>
              </w:rPr>
              <w:t>-0.215</w:t>
            </w:r>
          </w:p>
        </w:tc>
        <w:tc>
          <w:tcPr>
            <w:tcW w:w="2016" w:type="dxa"/>
            <w:tcBorders>
              <w:top w:val="nil"/>
              <w:left w:val="nil"/>
              <w:bottom w:val="nil"/>
              <w:right w:val="nil"/>
              <w:insideH w:val="nil"/>
              <w:insideV w:val="nil"/>
            </w:tcBorders>
            <w:vAlign w:val="center"/>
          </w:tcPr>
          <w:p w14:paraId="51E6C68E">
            <w:pPr>
              <w:spacing w:before="0" w:after="0" w:line="240" w:lineRule="auto"/>
              <w:jc w:val="left"/>
            </w:pPr>
            <w:r>
              <w:rPr>
                <w:rFonts w:ascii="Times New Roman" w:hAnsi="Times New Roman" w:eastAsia="Times New Roman" w:cs="Times New Roman"/>
                <w:b w:val="0"/>
                <w:i w:val="0"/>
                <w:sz w:val="18"/>
              </w:rPr>
              <w:t>[-0.272, -0.158]</w:t>
            </w:r>
          </w:p>
        </w:tc>
        <w:tc>
          <w:tcPr>
            <w:tcW w:w="2016" w:type="dxa"/>
            <w:tcBorders>
              <w:top w:val="nil"/>
              <w:left w:val="nil"/>
              <w:bottom w:val="nil"/>
              <w:right w:val="nil"/>
              <w:insideH w:val="nil"/>
              <w:insideV w:val="nil"/>
            </w:tcBorders>
            <w:vAlign w:val="center"/>
          </w:tcPr>
          <w:p w14:paraId="399C96AA">
            <w:pPr>
              <w:spacing w:before="0" w:after="0" w:line="240" w:lineRule="auto"/>
              <w:jc w:val="left"/>
            </w:pPr>
            <w:r>
              <w:rPr>
                <w:rFonts w:ascii="Times New Roman" w:hAnsi="Times New Roman" w:eastAsia="Times New Roman" w:cs="Times New Roman"/>
                <w:b w:val="0"/>
                <w:i w:val="0"/>
                <w:sz w:val="18"/>
              </w:rPr>
              <w:t>0.066</w:t>
            </w:r>
          </w:p>
        </w:tc>
        <w:tc>
          <w:tcPr>
            <w:tcW w:w="2016" w:type="dxa"/>
            <w:tcBorders>
              <w:top w:val="nil"/>
              <w:left w:val="nil"/>
              <w:bottom w:val="nil"/>
              <w:right w:val="nil"/>
              <w:insideH w:val="nil"/>
              <w:insideV w:val="nil"/>
            </w:tcBorders>
            <w:vAlign w:val="center"/>
          </w:tcPr>
          <w:p w14:paraId="1E4E8812">
            <w:pPr>
              <w:spacing w:before="0" w:after="0" w:line="240" w:lineRule="auto"/>
              <w:jc w:val="left"/>
            </w:pPr>
            <w:r>
              <w:rPr>
                <w:rFonts w:ascii="Times New Roman" w:hAnsi="Times New Roman" w:eastAsia="Times New Roman" w:cs="Times New Roman"/>
                <w:b w:val="0"/>
                <w:i w:val="0"/>
                <w:sz w:val="18"/>
              </w:rPr>
              <w:t>[0.022, 0.110]</w:t>
            </w:r>
          </w:p>
        </w:tc>
      </w:tr>
      <w:tr w14:paraId="4F58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single" w:color="000000" w:sz="10" w:space="0"/>
              <w:right w:val="nil"/>
              <w:insideH w:val="nil"/>
              <w:insideV w:val="nil"/>
            </w:tcBorders>
            <w:vAlign w:val="center"/>
          </w:tcPr>
          <w:p w14:paraId="3708A2B2">
            <w:pPr>
              <w:spacing w:before="0" w:after="0" w:line="240" w:lineRule="auto"/>
              <w:jc w:val="left"/>
            </w:pPr>
            <w:r>
              <w:rPr>
                <w:rFonts w:ascii="Times New Roman" w:hAnsi="Times New Roman" w:eastAsia="Times New Roman" w:cs="Times New Roman"/>
                <w:b w:val="0"/>
                <w:i w:val="0"/>
                <w:sz w:val="18"/>
              </w:rPr>
              <w:t>8</w:t>
            </w:r>
          </w:p>
        </w:tc>
        <w:tc>
          <w:tcPr>
            <w:tcW w:w="2016" w:type="dxa"/>
            <w:tcBorders>
              <w:top w:val="nil"/>
              <w:left w:val="nil"/>
              <w:bottom w:val="single" w:color="000000" w:sz="10" w:space="0"/>
              <w:right w:val="nil"/>
              <w:insideH w:val="nil"/>
              <w:insideV w:val="nil"/>
            </w:tcBorders>
            <w:vAlign w:val="center"/>
          </w:tcPr>
          <w:p w14:paraId="3E00D508">
            <w:pPr>
              <w:spacing w:before="0" w:after="0" w:line="240" w:lineRule="auto"/>
              <w:jc w:val="left"/>
            </w:pPr>
            <w:r>
              <w:rPr>
                <w:rFonts w:ascii="Times New Roman" w:hAnsi="Times New Roman" w:eastAsia="Times New Roman" w:cs="Times New Roman"/>
                <w:b w:val="0"/>
                <w:i w:val="0"/>
                <w:sz w:val="18"/>
              </w:rPr>
              <w:t>-0.206</w:t>
            </w:r>
          </w:p>
        </w:tc>
        <w:tc>
          <w:tcPr>
            <w:tcW w:w="2016" w:type="dxa"/>
            <w:tcBorders>
              <w:top w:val="nil"/>
              <w:left w:val="nil"/>
              <w:bottom w:val="single" w:color="000000" w:sz="10" w:space="0"/>
              <w:right w:val="nil"/>
              <w:insideH w:val="nil"/>
              <w:insideV w:val="nil"/>
            </w:tcBorders>
            <w:vAlign w:val="center"/>
          </w:tcPr>
          <w:p w14:paraId="372E95D8">
            <w:pPr>
              <w:spacing w:before="0" w:after="0" w:line="240" w:lineRule="auto"/>
              <w:jc w:val="left"/>
            </w:pPr>
            <w:r>
              <w:rPr>
                <w:rFonts w:ascii="Times New Roman" w:hAnsi="Times New Roman" w:eastAsia="Times New Roman" w:cs="Times New Roman"/>
                <w:b w:val="0"/>
                <w:i w:val="0"/>
                <w:sz w:val="18"/>
              </w:rPr>
              <w:t>[-0.263, -0.149]</w:t>
            </w:r>
          </w:p>
        </w:tc>
        <w:tc>
          <w:tcPr>
            <w:tcW w:w="2016" w:type="dxa"/>
            <w:tcBorders>
              <w:top w:val="nil"/>
              <w:left w:val="nil"/>
              <w:bottom w:val="single" w:color="000000" w:sz="10" w:space="0"/>
              <w:right w:val="nil"/>
              <w:insideH w:val="nil"/>
              <w:insideV w:val="nil"/>
            </w:tcBorders>
            <w:vAlign w:val="center"/>
          </w:tcPr>
          <w:p w14:paraId="43B5FFBC">
            <w:pPr>
              <w:spacing w:before="0" w:after="0" w:line="240" w:lineRule="auto"/>
              <w:jc w:val="left"/>
            </w:pPr>
            <w:r>
              <w:rPr>
                <w:rFonts w:ascii="Times New Roman" w:hAnsi="Times New Roman" w:eastAsia="Times New Roman" w:cs="Times New Roman"/>
                <w:b w:val="0"/>
                <w:i w:val="0"/>
                <w:sz w:val="18"/>
              </w:rPr>
              <w:t>0.066</w:t>
            </w:r>
          </w:p>
        </w:tc>
        <w:tc>
          <w:tcPr>
            <w:tcW w:w="2016" w:type="dxa"/>
            <w:tcBorders>
              <w:top w:val="nil"/>
              <w:left w:val="nil"/>
              <w:bottom w:val="single" w:color="000000" w:sz="10" w:space="0"/>
              <w:right w:val="nil"/>
              <w:insideH w:val="nil"/>
              <w:insideV w:val="nil"/>
            </w:tcBorders>
            <w:vAlign w:val="center"/>
          </w:tcPr>
          <w:p w14:paraId="6D3F2611">
            <w:pPr>
              <w:spacing w:before="0" w:after="0" w:line="240" w:lineRule="auto"/>
              <w:jc w:val="left"/>
            </w:pPr>
            <w:r>
              <w:rPr>
                <w:rFonts w:ascii="Times New Roman" w:hAnsi="Times New Roman" w:eastAsia="Times New Roman" w:cs="Times New Roman"/>
                <w:b w:val="0"/>
                <w:i w:val="0"/>
                <w:sz w:val="18"/>
              </w:rPr>
              <w:t>[0.022, 0.110]</w:t>
            </w:r>
          </w:p>
        </w:tc>
      </w:tr>
    </w:tbl>
    <w:p w14:paraId="5CA720D2">
      <w:pPr>
        <w:pStyle w:val="3"/>
        <w:spacing w:line="240" w:lineRule="auto"/>
        <w:jc w:val="left"/>
      </w:pPr>
      <w:r>
        <w:rPr>
          <w:rFonts w:ascii="Times New Roman" w:hAnsi="Times New Roman" w:eastAsia="Times New Roman" w:cs="Times New Roman"/>
          <w:b/>
          <w:color w:val="1F4E79"/>
          <w:sz w:val="28"/>
        </w:rPr>
        <w:t>S5. Labour-supply margins</w:t>
      </w:r>
    </w:p>
    <w:p w14:paraId="64A93C4E">
      <w:pPr>
        <w:spacing w:before="120" w:after="60" w:line="240" w:lineRule="auto"/>
        <w:jc w:val="left"/>
      </w:pPr>
      <w:r>
        <w:rPr>
          <w:rFonts w:ascii="Times New Roman" w:hAnsi="Times New Roman" w:eastAsia="Times New Roman" w:cs="Times New Roman"/>
          <w:b/>
          <w:sz w:val="20"/>
        </w:rPr>
        <w:t>Table S5.</w:t>
      </w:r>
      <w:r>
        <w:rPr>
          <w:rFonts w:ascii="Times New Roman" w:hAnsi="Times New Roman" w:eastAsia="Times New Roman" w:cs="Times New Roman"/>
          <w:i w:val="0"/>
          <w:sz w:val="20"/>
        </w:rPr>
        <w:t xml:space="preserve"> Labour-supply event-study coefficients</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1"/>
        <w:gridCol w:w="3209"/>
        <w:gridCol w:w="3196"/>
      </w:tblGrid>
      <w:tr w14:paraId="478C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360" w:type="dxa"/>
            <w:tcBorders>
              <w:top w:val="single" w:color="000000" w:sz="10" w:space="0"/>
              <w:left w:val="nil"/>
              <w:bottom w:val="single" w:color="000000" w:sz="10" w:space="0"/>
              <w:right w:val="nil"/>
              <w:insideH w:val="nil"/>
              <w:insideV w:val="nil"/>
            </w:tcBorders>
            <w:vAlign w:val="center"/>
          </w:tcPr>
          <w:p w14:paraId="51E89406">
            <w:pPr>
              <w:spacing w:before="0" w:after="0" w:line="240" w:lineRule="auto"/>
              <w:jc w:val="left"/>
            </w:pPr>
            <w:r>
              <w:rPr>
                <w:rFonts w:ascii="Times New Roman" w:hAnsi="Times New Roman" w:eastAsia="Times New Roman" w:cs="Times New Roman"/>
                <w:b/>
                <w:i w:val="0"/>
                <w:sz w:val="18"/>
              </w:rPr>
              <w:t>Event time</w:t>
            </w:r>
          </w:p>
        </w:tc>
        <w:tc>
          <w:tcPr>
            <w:tcW w:w="3360" w:type="dxa"/>
            <w:tcBorders>
              <w:top w:val="single" w:color="000000" w:sz="10" w:space="0"/>
              <w:left w:val="nil"/>
              <w:bottom w:val="single" w:color="000000" w:sz="10" w:space="0"/>
              <w:right w:val="nil"/>
              <w:insideH w:val="nil"/>
              <w:insideV w:val="nil"/>
            </w:tcBorders>
            <w:vAlign w:val="center"/>
          </w:tcPr>
          <w:p w14:paraId="30E780EC">
            <w:pPr>
              <w:spacing w:before="0" w:after="0" w:line="240" w:lineRule="auto"/>
              <w:jc w:val="left"/>
            </w:pPr>
            <w:r>
              <w:rPr>
                <w:rFonts w:ascii="Times New Roman" w:hAnsi="Times New Roman" w:eastAsia="Times New Roman" w:cs="Times New Roman"/>
                <w:b/>
                <w:i w:val="0"/>
                <w:sz w:val="18"/>
              </w:rPr>
              <w:t>Employment coefficient</w:t>
            </w:r>
          </w:p>
        </w:tc>
        <w:tc>
          <w:tcPr>
            <w:tcW w:w="3360" w:type="dxa"/>
            <w:tcBorders>
              <w:top w:val="single" w:color="000000" w:sz="10" w:space="0"/>
              <w:left w:val="nil"/>
              <w:bottom w:val="single" w:color="000000" w:sz="10" w:space="0"/>
              <w:right w:val="nil"/>
              <w:insideH w:val="nil"/>
              <w:insideV w:val="nil"/>
            </w:tcBorders>
            <w:vAlign w:val="center"/>
          </w:tcPr>
          <w:p w14:paraId="49D2808C">
            <w:pPr>
              <w:spacing w:before="0" w:after="0" w:line="240" w:lineRule="auto"/>
              <w:jc w:val="left"/>
            </w:pPr>
            <w:r>
              <w:rPr>
                <w:rFonts w:ascii="Times New Roman" w:hAnsi="Times New Roman" w:eastAsia="Times New Roman" w:cs="Times New Roman"/>
                <w:b/>
                <w:i w:val="0"/>
                <w:sz w:val="18"/>
              </w:rPr>
              <w:t>Hours coefficient</w:t>
            </w:r>
          </w:p>
        </w:tc>
      </w:tr>
      <w:tr w14:paraId="77D9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4EF9E840">
            <w:pPr>
              <w:spacing w:before="0" w:after="0" w:line="240" w:lineRule="auto"/>
              <w:jc w:val="left"/>
            </w:pPr>
            <w:r>
              <w:rPr>
                <w:rFonts w:ascii="Times New Roman" w:hAnsi="Times New Roman" w:eastAsia="Times New Roman" w:cs="Times New Roman"/>
                <w:b w:val="0"/>
                <w:i w:val="0"/>
                <w:sz w:val="18"/>
              </w:rPr>
              <w:t>-5</w:t>
            </w:r>
          </w:p>
        </w:tc>
        <w:tc>
          <w:tcPr>
            <w:tcW w:w="3360" w:type="dxa"/>
            <w:tcBorders>
              <w:top w:val="nil"/>
              <w:left w:val="nil"/>
              <w:bottom w:val="nil"/>
              <w:right w:val="nil"/>
              <w:insideH w:val="nil"/>
              <w:insideV w:val="nil"/>
            </w:tcBorders>
            <w:vAlign w:val="center"/>
          </w:tcPr>
          <w:p w14:paraId="5E9EF533">
            <w:pPr>
              <w:spacing w:before="0" w:after="0" w:line="240" w:lineRule="auto"/>
              <w:jc w:val="left"/>
            </w:pPr>
            <w:r>
              <w:rPr>
                <w:rFonts w:ascii="Times New Roman" w:hAnsi="Times New Roman" w:eastAsia="Times New Roman" w:cs="Times New Roman"/>
                <w:b w:val="0"/>
                <w:i w:val="0"/>
                <w:sz w:val="18"/>
              </w:rPr>
              <w:t>0.000</w:t>
            </w:r>
          </w:p>
        </w:tc>
        <w:tc>
          <w:tcPr>
            <w:tcW w:w="3360" w:type="dxa"/>
            <w:tcBorders>
              <w:top w:val="nil"/>
              <w:left w:val="nil"/>
              <w:bottom w:val="nil"/>
              <w:right w:val="nil"/>
              <w:insideH w:val="nil"/>
              <w:insideV w:val="nil"/>
            </w:tcBorders>
            <w:vAlign w:val="center"/>
          </w:tcPr>
          <w:p w14:paraId="6D4585E7">
            <w:pPr>
              <w:spacing w:before="0" w:after="0" w:line="240" w:lineRule="auto"/>
              <w:jc w:val="left"/>
            </w:pPr>
            <w:r>
              <w:rPr>
                <w:rFonts w:ascii="Times New Roman" w:hAnsi="Times New Roman" w:eastAsia="Times New Roman" w:cs="Times New Roman"/>
                <w:b w:val="0"/>
                <w:i w:val="0"/>
                <w:sz w:val="18"/>
              </w:rPr>
              <w:t>0.0</w:t>
            </w:r>
          </w:p>
        </w:tc>
      </w:tr>
      <w:tr w14:paraId="7F67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7A672411">
            <w:pPr>
              <w:spacing w:before="0" w:after="0" w:line="240" w:lineRule="auto"/>
              <w:jc w:val="left"/>
            </w:pPr>
            <w:r>
              <w:rPr>
                <w:rFonts w:ascii="Times New Roman" w:hAnsi="Times New Roman" w:eastAsia="Times New Roman" w:cs="Times New Roman"/>
                <w:b w:val="0"/>
                <w:i w:val="0"/>
                <w:sz w:val="18"/>
              </w:rPr>
              <w:t>-4</w:t>
            </w:r>
          </w:p>
        </w:tc>
        <w:tc>
          <w:tcPr>
            <w:tcW w:w="3360" w:type="dxa"/>
            <w:tcBorders>
              <w:top w:val="nil"/>
              <w:left w:val="nil"/>
              <w:bottom w:val="nil"/>
              <w:right w:val="nil"/>
              <w:insideH w:val="nil"/>
              <w:insideV w:val="nil"/>
            </w:tcBorders>
            <w:vAlign w:val="center"/>
          </w:tcPr>
          <w:p w14:paraId="58A0A036">
            <w:pPr>
              <w:spacing w:before="0" w:after="0" w:line="240" w:lineRule="auto"/>
              <w:jc w:val="left"/>
            </w:pPr>
            <w:r>
              <w:rPr>
                <w:rFonts w:ascii="Times New Roman" w:hAnsi="Times New Roman" w:eastAsia="Times New Roman" w:cs="Times New Roman"/>
                <w:b w:val="0"/>
                <w:i w:val="0"/>
                <w:sz w:val="18"/>
              </w:rPr>
              <w:t>-0.005</w:t>
            </w:r>
          </w:p>
        </w:tc>
        <w:tc>
          <w:tcPr>
            <w:tcW w:w="3360" w:type="dxa"/>
            <w:tcBorders>
              <w:top w:val="nil"/>
              <w:left w:val="nil"/>
              <w:bottom w:val="nil"/>
              <w:right w:val="nil"/>
              <w:insideH w:val="nil"/>
              <w:insideV w:val="nil"/>
            </w:tcBorders>
            <w:vAlign w:val="center"/>
          </w:tcPr>
          <w:p w14:paraId="648FBC0F">
            <w:pPr>
              <w:spacing w:before="0" w:after="0" w:line="240" w:lineRule="auto"/>
              <w:jc w:val="left"/>
            </w:pPr>
            <w:r>
              <w:rPr>
                <w:rFonts w:ascii="Times New Roman" w:hAnsi="Times New Roman" w:eastAsia="Times New Roman" w:cs="Times New Roman"/>
                <w:b w:val="0"/>
                <w:i w:val="0"/>
                <w:sz w:val="18"/>
              </w:rPr>
              <w:t>-0.4</w:t>
            </w:r>
          </w:p>
        </w:tc>
      </w:tr>
      <w:tr w14:paraId="6C8B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2DC73D24">
            <w:pPr>
              <w:spacing w:before="0" w:after="0" w:line="240" w:lineRule="auto"/>
              <w:jc w:val="left"/>
            </w:pPr>
            <w:r>
              <w:rPr>
                <w:rFonts w:ascii="Times New Roman" w:hAnsi="Times New Roman" w:eastAsia="Times New Roman" w:cs="Times New Roman"/>
                <w:b w:val="0"/>
                <w:i w:val="0"/>
                <w:sz w:val="18"/>
              </w:rPr>
              <w:t>-3</w:t>
            </w:r>
          </w:p>
        </w:tc>
        <w:tc>
          <w:tcPr>
            <w:tcW w:w="3360" w:type="dxa"/>
            <w:tcBorders>
              <w:top w:val="nil"/>
              <w:left w:val="nil"/>
              <w:bottom w:val="nil"/>
              <w:right w:val="nil"/>
              <w:insideH w:val="nil"/>
              <w:insideV w:val="nil"/>
            </w:tcBorders>
            <w:vAlign w:val="center"/>
          </w:tcPr>
          <w:p w14:paraId="20B5EB32">
            <w:pPr>
              <w:spacing w:before="0" w:after="0" w:line="240" w:lineRule="auto"/>
              <w:jc w:val="left"/>
            </w:pPr>
            <w:r>
              <w:rPr>
                <w:rFonts w:ascii="Times New Roman" w:hAnsi="Times New Roman" w:eastAsia="Times New Roman" w:cs="Times New Roman"/>
                <w:b w:val="0"/>
                <w:i w:val="0"/>
                <w:sz w:val="18"/>
              </w:rPr>
              <w:t>-0.006</w:t>
            </w:r>
          </w:p>
        </w:tc>
        <w:tc>
          <w:tcPr>
            <w:tcW w:w="3360" w:type="dxa"/>
            <w:tcBorders>
              <w:top w:val="nil"/>
              <w:left w:val="nil"/>
              <w:bottom w:val="nil"/>
              <w:right w:val="nil"/>
              <w:insideH w:val="nil"/>
              <w:insideV w:val="nil"/>
            </w:tcBorders>
            <w:vAlign w:val="center"/>
          </w:tcPr>
          <w:p w14:paraId="26D48833">
            <w:pPr>
              <w:spacing w:before="0" w:after="0" w:line="240" w:lineRule="auto"/>
              <w:jc w:val="left"/>
            </w:pPr>
            <w:r>
              <w:rPr>
                <w:rFonts w:ascii="Times New Roman" w:hAnsi="Times New Roman" w:eastAsia="Times New Roman" w:cs="Times New Roman"/>
                <w:b w:val="0"/>
                <w:i w:val="0"/>
                <w:sz w:val="18"/>
              </w:rPr>
              <w:t>-0.8</w:t>
            </w:r>
          </w:p>
        </w:tc>
      </w:tr>
      <w:tr w14:paraId="2B08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6320C13C">
            <w:pPr>
              <w:spacing w:before="0" w:after="0" w:line="240" w:lineRule="auto"/>
              <w:jc w:val="left"/>
            </w:pPr>
            <w:r>
              <w:rPr>
                <w:rFonts w:ascii="Times New Roman" w:hAnsi="Times New Roman" w:eastAsia="Times New Roman" w:cs="Times New Roman"/>
                <w:b w:val="0"/>
                <w:i w:val="0"/>
                <w:sz w:val="18"/>
              </w:rPr>
              <w:t>-2</w:t>
            </w:r>
          </w:p>
        </w:tc>
        <w:tc>
          <w:tcPr>
            <w:tcW w:w="3360" w:type="dxa"/>
            <w:tcBorders>
              <w:top w:val="nil"/>
              <w:left w:val="nil"/>
              <w:bottom w:val="nil"/>
              <w:right w:val="nil"/>
              <w:insideH w:val="nil"/>
              <w:insideV w:val="nil"/>
            </w:tcBorders>
            <w:vAlign w:val="center"/>
          </w:tcPr>
          <w:p w14:paraId="1DB4A018">
            <w:pPr>
              <w:spacing w:before="0" w:after="0" w:line="240" w:lineRule="auto"/>
              <w:jc w:val="left"/>
            </w:pPr>
            <w:r>
              <w:rPr>
                <w:rFonts w:ascii="Times New Roman" w:hAnsi="Times New Roman" w:eastAsia="Times New Roman" w:cs="Times New Roman"/>
                <w:b w:val="0"/>
                <w:i w:val="0"/>
                <w:sz w:val="18"/>
              </w:rPr>
              <w:t>-0.008</w:t>
            </w:r>
          </w:p>
        </w:tc>
        <w:tc>
          <w:tcPr>
            <w:tcW w:w="3360" w:type="dxa"/>
            <w:tcBorders>
              <w:top w:val="nil"/>
              <w:left w:val="nil"/>
              <w:bottom w:val="nil"/>
              <w:right w:val="nil"/>
              <w:insideH w:val="nil"/>
              <w:insideV w:val="nil"/>
            </w:tcBorders>
            <w:vAlign w:val="center"/>
          </w:tcPr>
          <w:p w14:paraId="1F64170F">
            <w:pPr>
              <w:spacing w:before="0" w:after="0" w:line="240" w:lineRule="auto"/>
              <w:jc w:val="left"/>
            </w:pPr>
            <w:r>
              <w:rPr>
                <w:rFonts w:ascii="Times New Roman" w:hAnsi="Times New Roman" w:eastAsia="Times New Roman" w:cs="Times New Roman"/>
                <w:b w:val="0"/>
                <w:i w:val="0"/>
                <w:sz w:val="18"/>
              </w:rPr>
              <w:t>-1.2</w:t>
            </w:r>
          </w:p>
        </w:tc>
      </w:tr>
      <w:tr w14:paraId="2AAF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4C0F954C">
            <w:pPr>
              <w:spacing w:before="0" w:after="0" w:line="240" w:lineRule="auto"/>
              <w:jc w:val="left"/>
            </w:pPr>
            <w:r>
              <w:rPr>
                <w:rFonts w:ascii="Times New Roman" w:hAnsi="Times New Roman" w:eastAsia="Times New Roman" w:cs="Times New Roman"/>
                <w:b w:val="0"/>
                <w:i w:val="0"/>
                <w:sz w:val="18"/>
              </w:rPr>
              <w:t>-1</w:t>
            </w:r>
          </w:p>
        </w:tc>
        <w:tc>
          <w:tcPr>
            <w:tcW w:w="3360" w:type="dxa"/>
            <w:tcBorders>
              <w:top w:val="nil"/>
              <w:left w:val="nil"/>
              <w:bottom w:val="nil"/>
              <w:right w:val="nil"/>
              <w:insideH w:val="nil"/>
              <w:insideV w:val="nil"/>
            </w:tcBorders>
            <w:vAlign w:val="center"/>
          </w:tcPr>
          <w:p w14:paraId="36BB09BA">
            <w:pPr>
              <w:spacing w:before="0" w:after="0" w:line="240" w:lineRule="auto"/>
              <w:jc w:val="left"/>
            </w:pPr>
            <w:r>
              <w:rPr>
                <w:rFonts w:ascii="Times New Roman" w:hAnsi="Times New Roman" w:eastAsia="Times New Roman" w:cs="Times New Roman"/>
                <w:b w:val="0"/>
                <w:i w:val="0"/>
                <w:sz w:val="18"/>
              </w:rPr>
              <w:t>0.000</w:t>
            </w:r>
          </w:p>
        </w:tc>
        <w:tc>
          <w:tcPr>
            <w:tcW w:w="3360" w:type="dxa"/>
            <w:tcBorders>
              <w:top w:val="nil"/>
              <w:left w:val="nil"/>
              <w:bottom w:val="nil"/>
              <w:right w:val="nil"/>
              <w:insideH w:val="nil"/>
              <w:insideV w:val="nil"/>
            </w:tcBorders>
            <w:vAlign w:val="center"/>
          </w:tcPr>
          <w:p w14:paraId="3C21EEAD">
            <w:pPr>
              <w:spacing w:before="0" w:after="0" w:line="240" w:lineRule="auto"/>
              <w:jc w:val="left"/>
            </w:pPr>
            <w:r>
              <w:rPr>
                <w:rFonts w:ascii="Times New Roman" w:hAnsi="Times New Roman" w:eastAsia="Times New Roman" w:cs="Times New Roman"/>
                <w:b w:val="0"/>
                <w:i w:val="0"/>
                <w:sz w:val="18"/>
              </w:rPr>
              <w:t>0.0</w:t>
            </w:r>
          </w:p>
        </w:tc>
      </w:tr>
      <w:tr w14:paraId="5853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0A7C5FCA">
            <w:pPr>
              <w:spacing w:before="0" w:after="0" w:line="240" w:lineRule="auto"/>
              <w:jc w:val="left"/>
            </w:pPr>
            <w:r>
              <w:rPr>
                <w:rFonts w:ascii="Times New Roman" w:hAnsi="Times New Roman" w:eastAsia="Times New Roman" w:cs="Times New Roman"/>
                <w:b w:val="0"/>
                <w:i w:val="0"/>
                <w:sz w:val="18"/>
              </w:rPr>
              <w:t>0</w:t>
            </w:r>
          </w:p>
        </w:tc>
        <w:tc>
          <w:tcPr>
            <w:tcW w:w="3360" w:type="dxa"/>
            <w:tcBorders>
              <w:top w:val="nil"/>
              <w:left w:val="nil"/>
              <w:bottom w:val="nil"/>
              <w:right w:val="nil"/>
              <w:insideH w:val="nil"/>
              <w:insideV w:val="nil"/>
            </w:tcBorders>
            <w:vAlign w:val="center"/>
          </w:tcPr>
          <w:p w14:paraId="716F2429">
            <w:pPr>
              <w:spacing w:before="0" w:after="0" w:line="240" w:lineRule="auto"/>
              <w:jc w:val="left"/>
            </w:pPr>
            <w:r>
              <w:rPr>
                <w:rFonts w:ascii="Times New Roman" w:hAnsi="Times New Roman" w:eastAsia="Times New Roman" w:cs="Times New Roman"/>
                <w:b w:val="0"/>
                <w:i w:val="0"/>
                <w:sz w:val="18"/>
              </w:rPr>
              <w:t>-0.094</w:t>
            </w:r>
          </w:p>
        </w:tc>
        <w:tc>
          <w:tcPr>
            <w:tcW w:w="3360" w:type="dxa"/>
            <w:tcBorders>
              <w:top w:val="nil"/>
              <w:left w:val="nil"/>
              <w:bottom w:val="nil"/>
              <w:right w:val="nil"/>
              <w:insideH w:val="nil"/>
              <w:insideV w:val="nil"/>
            </w:tcBorders>
            <w:vAlign w:val="center"/>
          </w:tcPr>
          <w:p w14:paraId="075BE7D3">
            <w:pPr>
              <w:spacing w:before="0" w:after="0" w:line="240" w:lineRule="auto"/>
              <w:jc w:val="left"/>
            </w:pPr>
            <w:r>
              <w:rPr>
                <w:rFonts w:ascii="Times New Roman" w:hAnsi="Times New Roman" w:eastAsia="Times New Roman" w:cs="Times New Roman"/>
                <w:b w:val="0"/>
                <w:i w:val="0"/>
                <w:sz w:val="18"/>
              </w:rPr>
              <w:t>-2.1</w:t>
            </w:r>
          </w:p>
        </w:tc>
      </w:tr>
      <w:tr w14:paraId="3D88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69C11419">
            <w:pPr>
              <w:spacing w:before="0" w:after="0" w:line="240" w:lineRule="auto"/>
              <w:jc w:val="left"/>
            </w:pPr>
            <w:r>
              <w:rPr>
                <w:rFonts w:ascii="Times New Roman" w:hAnsi="Times New Roman" w:eastAsia="Times New Roman" w:cs="Times New Roman"/>
                <w:b w:val="0"/>
                <w:i w:val="0"/>
                <w:sz w:val="18"/>
              </w:rPr>
              <w:t>1</w:t>
            </w:r>
          </w:p>
        </w:tc>
        <w:tc>
          <w:tcPr>
            <w:tcW w:w="3360" w:type="dxa"/>
            <w:tcBorders>
              <w:top w:val="nil"/>
              <w:left w:val="nil"/>
              <w:bottom w:val="nil"/>
              <w:right w:val="nil"/>
              <w:insideH w:val="nil"/>
              <w:insideV w:val="nil"/>
            </w:tcBorders>
            <w:vAlign w:val="center"/>
          </w:tcPr>
          <w:p w14:paraId="7867344A">
            <w:pPr>
              <w:spacing w:before="0" w:after="0" w:line="240" w:lineRule="auto"/>
              <w:jc w:val="left"/>
            </w:pPr>
            <w:r>
              <w:rPr>
                <w:rFonts w:ascii="Times New Roman" w:hAnsi="Times New Roman" w:eastAsia="Times New Roman" w:cs="Times New Roman"/>
                <w:b w:val="0"/>
                <w:i w:val="0"/>
                <w:sz w:val="18"/>
              </w:rPr>
              <w:t>-0.168</w:t>
            </w:r>
          </w:p>
        </w:tc>
        <w:tc>
          <w:tcPr>
            <w:tcW w:w="3360" w:type="dxa"/>
            <w:tcBorders>
              <w:top w:val="nil"/>
              <w:left w:val="nil"/>
              <w:bottom w:val="nil"/>
              <w:right w:val="nil"/>
              <w:insideH w:val="nil"/>
              <w:insideV w:val="nil"/>
            </w:tcBorders>
            <w:vAlign w:val="center"/>
          </w:tcPr>
          <w:p w14:paraId="1A1FB452">
            <w:pPr>
              <w:spacing w:before="0" w:after="0" w:line="240" w:lineRule="auto"/>
              <w:jc w:val="left"/>
            </w:pPr>
            <w:r>
              <w:rPr>
                <w:rFonts w:ascii="Times New Roman" w:hAnsi="Times New Roman" w:eastAsia="Times New Roman" w:cs="Times New Roman"/>
                <w:b w:val="0"/>
                <w:i w:val="0"/>
                <w:sz w:val="18"/>
              </w:rPr>
              <w:t>-4.8</w:t>
            </w:r>
          </w:p>
        </w:tc>
      </w:tr>
      <w:tr w14:paraId="4BD8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68F1B9CD">
            <w:pPr>
              <w:spacing w:before="0" w:after="0" w:line="240" w:lineRule="auto"/>
              <w:jc w:val="left"/>
            </w:pPr>
            <w:r>
              <w:rPr>
                <w:rFonts w:ascii="Times New Roman" w:hAnsi="Times New Roman" w:eastAsia="Times New Roman" w:cs="Times New Roman"/>
                <w:b w:val="0"/>
                <w:i w:val="0"/>
                <w:sz w:val="18"/>
              </w:rPr>
              <w:t>2</w:t>
            </w:r>
          </w:p>
        </w:tc>
        <w:tc>
          <w:tcPr>
            <w:tcW w:w="3360" w:type="dxa"/>
            <w:tcBorders>
              <w:top w:val="nil"/>
              <w:left w:val="nil"/>
              <w:bottom w:val="nil"/>
              <w:right w:val="nil"/>
              <w:insideH w:val="nil"/>
              <w:insideV w:val="nil"/>
            </w:tcBorders>
            <w:vAlign w:val="center"/>
          </w:tcPr>
          <w:p w14:paraId="5DBF3ABB">
            <w:pPr>
              <w:spacing w:before="0" w:after="0" w:line="240" w:lineRule="auto"/>
              <w:jc w:val="left"/>
            </w:pPr>
            <w:r>
              <w:rPr>
                <w:rFonts w:ascii="Times New Roman" w:hAnsi="Times New Roman" w:eastAsia="Times New Roman" w:cs="Times New Roman"/>
                <w:b w:val="0"/>
                <w:i w:val="0"/>
                <w:sz w:val="18"/>
              </w:rPr>
              <w:t>-0.187</w:t>
            </w:r>
          </w:p>
        </w:tc>
        <w:tc>
          <w:tcPr>
            <w:tcW w:w="3360" w:type="dxa"/>
            <w:tcBorders>
              <w:top w:val="nil"/>
              <w:left w:val="nil"/>
              <w:bottom w:val="nil"/>
              <w:right w:val="nil"/>
              <w:insideH w:val="nil"/>
              <w:insideV w:val="nil"/>
            </w:tcBorders>
            <w:vAlign w:val="center"/>
          </w:tcPr>
          <w:p w14:paraId="6834E6B1">
            <w:pPr>
              <w:spacing w:before="0" w:after="0" w:line="240" w:lineRule="auto"/>
              <w:jc w:val="left"/>
            </w:pPr>
            <w:r>
              <w:rPr>
                <w:rFonts w:ascii="Times New Roman" w:hAnsi="Times New Roman" w:eastAsia="Times New Roman" w:cs="Times New Roman"/>
                <w:b w:val="0"/>
                <w:i w:val="0"/>
                <w:sz w:val="18"/>
              </w:rPr>
              <w:t>-6.4</w:t>
            </w:r>
          </w:p>
        </w:tc>
      </w:tr>
      <w:tr w14:paraId="4C0C4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57D5C1CB">
            <w:pPr>
              <w:spacing w:before="0" w:after="0" w:line="240" w:lineRule="auto"/>
              <w:jc w:val="left"/>
            </w:pPr>
            <w:r>
              <w:rPr>
                <w:rFonts w:ascii="Times New Roman" w:hAnsi="Times New Roman" w:eastAsia="Times New Roman" w:cs="Times New Roman"/>
                <w:b w:val="0"/>
                <w:i w:val="0"/>
                <w:sz w:val="18"/>
              </w:rPr>
              <w:t>3</w:t>
            </w:r>
          </w:p>
        </w:tc>
        <w:tc>
          <w:tcPr>
            <w:tcW w:w="3360" w:type="dxa"/>
            <w:tcBorders>
              <w:top w:val="nil"/>
              <w:left w:val="nil"/>
              <w:bottom w:val="nil"/>
              <w:right w:val="nil"/>
              <w:insideH w:val="nil"/>
              <w:insideV w:val="nil"/>
            </w:tcBorders>
            <w:vAlign w:val="center"/>
          </w:tcPr>
          <w:p w14:paraId="1444111D">
            <w:pPr>
              <w:spacing w:before="0" w:after="0" w:line="240" w:lineRule="auto"/>
              <w:jc w:val="left"/>
            </w:pPr>
            <w:r>
              <w:rPr>
                <w:rFonts w:ascii="Times New Roman" w:hAnsi="Times New Roman" w:eastAsia="Times New Roman" w:cs="Times New Roman"/>
                <w:b w:val="0"/>
                <w:i w:val="0"/>
                <w:sz w:val="18"/>
              </w:rPr>
              <w:t>-0.172</w:t>
            </w:r>
          </w:p>
        </w:tc>
        <w:tc>
          <w:tcPr>
            <w:tcW w:w="3360" w:type="dxa"/>
            <w:tcBorders>
              <w:top w:val="nil"/>
              <w:left w:val="nil"/>
              <w:bottom w:val="nil"/>
              <w:right w:val="nil"/>
              <w:insideH w:val="nil"/>
              <w:insideV w:val="nil"/>
            </w:tcBorders>
            <w:vAlign w:val="center"/>
          </w:tcPr>
          <w:p w14:paraId="0F9F7952">
            <w:pPr>
              <w:spacing w:before="0" w:after="0" w:line="240" w:lineRule="auto"/>
              <w:jc w:val="left"/>
            </w:pPr>
            <w:r>
              <w:rPr>
                <w:rFonts w:ascii="Times New Roman" w:hAnsi="Times New Roman" w:eastAsia="Times New Roman" w:cs="Times New Roman"/>
                <w:b w:val="0"/>
                <w:i w:val="0"/>
                <w:sz w:val="18"/>
              </w:rPr>
              <w:t>-5.5</w:t>
            </w:r>
          </w:p>
        </w:tc>
      </w:tr>
      <w:tr w14:paraId="61CE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4BB88CAF">
            <w:pPr>
              <w:spacing w:before="0" w:after="0" w:line="240" w:lineRule="auto"/>
              <w:jc w:val="left"/>
            </w:pPr>
            <w:r>
              <w:rPr>
                <w:rFonts w:ascii="Times New Roman" w:hAnsi="Times New Roman" w:eastAsia="Times New Roman" w:cs="Times New Roman"/>
                <w:b w:val="0"/>
                <w:i w:val="0"/>
                <w:sz w:val="18"/>
              </w:rPr>
              <w:t>4</w:t>
            </w:r>
          </w:p>
        </w:tc>
        <w:tc>
          <w:tcPr>
            <w:tcW w:w="3360" w:type="dxa"/>
            <w:tcBorders>
              <w:top w:val="nil"/>
              <w:left w:val="nil"/>
              <w:bottom w:val="nil"/>
              <w:right w:val="nil"/>
              <w:insideH w:val="nil"/>
              <w:insideV w:val="nil"/>
            </w:tcBorders>
            <w:vAlign w:val="center"/>
          </w:tcPr>
          <w:p w14:paraId="6B0D575C">
            <w:pPr>
              <w:spacing w:before="0" w:after="0" w:line="240" w:lineRule="auto"/>
              <w:jc w:val="left"/>
            </w:pPr>
            <w:r>
              <w:rPr>
                <w:rFonts w:ascii="Times New Roman" w:hAnsi="Times New Roman" w:eastAsia="Times New Roman" w:cs="Times New Roman"/>
                <w:b w:val="0"/>
                <w:i w:val="0"/>
                <w:sz w:val="18"/>
              </w:rPr>
              <w:t>-0.145</w:t>
            </w:r>
          </w:p>
        </w:tc>
        <w:tc>
          <w:tcPr>
            <w:tcW w:w="3360" w:type="dxa"/>
            <w:tcBorders>
              <w:top w:val="nil"/>
              <w:left w:val="nil"/>
              <w:bottom w:val="nil"/>
              <w:right w:val="nil"/>
              <w:insideH w:val="nil"/>
              <w:insideV w:val="nil"/>
            </w:tcBorders>
            <w:vAlign w:val="center"/>
          </w:tcPr>
          <w:p w14:paraId="56E64032">
            <w:pPr>
              <w:spacing w:before="0" w:after="0" w:line="240" w:lineRule="auto"/>
              <w:jc w:val="left"/>
            </w:pPr>
            <w:r>
              <w:rPr>
                <w:rFonts w:ascii="Times New Roman" w:hAnsi="Times New Roman" w:eastAsia="Times New Roman" w:cs="Times New Roman"/>
                <w:b w:val="0"/>
                <w:i w:val="0"/>
                <w:sz w:val="18"/>
              </w:rPr>
              <w:t>-4.1</w:t>
            </w:r>
          </w:p>
        </w:tc>
      </w:tr>
      <w:tr w14:paraId="5F9C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566C7747">
            <w:pPr>
              <w:spacing w:before="0" w:after="0" w:line="240" w:lineRule="auto"/>
              <w:jc w:val="left"/>
            </w:pPr>
            <w:r>
              <w:rPr>
                <w:rFonts w:ascii="Times New Roman" w:hAnsi="Times New Roman" w:eastAsia="Times New Roman" w:cs="Times New Roman"/>
                <w:b w:val="0"/>
                <w:i w:val="0"/>
                <w:sz w:val="18"/>
              </w:rPr>
              <w:t>5</w:t>
            </w:r>
          </w:p>
        </w:tc>
        <w:tc>
          <w:tcPr>
            <w:tcW w:w="3360" w:type="dxa"/>
            <w:tcBorders>
              <w:top w:val="nil"/>
              <w:left w:val="nil"/>
              <w:bottom w:val="nil"/>
              <w:right w:val="nil"/>
              <w:insideH w:val="nil"/>
              <w:insideV w:val="nil"/>
            </w:tcBorders>
            <w:vAlign w:val="center"/>
          </w:tcPr>
          <w:p w14:paraId="17B2BE13">
            <w:pPr>
              <w:spacing w:before="0" w:after="0" w:line="240" w:lineRule="auto"/>
              <w:jc w:val="left"/>
            </w:pPr>
            <w:r>
              <w:rPr>
                <w:rFonts w:ascii="Times New Roman" w:hAnsi="Times New Roman" w:eastAsia="Times New Roman" w:cs="Times New Roman"/>
                <w:b w:val="0"/>
                <w:i w:val="0"/>
                <w:sz w:val="18"/>
              </w:rPr>
              <w:t>-0.112</w:t>
            </w:r>
          </w:p>
        </w:tc>
        <w:tc>
          <w:tcPr>
            <w:tcW w:w="3360" w:type="dxa"/>
            <w:tcBorders>
              <w:top w:val="nil"/>
              <w:left w:val="nil"/>
              <w:bottom w:val="nil"/>
              <w:right w:val="nil"/>
              <w:insideH w:val="nil"/>
              <w:insideV w:val="nil"/>
            </w:tcBorders>
            <w:vAlign w:val="center"/>
          </w:tcPr>
          <w:p w14:paraId="784F7179">
            <w:pPr>
              <w:spacing w:before="0" w:after="0" w:line="240" w:lineRule="auto"/>
              <w:jc w:val="left"/>
            </w:pPr>
            <w:r>
              <w:rPr>
                <w:rFonts w:ascii="Times New Roman" w:hAnsi="Times New Roman" w:eastAsia="Times New Roman" w:cs="Times New Roman"/>
                <w:b w:val="0"/>
                <w:i w:val="0"/>
                <w:sz w:val="18"/>
              </w:rPr>
              <w:t>-2.9</w:t>
            </w:r>
          </w:p>
        </w:tc>
      </w:tr>
      <w:tr w14:paraId="7674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0287BC6D">
            <w:pPr>
              <w:spacing w:before="0" w:after="0" w:line="240" w:lineRule="auto"/>
              <w:jc w:val="left"/>
            </w:pPr>
            <w:r>
              <w:rPr>
                <w:rFonts w:ascii="Times New Roman" w:hAnsi="Times New Roman" w:eastAsia="Times New Roman" w:cs="Times New Roman"/>
                <w:b w:val="0"/>
                <w:i w:val="0"/>
                <w:sz w:val="18"/>
              </w:rPr>
              <w:t>6</w:t>
            </w:r>
          </w:p>
        </w:tc>
        <w:tc>
          <w:tcPr>
            <w:tcW w:w="3360" w:type="dxa"/>
            <w:tcBorders>
              <w:top w:val="nil"/>
              <w:left w:val="nil"/>
              <w:bottom w:val="nil"/>
              <w:right w:val="nil"/>
              <w:insideH w:val="nil"/>
              <w:insideV w:val="nil"/>
            </w:tcBorders>
            <w:vAlign w:val="center"/>
          </w:tcPr>
          <w:p w14:paraId="108C35A0">
            <w:pPr>
              <w:spacing w:before="0" w:after="0" w:line="240" w:lineRule="auto"/>
              <w:jc w:val="left"/>
            </w:pPr>
            <w:r>
              <w:rPr>
                <w:rFonts w:ascii="Times New Roman" w:hAnsi="Times New Roman" w:eastAsia="Times New Roman" w:cs="Times New Roman"/>
                <w:b w:val="0"/>
                <w:i w:val="0"/>
                <w:sz w:val="18"/>
              </w:rPr>
              <w:t>-0.101</w:t>
            </w:r>
          </w:p>
        </w:tc>
        <w:tc>
          <w:tcPr>
            <w:tcW w:w="3360" w:type="dxa"/>
            <w:tcBorders>
              <w:top w:val="nil"/>
              <w:left w:val="nil"/>
              <w:bottom w:val="nil"/>
              <w:right w:val="nil"/>
              <w:insideH w:val="nil"/>
              <w:insideV w:val="nil"/>
            </w:tcBorders>
            <w:vAlign w:val="center"/>
          </w:tcPr>
          <w:p w14:paraId="71F0870C">
            <w:pPr>
              <w:spacing w:before="0" w:after="0" w:line="240" w:lineRule="auto"/>
              <w:jc w:val="left"/>
            </w:pPr>
            <w:r>
              <w:rPr>
                <w:rFonts w:ascii="Times New Roman" w:hAnsi="Times New Roman" w:eastAsia="Times New Roman" w:cs="Times New Roman"/>
                <w:b w:val="0"/>
                <w:i w:val="0"/>
                <w:sz w:val="18"/>
              </w:rPr>
              <w:t>-2.3</w:t>
            </w:r>
          </w:p>
        </w:tc>
      </w:tr>
      <w:tr w14:paraId="3969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647159F4">
            <w:pPr>
              <w:spacing w:before="0" w:after="0" w:line="240" w:lineRule="auto"/>
              <w:jc w:val="left"/>
            </w:pPr>
            <w:r>
              <w:rPr>
                <w:rFonts w:ascii="Times New Roman" w:hAnsi="Times New Roman" w:eastAsia="Times New Roman" w:cs="Times New Roman"/>
                <w:b w:val="0"/>
                <w:i w:val="0"/>
                <w:sz w:val="18"/>
              </w:rPr>
              <w:t>7</w:t>
            </w:r>
          </w:p>
        </w:tc>
        <w:tc>
          <w:tcPr>
            <w:tcW w:w="3360" w:type="dxa"/>
            <w:tcBorders>
              <w:top w:val="nil"/>
              <w:left w:val="nil"/>
              <w:bottom w:val="nil"/>
              <w:right w:val="nil"/>
              <w:insideH w:val="nil"/>
              <w:insideV w:val="nil"/>
            </w:tcBorders>
            <w:vAlign w:val="center"/>
          </w:tcPr>
          <w:p w14:paraId="319E2DF3">
            <w:pPr>
              <w:spacing w:before="0" w:after="0" w:line="240" w:lineRule="auto"/>
              <w:jc w:val="left"/>
            </w:pPr>
            <w:r>
              <w:rPr>
                <w:rFonts w:ascii="Times New Roman" w:hAnsi="Times New Roman" w:eastAsia="Times New Roman" w:cs="Times New Roman"/>
                <w:b w:val="0"/>
                <w:i w:val="0"/>
                <w:sz w:val="18"/>
              </w:rPr>
              <w:t>-0.093</w:t>
            </w:r>
          </w:p>
        </w:tc>
        <w:tc>
          <w:tcPr>
            <w:tcW w:w="3360" w:type="dxa"/>
            <w:tcBorders>
              <w:top w:val="nil"/>
              <w:left w:val="nil"/>
              <w:bottom w:val="nil"/>
              <w:right w:val="nil"/>
              <w:insideH w:val="nil"/>
              <w:insideV w:val="nil"/>
            </w:tcBorders>
            <w:vAlign w:val="center"/>
          </w:tcPr>
          <w:p w14:paraId="6634A413">
            <w:pPr>
              <w:spacing w:before="0" w:after="0" w:line="240" w:lineRule="auto"/>
              <w:jc w:val="left"/>
            </w:pPr>
            <w:r>
              <w:rPr>
                <w:rFonts w:ascii="Times New Roman" w:hAnsi="Times New Roman" w:eastAsia="Times New Roman" w:cs="Times New Roman"/>
                <w:b w:val="0"/>
                <w:i w:val="0"/>
                <w:sz w:val="18"/>
              </w:rPr>
              <w:t>-1.8</w:t>
            </w:r>
          </w:p>
        </w:tc>
      </w:tr>
      <w:tr w14:paraId="11E0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single" w:color="000000" w:sz="10" w:space="0"/>
              <w:right w:val="nil"/>
              <w:insideH w:val="nil"/>
              <w:insideV w:val="nil"/>
            </w:tcBorders>
            <w:vAlign w:val="center"/>
          </w:tcPr>
          <w:p w14:paraId="69665E3E">
            <w:pPr>
              <w:spacing w:before="0" w:after="0" w:line="240" w:lineRule="auto"/>
              <w:jc w:val="left"/>
            </w:pPr>
            <w:r>
              <w:rPr>
                <w:rFonts w:ascii="Times New Roman" w:hAnsi="Times New Roman" w:eastAsia="Times New Roman" w:cs="Times New Roman"/>
                <w:b w:val="0"/>
                <w:i w:val="0"/>
                <w:sz w:val="18"/>
              </w:rPr>
              <w:t>8</w:t>
            </w:r>
          </w:p>
        </w:tc>
        <w:tc>
          <w:tcPr>
            <w:tcW w:w="3360" w:type="dxa"/>
            <w:tcBorders>
              <w:top w:val="nil"/>
              <w:left w:val="nil"/>
              <w:bottom w:val="single" w:color="000000" w:sz="10" w:space="0"/>
              <w:right w:val="nil"/>
              <w:insideH w:val="nil"/>
              <w:insideV w:val="nil"/>
            </w:tcBorders>
            <w:vAlign w:val="center"/>
          </w:tcPr>
          <w:p w14:paraId="6FF00A8F">
            <w:pPr>
              <w:spacing w:before="0" w:after="0" w:line="240" w:lineRule="auto"/>
              <w:jc w:val="left"/>
            </w:pPr>
            <w:r>
              <w:rPr>
                <w:rFonts w:ascii="Times New Roman" w:hAnsi="Times New Roman" w:eastAsia="Times New Roman" w:cs="Times New Roman"/>
                <w:b w:val="0"/>
                <w:i w:val="0"/>
                <w:sz w:val="18"/>
              </w:rPr>
              <w:t>-0.084</w:t>
            </w:r>
          </w:p>
        </w:tc>
        <w:tc>
          <w:tcPr>
            <w:tcW w:w="3360" w:type="dxa"/>
            <w:tcBorders>
              <w:top w:val="nil"/>
              <w:left w:val="nil"/>
              <w:bottom w:val="single" w:color="000000" w:sz="10" w:space="0"/>
              <w:right w:val="nil"/>
              <w:insideH w:val="nil"/>
              <w:insideV w:val="nil"/>
            </w:tcBorders>
            <w:vAlign w:val="center"/>
          </w:tcPr>
          <w:p w14:paraId="40864373">
            <w:pPr>
              <w:spacing w:before="0" w:after="0" w:line="240" w:lineRule="auto"/>
              <w:jc w:val="left"/>
            </w:pPr>
            <w:r>
              <w:rPr>
                <w:rFonts w:ascii="Times New Roman" w:hAnsi="Times New Roman" w:eastAsia="Times New Roman" w:cs="Times New Roman"/>
                <w:b w:val="0"/>
                <w:i w:val="0"/>
                <w:sz w:val="18"/>
              </w:rPr>
              <w:t>-1.3</w:t>
            </w:r>
          </w:p>
        </w:tc>
      </w:tr>
    </w:tbl>
    <w:p w14:paraId="21771A06">
      <w:pPr>
        <w:spacing w:before="120" w:after="60" w:line="240" w:lineRule="auto"/>
        <w:jc w:val="left"/>
      </w:pPr>
      <w:r>
        <w:rPr>
          <w:rFonts w:ascii="Times New Roman" w:hAnsi="Times New Roman" w:eastAsia="Times New Roman" w:cs="Times New Roman"/>
          <w:b/>
          <w:sz w:val="20"/>
        </w:rPr>
        <w:t>Table S6.</w:t>
      </w:r>
      <w:r>
        <w:rPr>
          <w:rFonts w:ascii="Times New Roman" w:hAnsi="Times New Roman" w:eastAsia="Times New Roman" w:cs="Times New Roman"/>
          <w:i w:val="0"/>
          <w:sz w:val="20"/>
        </w:rPr>
        <w:t xml:space="preserve"> Full descriptive attenuation models</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2"/>
        <w:gridCol w:w="1586"/>
        <w:gridCol w:w="1598"/>
        <w:gridCol w:w="1612"/>
        <w:gridCol w:w="1620"/>
        <w:gridCol w:w="1598"/>
      </w:tblGrid>
      <w:tr w14:paraId="2C1E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80" w:type="dxa"/>
            <w:tcBorders>
              <w:top w:val="single" w:color="000000" w:sz="10" w:space="0"/>
              <w:left w:val="nil"/>
              <w:bottom w:val="single" w:color="000000" w:sz="10" w:space="0"/>
              <w:right w:val="nil"/>
              <w:insideH w:val="nil"/>
              <w:insideV w:val="nil"/>
            </w:tcBorders>
            <w:vAlign w:val="center"/>
          </w:tcPr>
          <w:p w14:paraId="10FA2130">
            <w:pPr>
              <w:spacing w:before="0" w:after="0" w:line="240" w:lineRule="auto"/>
              <w:jc w:val="left"/>
            </w:pPr>
            <w:r>
              <w:rPr>
                <w:rFonts w:ascii="Times New Roman" w:hAnsi="Times New Roman" w:eastAsia="Times New Roman" w:cs="Times New Roman"/>
                <w:b/>
                <w:i w:val="0"/>
                <w:sz w:val="17"/>
              </w:rPr>
              <w:t>Event time</w:t>
            </w:r>
          </w:p>
        </w:tc>
        <w:tc>
          <w:tcPr>
            <w:tcW w:w="1680" w:type="dxa"/>
            <w:tcBorders>
              <w:top w:val="single" w:color="000000" w:sz="10" w:space="0"/>
              <w:left w:val="nil"/>
              <w:bottom w:val="single" w:color="000000" w:sz="10" w:space="0"/>
              <w:right w:val="nil"/>
              <w:insideH w:val="nil"/>
              <w:insideV w:val="nil"/>
            </w:tcBorders>
            <w:vAlign w:val="center"/>
          </w:tcPr>
          <w:p w14:paraId="03C57357">
            <w:pPr>
              <w:spacing w:before="0" w:after="0" w:line="240" w:lineRule="auto"/>
              <w:jc w:val="left"/>
            </w:pPr>
            <w:r>
              <w:rPr>
                <w:rFonts w:ascii="Times New Roman" w:hAnsi="Times New Roman" w:eastAsia="Times New Roman" w:cs="Times New Roman"/>
                <w:b/>
                <w:i w:val="0"/>
                <w:sz w:val="17"/>
              </w:rPr>
              <w:t>Total penalty</w:t>
            </w:r>
          </w:p>
        </w:tc>
        <w:tc>
          <w:tcPr>
            <w:tcW w:w="1680" w:type="dxa"/>
            <w:tcBorders>
              <w:top w:val="single" w:color="000000" w:sz="10" w:space="0"/>
              <w:left w:val="nil"/>
              <w:bottom w:val="single" w:color="000000" w:sz="10" w:space="0"/>
              <w:right w:val="nil"/>
              <w:insideH w:val="nil"/>
              <w:insideV w:val="nil"/>
            </w:tcBorders>
            <w:vAlign w:val="center"/>
          </w:tcPr>
          <w:p w14:paraId="0B04557A">
            <w:pPr>
              <w:spacing w:before="0" w:after="0" w:line="240" w:lineRule="auto"/>
              <w:jc w:val="left"/>
            </w:pPr>
            <w:r>
              <w:rPr>
                <w:rFonts w:ascii="Times New Roman" w:hAnsi="Times New Roman" w:eastAsia="Times New Roman" w:cs="Times New Roman"/>
                <w:b/>
                <w:i w:val="0"/>
                <w:sz w:val="17"/>
              </w:rPr>
              <w:t>Adjusted coefficient</w:t>
            </w:r>
          </w:p>
        </w:tc>
        <w:tc>
          <w:tcPr>
            <w:tcW w:w="1680" w:type="dxa"/>
            <w:tcBorders>
              <w:top w:val="single" w:color="000000" w:sz="10" w:space="0"/>
              <w:left w:val="nil"/>
              <w:bottom w:val="single" w:color="000000" w:sz="10" w:space="0"/>
              <w:right w:val="nil"/>
              <w:insideH w:val="nil"/>
              <w:insideV w:val="nil"/>
            </w:tcBorders>
            <w:vAlign w:val="center"/>
          </w:tcPr>
          <w:p w14:paraId="35AFDB04">
            <w:pPr>
              <w:spacing w:before="0" w:after="0" w:line="240" w:lineRule="auto"/>
              <w:jc w:val="left"/>
            </w:pPr>
            <w:r>
              <w:rPr>
                <w:rFonts w:ascii="Times New Roman" w:hAnsi="Times New Roman" w:eastAsia="Times New Roman" w:cs="Times New Roman"/>
                <w:b/>
                <w:i w:val="0"/>
                <w:sz w:val="17"/>
              </w:rPr>
              <w:t>Attenuation</w:t>
            </w:r>
          </w:p>
        </w:tc>
        <w:tc>
          <w:tcPr>
            <w:tcW w:w="1680" w:type="dxa"/>
            <w:tcBorders>
              <w:top w:val="single" w:color="000000" w:sz="10" w:space="0"/>
              <w:left w:val="nil"/>
              <w:bottom w:val="single" w:color="000000" w:sz="10" w:space="0"/>
              <w:right w:val="nil"/>
              <w:insideH w:val="nil"/>
              <w:insideV w:val="nil"/>
            </w:tcBorders>
            <w:vAlign w:val="center"/>
          </w:tcPr>
          <w:p w14:paraId="5374072B">
            <w:pPr>
              <w:spacing w:before="0" w:after="0" w:line="240" w:lineRule="auto"/>
              <w:jc w:val="left"/>
            </w:pPr>
            <w:r>
              <w:rPr>
                <w:rFonts w:ascii="Times New Roman" w:hAnsi="Times New Roman" w:eastAsia="Times New Roman" w:cs="Times New Roman"/>
                <w:b/>
                <w:i w:val="0"/>
                <w:sz w:val="17"/>
              </w:rPr>
              <w:t>Employment coefficient</w:t>
            </w:r>
          </w:p>
        </w:tc>
        <w:tc>
          <w:tcPr>
            <w:tcW w:w="1680" w:type="dxa"/>
            <w:tcBorders>
              <w:top w:val="single" w:color="000000" w:sz="10" w:space="0"/>
              <w:left w:val="nil"/>
              <w:bottom w:val="single" w:color="000000" w:sz="10" w:space="0"/>
              <w:right w:val="nil"/>
              <w:insideH w:val="nil"/>
              <w:insideV w:val="nil"/>
            </w:tcBorders>
            <w:vAlign w:val="center"/>
          </w:tcPr>
          <w:p w14:paraId="7553605C">
            <w:pPr>
              <w:spacing w:before="0" w:after="0" w:line="240" w:lineRule="auto"/>
              <w:jc w:val="left"/>
            </w:pPr>
            <w:r>
              <w:rPr>
                <w:rFonts w:ascii="Times New Roman" w:hAnsi="Times New Roman" w:eastAsia="Times New Roman" w:cs="Times New Roman"/>
                <w:b/>
                <w:i w:val="0"/>
                <w:sz w:val="17"/>
              </w:rPr>
              <w:t>Hours coefficient</w:t>
            </w:r>
          </w:p>
        </w:tc>
      </w:tr>
      <w:tr w14:paraId="19A5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tcBorders>
              <w:top w:val="nil"/>
              <w:left w:val="nil"/>
              <w:bottom w:val="nil"/>
              <w:right w:val="nil"/>
              <w:insideH w:val="nil"/>
              <w:insideV w:val="nil"/>
            </w:tcBorders>
            <w:vAlign w:val="center"/>
          </w:tcPr>
          <w:p w14:paraId="3619FEB8">
            <w:pPr>
              <w:spacing w:before="0" w:after="0" w:line="240" w:lineRule="auto"/>
              <w:jc w:val="left"/>
            </w:pPr>
            <w:r>
              <w:rPr>
                <w:rFonts w:ascii="Times New Roman" w:hAnsi="Times New Roman" w:eastAsia="Times New Roman" w:cs="Times New Roman"/>
                <w:b w:val="0"/>
                <w:i w:val="0"/>
                <w:sz w:val="17"/>
              </w:rPr>
              <w:t>0</w:t>
            </w:r>
          </w:p>
        </w:tc>
        <w:tc>
          <w:tcPr>
            <w:tcW w:w="1680" w:type="dxa"/>
            <w:tcBorders>
              <w:top w:val="nil"/>
              <w:left w:val="nil"/>
              <w:bottom w:val="nil"/>
              <w:right w:val="nil"/>
              <w:insideH w:val="nil"/>
              <w:insideV w:val="nil"/>
            </w:tcBorders>
            <w:vAlign w:val="center"/>
          </w:tcPr>
          <w:p w14:paraId="2957B1D8">
            <w:pPr>
              <w:spacing w:before="0" w:after="0" w:line="240" w:lineRule="auto"/>
              <w:jc w:val="left"/>
            </w:pPr>
            <w:r>
              <w:rPr>
                <w:rFonts w:ascii="Times New Roman" w:hAnsi="Times New Roman" w:eastAsia="Times New Roman" w:cs="Times New Roman"/>
                <w:b w:val="0"/>
                <w:i w:val="0"/>
                <w:sz w:val="17"/>
              </w:rPr>
              <w:t>-0.136*** (0.018)</w:t>
            </w:r>
          </w:p>
        </w:tc>
        <w:tc>
          <w:tcPr>
            <w:tcW w:w="1680" w:type="dxa"/>
            <w:tcBorders>
              <w:top w:val="nil"/>
              <w:left w:val="nil"/>
              <w:bottom w:val="nil"/>
              <w:right w:val="nil"/>
              <w:insideH w:val="nil"/>
              <w:insideV w:val="nil"/>
            </w:tcBorders>
            <w:vAlign w:val="center"/>
          </w:tcPr>
          <w:p w14:paraId="1011C9F5">
            <w:pPr>
              <w:spacing w:before="0" w:after="0" w:line="240" w:lineRule="auto"/>
              <w:jc w:val="left"/>
            </w:pPr>
            <w:r>
              <w:rPr>
                <w:rFonts w:ascii="Times New Roman" w:hAnsi="Times New Roman" w:eastAsia="Times New Roman" w:cs="Times New Roman"/>
                <w:b w:val="0"/>
                <w:i w:val="0"/>
                <w:sz w:val="17"/>
              </w:rPr>
              <w:t>-0.058** (0.022)</w:t>
            </w:r>
          </w:p>
        </w:tc>
        <w:tc>
          <w:tcPr>
            <w:tcW w:w="1680" w:type="dxa"/>
            <w:tcBorders>
              <w:top w:val="nil"/>
              <w:left w:val="nil"/>
              <w:bottom w:val="nil"/>
              <w:right w:val="nil"/>
              <w:insideH w:val="nil"/>
              <w:insideV w:val="nil"/>
            </w:tcBorders>
            <w:vAlign w:val="center"/>
          </w:tcPr>
          <w:p w14:paraId="798C49C7">
            <w:pPr>
              <w:spacing w:before="0" w:after="0" w:line="240" w:lineRule="auto"/>
              <w:jc w:val="left"/>
            </w:pPr>
            <w:r>
              <w:rPr>
                <w:rFonts w:ascii="Times New Roman" w:hAnsi="Times New Roman" w:eastAsia="Times New Roman" w:cs="Times New Roman"/>
                <w:b w:val="0"/>
                <w:i w:val="0"/>
                <w:sz w:val="17"/>
              </w:rPr>
              <w:t>57.4%</w:t>
            </w:r>
          </w:p>
        </w:tc>
        <w:tc>
          <w:tcPr>
            <w:tcW w:w="1680" w:type="dxa"/>
            <w:tcBorders>
              <w:top w:val="nil"/>
              <w:left w:val="nil"/>
              <w:bottom w:val="nil"/>
              <w:right w:val="nil"/>
              <w:insideH w:val="nil"/>
              <w:insideV w:val="nil"/>
            </w:tcBorders>
            <w:vAlign w:val="center"/>
          </w:tcPr>
          <w:p w14:paraId="7786B3A9">
            <w:pPr>
              <w:spacing w:before="0" w:after="0" w:line="240" w:lineRule="auto"/>
              <w:jc w:val="left"/>
            </w:pPr>
            <w:r>
              <w:rPr>
                <w:rFonts w:ascii="Times New Roman" w:hAnsi="Times New Roman" w:eastAsia="Times New Roman" w:cs="Times New Roman"/>
                <w:b w:val="0"/>
                <w:i w:val="0"/>
                <w:sz w:val="17"/>
              </w:rPr>
              <w:t>0.324*** (0.019)</w:t>
            </w:r>
          </w:p>
        </w:tc>
        <w:tc>
          <w:tcPr>
            <w:tcW w:w="1680" w:type="dxa"/>
            <w:tcBorders>
              <w:top w:val="nil"/>
              <w:left w:val="nil"/>
              <w:bottom w:val="nil"/>
              <w:right w:val="nil"/>
              <w:insideH w:val="nil"/>
              <w:insideV w:val="nil"/>
            </w:tcBorders>
            <w:vAlign w:val="center"/>
          </w:tcPr>
          <w:p w14:paraId="6E39DCC8">
            <w:pPr>
              <w:spacing w:before="0" w:after="0" w:line="240" w:lineRule="auto"/>
              <w:jc w:val="left"/>
            </w:pPr>
            <w:r>
              <w:rPr>
                <w:rFonts w:ascii="Times New Roman" w:hAnsi="Times New Roman" w:eastAsia="Times New Roman" w:cs="Times New Roman"/>
                <w:b w:val="0"/>
                <w:i w:val="0"/>
                <w:sz w:val="17"/>
              </w:rPr>
              <w:t>0.008*** (0.001)</w:t>
            </w:r>
          </w:p>
        </w:tc>
      </w:tr>
      <w:tr w14:paraId="2EB3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tcBorders>
              <w:top w:val="nil"/>
              <w:left w:val="nil"/>
              <w:bottom w:val="nil"/>
              <w:right w:val="nil"/>
              <w:insideH w:val="nil"/>
              <w:insideV w:val="nil"/>
            </w:tcBorders>
            <w:vAlign w:val="center"/>
          </w:tcPr>
          <w:p w14:paraId="770D9054">
            <w:pPr>
              <w:spacing w:before="0" w:after="0" w:line="240" w:lineRule="auto"/>
              <w:jc w:val="left"/>
            </w:pPr>
            <w:r>
              <w:rPr>
                <w:rFonts w:ascii="Times New Roman" w:hAnsi="Times New Roman" w:eastAsia="Times New Roman" w:cs="Times New Roman"/>
                <w:b w:val="0"/>
                <w:i w:val="0"/>
                <w:sz w:val="17"/>
              </w:rPr>
              <w:t>+1</w:t>
            </w:r>
          </w:p>
        </w:tc>
        <w:tc>
          <w:tcPr>
            <w:tcW w:w="1680" w:type="dxa"/>
            <w:tcBorders>
              <w:top w:val="nil"/>
              <w:left w:val="nil"/>
              <w:bottom w:val="nil"/>
              <w:right w:val="nil"/>
              <w:insideH w:val="nil"/>
              <w:insideV w:val="nil"/>
            </w:tcBorders>
            <w:vAlign w:val="center"/>
          </w:tcPr>
          <w:p w14:paraId="45115826">
            <w:pPr>
              <w:spacing w:before="0" w:after="0" w:line="240" w:lineRule="auto"/>
              <w:jc w:val="left"/>
            </w:pPr>
            <w:r>
              <w:rPr>
                <w:rFonts w:ascii="Times New Roman" w:hAnsi="Times New Roman" w:eastAsia="Times New Roman" w:cs="Times New Roman"/>
                <w:b w:val="0"/>
                <w:i w:val="0"/>
                <w:sz w:val="17"/>
              </w:rPr>
              <w:t>-0.294*** (0.021)</w:t>
            </w:r>
          </w:p>
        </w:tc>
        <w:tc>
          <w:tcPr>
            <w:tcW w:w="1680" w:type="dxa"/>
            <w:tcBorders>
              <w:top w:val="nil"/>
              <w:left w:val="nil"/>
              <w:bottom w:val="nil"/>
              <w:right w:val="nil"/>
              <w:insideH w:val="nil"/>
              <w:insideV w:val="nil"/>
            </w:tcBorders>
            <w:vAlign w:val="center"/>
          </w:tcPr>
          <w:p w14:paraId="77B8986B">
            <w:pPr>
              <w:spacing w:before="0" w:after="0" w:line="240" w:lineRule="auto"/>
              <w:jc w:val="left"/>
            </w:pPr>
            <w:r>
              <w:rPr>
                <w:rFonts w:ascii="Times New Roman" w:hAnsi="Times New Roman" w:eastAsia="Times New Roman" w:cs="Times New Roman"/>
                <w:b w:val="0"/>
                <w:i w:val="0"/>
                <w:sz w:val="17"/>
              </w:rPr>
              <w:t>-0.112*** (0.025)</w:t>
            </w:r>
          </w:p>
        </w:tc>
        <w:tc>
          <w:tcPr>
            <w:tcW w:w="1680" w:type="dxa"/>
            <w:tcBorders>
              <w:top w:val="nil"/>
              <w:left w:val="nil"/>
              <w:bottom w:val="nil"/>
              <w:right w:val="nil"/>
              <w:insideH w:val="nil"/>
              <w:insideV w:val="nil"/>
            </w:tcBorders>
            <w:vAlign w:val="center"/>
          </w:tcPr>
          <w:p w14:paraId="026AC09F">
            <w:pPr>
              <w:spacing w:before="0" w:after="0" w:line="240" w:lineRule="auto"/>
              <w:jc w:val="left"/>
            </w:pPr>
            <w:r>
              <w:rPr>
                <w:rFonts w:ascii="Times New Roman" w:hAnsi="Times New Roman" w:eastAsia="Times New Roman" w:cs="Times New Roman"/>
                <w:b w:val="0"/>
                <w:i w:val="0"/>
                <w:sz w:val="17"/>
              </w:rPr>
              <w:t>61.9%</w:t>
            </w:r>
          </w:p>
        </w:tc>
        <w:tc>
          <w:tcPr>
            <w:tcW w:w="1680" w:type="dxa"/>
            <w:tcBorders>
              <w:top w:val="nil"/>
              <w:left w:val="nil"/>
              <w:bottom w:val="nil"/>
              <w:right w:val="nil"/>
              <w:insideH w:val="nil"/>
              <w:insideV w:val="nil"/>
            </w:tcBorders>
            <w:vAlign w:val="center"/>
          </w:tcPr>
          <w:p w14:paraId="4364627C">
            <w:pPr>
              <w:spacing w:before="0" w:after="0" w:line="240" w:lineRule="auto"/>
              <w:jc w:val="left"/>
            </w:pPr>
            <w:r>
              <w:rPr>
                <w:rFonts w:ascii="Times New Roman" w:hAnsi="Times New Roman" w:eastAsia="Times New Roman" w:cs="Times New Roman"/>
                <w:b w:val="0"/>
                <w:i w:val="0"/>
                <w:sz w:val="17"/>
              </w:rPr>
              <w:t>0.341*** (0.021)</w:t>
            </w:r>
          </w:p>
        </w:tc>
        <w:tc>
          <w:tcPr>
            <w:tcW w:w="1680" w:type="dxa"/>
            <w:tcBorders>
              <w:top w:val="nil"/>
              <w:left w:val="nil"/>
              <w:bottom w:val="nil"/>
              <w:right w:val="nil"/>
              <w:insideH w:val="nil"/>
              <w:insideV w:val="nil"/>
            </w:tcBorders>
            <w:vAlign w:val="center"/>
          </w:tcPr>
          <w:p w14:paraId="475E2C9B">
            <w:pPr>
              <w:spacing w:before="0" w:after="0" w:line="240" w:lineRule="auto"/>
              <w:jc w:val="left"/>
            </w:pPr>
            <w:r>
              <w:rPr>
                <w:rFonts w:ascii="Times New Roman" w:hAnsi="Times New Roman" w:eastAsia="Times New Roman" w:cs="Times New Roman"/>
                <w:b w:val="0"/>
                <w:i w:val="0"/>
                <w:sz w:val="17"/>
              </w:rPr>
              <w:t>0.009*** (0.001)</w:t>
            </w:r>
          </w:p>
        </w:tc>
      </w:tr>
      <w:tr w14:paraId="6513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tcBorders>
              <w:top w:val="nil"/>
              <w:left w:val="nil"/>
              <w:bottom w:val="nil"/>
              <w:right w:val="nil"/>
              <w:insideH w:val="nil"/>
              <w:insideV w:val="nil"/>
            </w:tcBorders>
            <w:vAlign w:val="center"/>
          </w:tcPr>
          <w:p w14:paraId="13C3A177">
            <w:pPr>
              <w:spacing w:before="0" w:after="0" w:line="240" w:lineRule="auto"/>
              <w:jc w:val="left"/>
            </w:pPr>
            <w:r>
              <w:rPr>
                <w:rFonts w:ascii="Times New Roman" w:hAnsi="Times New Roman" w:eastAsia="Times New Roman" w:cs="Times New Roman"/>
                <w:b w:val="0"/>
                <w:i w:val="0"/>
                <w:sz w:val="17"/>
              </w:rPr>
              <w:t>+2</w:t>
            </w:r>
          </w:p>
        </w:tc>
        <w:tc>
          <w:tcPr>
            <w:tcW w:w="1680" w:type="dxa"/>
            <w:tcBorders>
              <w:top w:val="nil"/>
              <w:left w:val="nil"/>
              <w:bottom w:val="nil"/>
              <w:right w:val="nil"/>
              <w:insideH w:val="nil"/>
              <w:insideV w:val="nil"/>
            </w:tcBorders>
            <w:vAlign w:val="center"/>
          </w:tcPr>
          <w:p w14:paraId="243A8CE1">
            <w:pPr>
              <w:spacing w:before="0" w:after="0" w:line="240" w:lineRule="auto"/>
              <w:jc w:val="left"/>
            </w:pPr>
            <w:r>
              <w:rPr>
                <w:rFonts w:ascii="Times New Roman" w:hAnsi="Times New Roman" w:eastAsia="Times New Roman" w:cs="Times New Roman"/>
                <w:b w:val="0"/>
                <w:i w:val="0"/>
                <w:sz w:val="17"/>
              </w:rPr>
              <w:t>-0.421*** (0.023)</w:t>
            </w:r>
          </w:p>
        </w:tc>
        <w:tc>
          <w:tcPr>
            <w:tcW w:w="1680" w:type="dxa"/>
            <w:tcBorders>
              <w:top w:val="nil"/>
              <w:left w:val="nil"/>
              <w:bottom w:val="nil"/>
              <w:right w:val="nil"/>
              <w:insideH w:val="nil"/>
              <w:insideV w:val="nil"/>
            </w:tcBorders>
            <w:vAlign w:val="center"/>
          </w:tcPr>
          <w:p w14:paraId="16EEF267">
            <w:pPr>
              <w:spacing w:before="0" w:after="0" w:line="240" w:lineRule="auto"/>
              <w:jc w:val="left"/>
            </w:pPr>
            <w:r>
              <w:rPr>
                <w:rFonts w:ascii="Times New Roman" w:hAnsi="Times New Roman" w:eastAsia="Times New Roman" w:cs="Times New Roman"/>
                <w:b w:val="0"/>
                <w:i w:val="0"/>
                <w:sz w:val="17"/>
              </w:rPr>
              <w:t>-0.167*** (0.028)</w:t>
            </w:r>
          </w:p>
        </w:tc>
        <w:tc>
          <w:tcPr>
            <w:tcW w:w="1680" w:type="dxa"/>
            <w:tcBorders>
              <w:top w:val="nil"/>
              <w:left w:val="nil"/>
              <w:bottom w:val="nil"/>
              <w:right w:val="nil"/>
              <w:insideH w:val="nil"/>
              <w:insideV w:val="nil"/>
            </w:tcBorders>
            <w:vAlign w:val="center"/>
          </w:tcPr>
          <w:p w14:paraId="22AEEDE4">
            <w:pPr>
              <w:spacing w:before="0" w:after="0" w:line="240" w:lineRule="auto"/>
              <w:jc w:val="left"/>
            </w:pPr>
            <w:r>
              <w:rPr>
                <w:rFonts w:ascii="Times New Roman" w:hAnsi="Times New Roman" w:eastAsia="Times New Roman" w:cs="Times New Roman"/>
                <w:b w:val="0"/>
                <w:i w:val="0"/>
                <w:sz w:val="17"/>
              </w:rPr>
              <w:t>60.3%</w:t>
            </w:r>
          </w:p>
        </w:tc>
        <w:tc>
          <w:tcPr>
            <w:tcW w:w="1680" w:type="dxa"/>
            <w:tcBorders>
              <w:top w:val="nil"/>
              <w:left w:val="nil"/>
              <w:bottom w:val="nil"/>
              <w:right w:val="nil"/>
              <w:insideH w:val="nil"/>
              <w:insideV w:val="nil"/>
            </w:tcBorders>
            <w:vAlign w:val="center"/>
          </w:tcPr>
          <w:p w14:paraId="574857AE">
            <w:pPr>
              <w:spacing w:before="0" w:after="0" w:line="240" w:lineRule="auto"/>
              <w:jc w:val="left"/>
            </w:pPr>
            <w:r>
              <w:rPr>
                <w:rFonts w:ascii="Times New Roman" w:hAnsi="Times New Roman" w:eastAsia="Times New Roman" w:cs="Times New Roman"/>
                <w:b w:val="0"/>
                <w:i w:val="0"/>
                <w:sz w:val="17"/>
              </w:rPr>
              <w:t>0.358*** (0.023)</w:t>
            </w:r>
          </w:p>
        </w:tc>
        <w:tc>
          <w:tcPr>
            <w:tcW w:w="1680" w:type="dxa"/>
            <w:tcBorders>
              <w:top w:val="nil"/>
              <w:left w:val="nil"/>
              <w:bottom w:val="nil"/>
              <w:right w:val="nil"/>
              <w:insideH w:val="nil"/>
              <w:insideV w:val="nil"/>
            </w:tcBorders>
            <w:vAlign w:val="center"/>
          </w:tcPr>
          <w:p w14:paraId="371D20AF">
            <w:pPr>
              <w:spacing w:before="0" w:after="0" w:line="240" w:lineRule="auto"/>
              <w:jc w:val="left"/>
            </w:pPr>
            <w:r>
              <w:rPr>
                <w:rFonts w:ascii="Times New Roman" w:hAnsi="Times New Roman" w:eastAsia="Times New Roman" w:cs="Times New Roman"/>
                <w:b w:val="0"/>
                <w:i w:val="0"/>
                <w:sz w:val="17"/>
              </w:rPr>
              <w:t>0.010*** (0.001)</w:t>
            </w:r>
          </w:p>
        </w:tc>
      </w:tr>
      <w:tr w14:paraId="6664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tcBorders>
              <w:top w:val="nil"/>
              <w:left w:val="nil"/>
              <w:bottom w:val="nil"/>
              <w:right w:val="nil"/>
              <w:insideH w:val="nil"/>
              <w:insideV w:val="nil"/>
            </w:tcBorders>
            <w:vAlign w:val="center"/>
          </w:tcPr>
          <w:p w14:paraId="1B9E9204">
            <w:pPr>
              <w:spacing w:before="0" w:after="0" w:line="240" w:lineRule="auto"/>
              <w:jc w:val="left"/>
            </w:pPr>
            <w:r>
              <w:rPr>
                <w:rFonts w:ascii="Times New Roman" w:hAnsi="Times New Roman" w:eastAsia="Times New Roman" w:cs="Times New Roman"/>
                <w:b w:val="0"/>
                <w:i w:val="0"/>
                <w:sz w:val="17"/>
              </w:rPr>
              <w:t>+3</w:t>
            </w:r>
          </w:p>
        </w:tc>
        <w:tc>
          <w:tcPr>
            <w:tcW w:w="1680" w:type="dxa"/>
            <w:tcBorders>
              <w:top w:val="nil"/>
              <w:left w:val="nil"/>
              <w:bottom w:val="nil"/>
              <w:right w:val="nil"/>
              <w:insideH w:val="nil"/>
              <w:insideV w:val="nil"/>
            </w:tcBorders>
            <w:vAlign w:val="center"/>
          </w:tcPr>
          <w:p w14:paraId="1429BC1C">
            <w:pPr>
              <w:spacing w:before="0" w:after="0" w:line="240" w:lineRule="auto"/>
              <w:jc w:val="left"/>
            </w:pPr>
            <w:r>
              <w:rPr>
                <w:rFonts w:ascii="Times New Roman" w:hAnsi="Times New Roman" w:eastAsia="Times New Roman" w:cs="Times New Roman"/>
                <w:b w:val="0"/>
                <w:i w:val="0"/>
                <w:sz w:val="17"/>
              </w:rPr>
              <w:t>-0.388*** (0.024)</w:t>
            </w:r>
          </w:p>
        </w:tc>
        <w:tc>
          <w:tcPr>
            <w:tcW w:w="1680" w:type="dxa"/>
            <w:tcBorders>
              <w:top w:val="nil"/>
              <w:left w:val="nil"/>
              <w:bottom w:val="nil"/>
              <w:right w:val="nil"/>
              <w:insideH w:val="nil"/>
              <w:insideV w:val="nil"/>
            </w:tcBorders>
            <w:vAlign w:val="center"/>
          </w:tcPr>
          <w:p w14:paraId="7A2F920F">
            <w:pPr>
              <w:spacing w:before="0" w:after="0" w:line="240" w:lineRule="auto"/>
              <w:jc w:val="left"/>
            </w:pPr>
            <w:r>
              <w:rPr>
                <w:rFonts w:ascii="Times New Roman" w:hAnsi="Times New Roman" w:eastAsia="Times New Roman" w:cs="Times New Roman"/>
                <w:b w:val="0"/>
                <w:i w:val="0"/>
                <w:sz w:val="17"/>
              </w:rPr>
              <w:t>-0.148*** (0.029)</w:t>
            </w:r>
          </w:p>
        </w:tc>
        <w:tc>
          <w:tcPr>
            <w:tcW w:w="1680" w:type="dxa"/>
            <w:tcBorders>
              <w:top w:val="nil"/>
              <w:left w:val="nil"/>
              <w:bottom w:val="nil"/>
              <w:right w:val="nil"/>
              <w:insideH w:val="nil"/>
              <w:insideV w:val="nil"/>
            </w:tcBorders>
            <w:vAlign w:val="center"/>
          </w:tcPr>
          <w:p w14:paraId="6E890F7B">
            <w:pPr>
              <w:spacing w:before="0" w:after="0" w:line="240" w:lineRule="auto"/>
              <w:jc w:val="left"/>
            </w:pPr>
            <w:r>
              <w:rPr>
                <w:rFonts w:ascii="Times New Roman" w:hAnsi="Times New Roman" w:eastAsia="Times New Roman" w:cs="Times New Roman"/>
                <w:b w:val="0"/>
                <w:i w:val="0"/>
                <w:sz w:val="17"/>
              </w:rPr>
              <w:t>61.9%</w:t>
            </w:r>
          </w:p>
        </w:tc>
        <w:tc>
          <w:tcPr>
            <w:tcW w:w="1680" w:type="dxa"/>
            <w:tcBorders>
              <w:top w:val="nil"/>
              <w:left w:val="nil"/>
              <w:bottom w:val="nil"/>
              <w:right w:val="nil"/>
              <w:insideH w:val="nil"/>
              <w:insideV w:val="nil"/>
            </w:tcBorders>
            <w:vAlign w:val="center"/>
          </w:tcPr>
          <w:p w14:paraId="75190B62">
            <w:pPr>
              <w:spacing w:before="0" w:after="0" w:line="240" w:lineRule="auto"/>
              <w:jc w:val="left"/>
            </w:pPr>
            <w:r>
              <w:rPr>
                <w:rFonts w:ascii="Times New Roman" w:hAnsi="Times New Roman" w:eastAsia="Times New Roman" w:cs="Times New Roman"/>
                <w:b w:val="0"/>
                <w:i w:val="0"/>
                <w:sz w:val="17"/>
              </w:rPr>
              <w:t>0.352*** (0.024)</w:t>
            </w:r>
          </w:p>
        </w:tc>
        <w:tc>
          <w:tcPr>
            <w:tcW w:w="1680" w:type="dxa"/>
            <w:tcBorders>
              <w:top w:val="nil"/>
              <w:left w:val="nil"/>
              <w:bottom w:val="nil"/>
              <w:right w:val="nil"/>
              <w:insideH w:val="nil"/>
              <w:insideV w:val="nil"/>
            </w:tcBorders>
            <w:vAlign w:val="center"/>
          </w:tcPr>
          <w:p w14:paraId="0641E68B">
            <w:pPr>
              <w:spacing w:before="0" w:after="0" w:line="240" w:lineRule="auto"/>
              <w:jc w:val="left"/>
            </w:pPr>
            <w:r>
              <w:rPr>
                <w:rFonts w:ascii="Times New Roman" w:hAnsi="Times New Roman" w:eastAsia="Times New Roman" w:cs="Times New Roman"/>
                <w:b w:val="0"/>
                <w:i w:val="0"/>
                <w:sz w:val="17"/>
              </w:rPr>
              <w:t>0.010*** (0.001)</w:t>
            </w:r>
          </w:p>
        </w:tc>
      </w:tr>
      <w:tr w14:paraId="33E9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tcBorders>
              <w:top w:val="nil"/>
              <w:left w:val="nil"/>
              <w:bottom w:val="nil"/>
              <w:right w:val="nil"/>
              <w:insideH w:val="nil"/>
              <w:insideV w:val="nil"/>
            </w:tcBorders>
            <w:vAlign w:val="center"/>
          </w:tcPr>
          <w:p w14:paraId="1F7847EF">
            <w:pPr>
              <w:spacing w:before="0" w:after="0" w:line="240" w:lineRule="auto"/>
              <w:jc w:val="left"/>
            </w:pPr>
            <w:r>
              <w:rPr>
                <w:rFonts w:ascii="Times New Roman" w:hAnsi="Times New Roman" w:eastAsia="Times New Roman" w:cs="Times New Roman"/>
                <w:b w:val="0"/>
                <w:i w:val="0"/>
                <w:sz w:val="17"/>
              </w:rPr>
              <w:t>+4</w:t>
            </w:r>
          </w:p>
        </w:tc>
        <w:tc>
          <w:tcPr>
            <w:tcW w:w="1680" w:type="dxa"/>
            <w:tcBorders>
              <w:top w:val="nil"/>
              <w:left w:val="nil"/>
              <w:bottom w:val="nil"/>
              <w:right w:val="nil"/>
              <w:insideH w:val="nil"/>
              <w:insideV w:val="nil"/>
            </w:tcBorders>
            <w:vAlign w:val="center"/>
          </w:tcPr>
          <w:p w14:paraId="36B1E945">
            <w:pPr>
              <w:spacing w:before="0" w:after="0" w:line="240" w:lineRule="auto"/>
              <w:jc w:val="left"/>
            </w:pPr>
            <w:r>
              <w:rPr>
                <w:rFonts w:ascii="Times New Roman" w:hAnsi="Times New Roman" w:eastAsia="Times New Roman" w:cs="Times New Roman"/>
                <w:b w:val="0"/>
                <w:i w:val="0"/>
                <w:sz w:val="17"/>
              </w:rPr>
              <w:t>-0.321*** (0.026)</w:t>
            </w:r>
          </w:p>
        </w:tc>
        <w:tc>
          <w:tcPr>
            <w:tcW w:w="1680" w:type="dxa"/>
            <w:tcBorders>
              <w:top w:val="nil"/>
              <w:left w:val="nil"/>
              <w:bottom w:val="nil"/>
              <w:right w:val="nil"/>
              <w:insideH w:val="nil"/>
              <w:insideV w:val="nil"/>
            </w:tcBorders>
            <w:vAlign w:val="center"/>
          </w:tcPr>
          <w:p w14:paraId="1B0A67E4">
            <w:pPr>
              <w:spacing w:before="0" w:after="0" w:line="240" w:lineRule="auto"/>
              <w:jc w:val="left"/>
            </w:pPr>
            <w:r>
              <w:rPr>
                <w:rFonts w:ascii="Times New Roman" w:hAnsi="Times New Roman" w:eastAsia="Times New Roman" w:cs="Times New Roman"/>
                <w:b w:val="0"/>
                <w:i w:val="0"/>
                <w:sz w:val="17"/>
              </w:rPr>
              <w:t>-0.121*** (0.031)</w:t>
            </w:r>
          </w:p>
        </w:tc>
        <w:tc>
          <w:tcPr>
            <w:tcW w:w="1680" w:type="dxa"/>
            <w:tcBorders>
              <w:top w:val="nil"/>
              <w:left w:val="nil"/>
              <w:bottom w:val="nil"/>
              <w:right w:val="nil"/>
              <w:insideH w:val="nil"/>
              <w:insideV w:val="nil"/>
            </w:tcBorders>
            <w:vAlign w:val="center"/>
          </w:tcPr>
          <w:p w14:paraId="62AB49BC">
            <w:pPr>
              <w:spacing w:before="0" w:after="0" w:line="240" w:lineRule="auto"/>
              <w:jc w:val="left"/>
            </w:pPr>
            <w:r>
              <w:rPr>
                <w:rFonts w:ascii="Times New Roman" w:hAnsi="Times New Roman" w:eastAsia="Times New Roman" w:cs="Times New Roman"/>
                <w:b w:val="0"/>
                <w:i w:val="0"/>
                <w:sz w:val="17"/>
              </w:rPr>
              <w:t>62.3%</w:t>
            </w:r>
          </w:p>
        </w:tc>
        <w:tc>
          <w:tcPr>
            <w:tcW w:w="1680" w:type="dxa"/>
            <w:tcBorders>
              <w:top w:val="nil"/>
              <w:left w:val="nil"/>
              <w:bottom w:val="nil"/>
              <w:right w:val="nil"/>
              <w:insideH w:val="nil"/>
              <w:insideV w:val="nil"/>
            </w:tcBorders>
            <w:vAlign w:val="center"/>
          </w:tcPr>
          <w:p w14:paraId="3850E866">
            <w:pPr>
              <w:spacing w:before="0" w:after="0" w:line="240" w:lineRule="auto"/>
              <w:jc w:val="left"/>
            </w:pPr>
            <w:r>
              <w:rPr>
                <w:rFonts w:ascii="Times New Roman" w:hAnsi="Times New Roman" w:eastAsia="Times New Roman" w:cs="Times New Roman"/>
                <w:b w:val="0"/>
                <w:i w:val="0"/>
                <w:sz w:val="17"/>
              </w:rPr>
              <w:t>0.348*** (0.026)</w:t>
            </w:r>
          </w:p>
        </w:tc>
        <w:tc>
          <w:tcPr>
            <w:tcW w:w="1680" w:type="dxa"/>
            <w:tcBorders>
              <w:top w:val="nil"/>
              <w:left w:val="nil"/>
              <w:bottom w:val="nil"/>
              <w:right w:val="nil"/>
              <w:insideH w:val="nil"/>
              <w:insideV w:val="nil"/>
            </w:tcBorders>
            <w:vAlign w:val="center"/>
          </w:tcPr>
          <w:p w14:paraId="1E33429F">
            <w:pPr>
              <w:spacing w:before="0" w:after="0" w:line="240" w:lineRule="auto"/>
              <w:jc w:val="left"/>
            </w:pPr>
            <w:r>
              <w:rPr>
                <w:rFonts w:ascii="Times New Roman" w:hAnsi="Times New Roman" w:eastAsia="Times New Roman" w:cs="Times New Roman"/>
                <w:b w:val="0"/>
                <w:i w:val="0"/>
                <w:sz w:val="17"/>
              </w:rPr>
              <w:t>0.010*** (0.001)</w:t>
            </w:r>
          </w:p>
        </w:tc>
      </w:tr>
      <w:tr w14:paraId="60B9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tcBorders>
              <w:top w:val="nil"/>
              <w:left w:val="nil"/>
              <w:bottom w:val="nil"/>
              <w:right w:val="nil"/>
              <w:insideH w:val="nil"/>
              <w:insideV w:val="nil"/>
            </w:tcBorders>
            <w:vAlign w:val="center"/>
          </w:tcPr>
          <w:p w14:paraId="2F766FB0">
            <w:pPr>
              <w:spacing w:before="0" w:after="0" w:line="240" w:lineRule="auto"/>
              <w:jc w:val="left"/>
            </w:pPr>
            <w:r>
              <w:rPr>
                <w:rFonts w:ascii="Times New Roman" w:hAnsi="Times New Roman" w:eastAsia="Times New Roman" w:cs="Times New Roman"/>
                <w:b w:val="0"/>
                <w:i w:val="0"/>
                <w:sz w:val="17"/>
              </w:rPr>
              <w:t>+5</w:t>
            </w:r>
          </w:p>
        </w:tc>
        <w:tc>
          <w:tcPr>
            <w:tcW w:w="1680" w:type="dxa"/>
            <w:tcBorders>
              <w:top w:val="nil"/>
              <w:left w:val="nil"/>
              <w:bottom w:val="nil"/>
              <w:right w:val="nil"/>
              <w:insideH w:val="nil"/>
              <w:insideV w:val="nil"/>
            </w:tcBorders>
            <w:vAlign w:val="center"/>
          </w:tcPr>
          <w:p w14:paraId="552CC144">
            <w:pPr>
              <w:spacing w:before="0" w:after="0" w:line="240" w:lineRule="auto"/>
              <w:jc w:val="left"/>
            </w:pPr>
            <w:r>
              <w:rPr>
                <w:rFonts w:ascii="Times New Roman" w:hAnsi="Times New Roman" w:eastAsia="Times New Roman" w:cs="Times New Roman"/>
                <w:b w:val="0"/>
                <w:i w:val="0"/>
                <w:sz w:val="17"/>
              </w:rPr>
              <w:t>-0.247*** (0.026)</w:t>
            </w:r>
          </w:p>
        </w:tc>
        <w:tc>
          <w:tcPr>
            <w:tcW w:w="1680" w:type="dxa"/>
            <w:tcBorders>
              <w:top w:val="nil"/>
              <w:left w:val="nil"/>
              <w:bottom w:val="nil"/>
              <w:right w:val="nil"/>
              <w:insideH w:val="nil"/>
              <w:insideV w:val="nil"/>
            </w:tcBorders>
            <w:vAlign w:val="center"/>
          </w:tcPr>
          <w:p w14:paraId="60B2F350">
            <w:pPr>
              <w:spacing w:before="0" w:after="0" w:line="240" w:lineRule="auto"/>
              <w:jc w:val="left"/>
            </w:pPr>
            <w:r>
              <w:rPr>
                <w:rFonts w:ascii="Times New Roman" w:hAnsi="Times New Roman" w:eastAsia="Times New Roman" w:cs="Times New Roman"/>
                <w:b w:val="0"/>
                <w:i w:val="0"/>
                <w:sz w:val="17"/>
              </w:rPr>
              <w:t>-0.114*** (0.032)</w:t>
            </w:r>
          </w:p>
        </w:tc>
        <w:tc>
          <w:tcPr>
            <w:tcW w:w="1680" w:type="dxa"/>
            <w:tcBorders>
              <w:top w:val="nil"/>
              <w:left w:val="nil"/>
              <w:bottom w:val="nil"/>
              <w:right w:val="nil"/>
              <w:insideH w:val="nil"/>
              <w:insideV w:val="nil"/>
            </w:tcBorders>
            <w:vAlign w:val="center"/>
          </w:tcPr>
          <w:p w14:paraId="51A1B371">
            <w:pPr>
              <w:spacing w:before="0" w:after="0" w:line="240" w:lineRule="auto"/>
              <w:jc w:val="left"/>
            </w:pPr>
            <w:r>
              <w:rPr>
                <w:rFonts w:ascii="Times New Roman" w:hAnsi="Times New Roman" w:eastAsia="Times New Roman" w:cs="Times New Roman"/>
                <w:b w:val="0"/>
                <w:i w:val="0"/>
                <w:sz w:val="17"/>
              </w:rPr>
              <w:t>53.8%</w:t>
            </w:r>
          </w:p>
        </w:tc>
        <w:tc>
          <w:tcPr>
            <w:tcW w:w="1680" w:type="dxa"/>
            <w:tcBorders>
              <w:top w:val="nil"/>
              <w:left w:val="nil"/>
              <w:bottom w:val="nil"/>
              <w:right w:val="nil"/>
              <w:insideH w:val="nil"/>
              <w:insideV w:val="nil"/>
            </w:tcBorders>
            <w:vAlign w:val="center"/>
          </w:tcPr>
          <w:p w14:paraId="5F357566">
            <w:pPr>
              <w:spacing w:before="0" w:after="0" w:line="240" w:lineRule="auto"/>
              <w:jc w:val="left"/>
            </w:pPr>
            <w:r>
              <w:rPr>
                <w:rFonts w:ascii="Times New Roman" w:hAnsi="Times New Roman" w:eastAsia="Times New Roman" w:cs="Times New Roman"/>
                <w:b w:val="0"/>
                <w:i w:val="0"/>
                <w:sz w:val="17"/>
              </w:rPr>
              <w:t>0.336*** (0.026)</w:t>
            </w:r>
          </w:p>
        </w:tc>
        <w:tc>
          <w:tcPr>
            <w:tcW w:w="1680" w:type="dxa"/>
            <w:tcBorders>
              <w:top w:val="nil"/>
              <w:left w:val="nil"/>
              <w:bottom w:val="nil"/>
              <w:right w:val="nil"/>
              <w:insideH w:val="nil"/>
              <w:insideV w:val="nil"/>
            </w:tcBorders>
            <w:vAlign w:val="center"/>
          </w:tcPr>
          <w:p w14:paraId="7A99E7BB">
            <w:pPr>
              <w:spacing w:before="0" w:after="0" w:line="240" w:lineRule="auto"/>
              <w:jc w:val="left"/>
            </w:pPr>
            <w:r>
              <w:rPr>
                <w:rFonts w:ascii="Times New Roman" w:hAnsi="Times New Roman" w:eastAsia="Times New Roman" w:cs="Times New Roman"/>
                <w:b w:val="0"/>
                <w:i w:val="0"/>
                <w:sz w:val="17"/>
              </w:rPr>
              <w:t>0.009*** (0.001)</w:t>
            </w:r>
          </w:p>
        </w:tc>
      </w:tr>
      <w:tr w14:paraId="4AEC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tcBorders>
              <w:top w:val="nil"/>
              <w:left w:val="nil"/>
              <w:bottom w:val="single" w:color="000000" w:sz="10" w:space="0"/>
              <w:right w:val="nil"/>
              <w:insideH w:val="nil"/>
              <w:insideV w:val="nil"/>
            </w:tcBorders>
            <w:vAlign w:val="center"/>
          </w:tcPr>
          <w:p w14:paraId="1E1A5852">
            <w:pPr>
              <w:spacing w:before="0" w:after="0" w:line="240" w:lineRule="auto"/>
              <w:jc w:val="left"/>
            </w:pPr>
            <w:r>
              <w:rPr>
                <w:rFonts w:ascii="Times New Roman" w:hAnsi="Times New Roman" w:eastAsia="Times New Roman" w:cs="Times New Roman"/>
                <w:b w:val="0"/>
                <w:i w:val="0"/>
                <w:sz w:val="17"/>
              </w:rPr>
              <w:t>+8</w:t>
            </w:r>
          </w:p>
        </w:tc>
        <w:tc>
          <w:tcPr>
            <w:tcW w:w="1680" w:type="dxa"/>
            <w:tcBorders>
              <w:top w:val="nil"/>
              <w:left w:val="nil"/>
              <w:bottom w:val="single" w:color="000000" w:sz="10" w:space="0"/>
              <w:right w:val="nil"/>
              <w:insideH w:val="nil"/>
              <w:insideV w:val="nil"/>
            </w:tcBorders>
            <w:vAlign w:val="center"/>
          </w:tcPr>
          <w:p w14:paraId="31E62274">
            <w:pPr>
              <w:spacing w:before="0" w:after="0" w:line="240" w:lineRule="auto"/>
              <w:jc w:val="left"/>
            </w:pPr>
            <w:r>
              <w:rPr>
                <w:rFonts w:ascii="Times New Roman" w:hAnsi="Times New Roman" w:eastAsia="Times New Roman" w:cs="Times New Roman"/>
                <w:b w:val="0"/>
                <w:i w:val="0"/>
                <w:sz w:val="17"/>
              </w:rPr>
              <w:t>-0.206*** (0.029)</w:t>
            </w:r>
          </w:p>
        </w:tc>
        <w:tc>
          <w:tcPr>
            <w:tcW w:w="1680" w:type="dxa"/>
            <w:tcBorders>
              <w:top w:val="nil"/>
              <w:left w:val="nil"/>
              <w:bottom w:val="single" w:color="000000" w:sz="10" w:space="0"/>
              <w:right w:val="nil"/>
              <w:insideH w:val="nil"/>
              <w:insideV w:val="nil"/>
            </w:tcBorders>
            <w:vAlign w:val="center"/>
          </w:tcPr>
          <w:p w14:paraId="516D0070">
            <w:pPr>
              <w:spacing w:before="0" w:after="0" w:line="240" w:lineRule="auto"/>
              <w:jc w:val="left"/>
            </w:pPr>
            <w:r>
              <w:rPr>
                <w:rFonts w:ascii="Times New Roman" w:hAnsi="Times New Roman" w:eastAsia="Times New Roman" w:cs="Times New Roman"/>
                <w:b w:val="0"/>
                <w:i w:val="0"/>
                <w:sz w:val="17"/>
              </w:rPr>
              <w:t>-0.096*** (0.035)</w:t>
            </w:r>
          </w:p>
        </w:tc>
        <w:tc>
          <w:tcPr>
            <w:tcW w:w="1680" w:type="dxa"/>
            <w:tcBorders>
              <w:top w:val="nil"/>
              <w:left w:val="nil"/>
              <w:bottom w:val="single" w:color="000000" w:sz="10" w:space="0"/>
              <w:right w:val="nil"/>
              <w:insideH w:val="nil"/>
              <w:insideV w:val="nil"/>
            </w:tcBorders>
            <w:vAlign w:val="center"/>
          </w:tcPr>
          <w:p w14:paraId="29FABFB7">
            <w:pPr>
              <w:spacing w:before="0" w:after="0" w:line="240" w:lineRule="auto"/>
              <w:jc w:val="left"/>
            </w:pPr>
            <w:r>
              <w:rPr>
                <w:rFonts w:ascii="Times New Roman" w:hAnsi="Times New Roman" w:eastAsia="Times New Roman" w:cs="Times New Roman"/>
                <w:b w:val="0"/>
                <w:i w:val="0"/>
                <w:sz w:val="17"/>
              </w:rPr>
              <w:t>53.4%</w:t>
            </w:r>
          </w:p>
        </w:tc>
        <w:tc>
          <w:tcPr>
            <w:tcW w:w="1680" w:type="dxa"/>
            <w:tcBorders>
              <w:top w:val="nil"/>
              <w:left w:val="nil"/>
              <w:bottom w:val="single" w:color="000000" w:sz="10" w:space="0"/>
              <w:right w:val="nil"/>
              <w:insideH w:val="nil"/>
              <w:insideV w:val="nil"/>
            </w:tcBorders>
            <w:vAlign w:val="center"/>
          </w:tcPr>
          <w:p w14:paraId="0B40F843">
            <w:pPr>
              <w:spacing w:before="0" w:after="0" w:line="240" w:lineRule="auto"/>
              <w:jc w:val="left"/>
            </w:pPr>
            <w:r>
              <w:rPr>
                <w:rFonts w:ascii="Times New Roman" w:hAnsi="Times New Roman" w:eastAsia="Times New Roman" w:cs="Times New Roman"/>
                <w:b w:val="0"/>
                <w:i w:val="0"/>
                <w:sz w:val="17"/>
              </w:rPr>
              <w:t>0.325*** (0.029)</w:t>
            </w:r>
          </w:p>
        </w:tc>
        <w:tc>
          <w:tcPr>
            <w:tcW w:w="1680" w:type="dxa"/>
            <w:tcBorders>
              <w:top w:val="nil"/>
              <w:left w:val="nil"/>
              <w:bottom w:val="single" w:color="000000" w:sz="10" w:space="0"/>
              <w:right w:val="nil"/>
              <w:insideH w:val="nil"/>
              <w:insideV w:val="nil"/>
            </w:tcBorders>
            <w:vAlign w:val="center"/>
          </w:tcPr>
          <w:p w14:paraId="357A8630">
            <w:pPr>
              <w:spacing w:before="0" w:after="0" w:line="240" w:lineRule="auto"/>
              <w:jc w:val="left"/>
            </w:pPr>
            <w:r>
              <w:rPr>
                <w:rFonts w:ascii="Times New Roman" w:hAnsi="Times New Roman" w:eastAsia="Times New Roman" w:cs="Times New Roman"/>
                <w:b w:val="0"/>
                <w:i w:val="0"/>
                <w:sz w:val="17"/>
              </w:rPr>
              <w:t>0.008*** (0.001)</w:t>
            </w:r>
          </w:p>
        </w:tc>
      </w:tr>
    </w:tbl>
    <w:p w14:paraId="23916765">
      <w:pPr>
        <w:spacing w:before="60" w:after="120" w:line="240" w:lineRule="auto"/>
        <w:jc w:val="left"/>
      </w:pPr>
      <w:r>
        <w:rPr>
          <w:rFonts w:ascii="Times New Roman" w:hAnsi="Times New Roman" w:eastAsia="Times New Roman" w:cs="Times New Roman"/>
          <w:i/>
          <w:sz w:val="19"/>
        </w:rPr>
        <w:t>Note. Attenuation is not interpreted as formal causal mediation because labour supply is post-treatment.</w:t>
      </w:r>
    </w:p>
    <w:p w14:paraId="5FC4290E">
      <w:pPr>
        <w:pStyle w:val="3"/>
        <w:spacing w:line="240" w:lineRule="auto"/>
        <w:jc w:val="left"/>
      </w:pPr>
      <w:r>
        <w:rPr>
          <w:rFonts w:ascii="Times New Roman" w:hAnsi="Times New Roman" w:eastAsia="Times New Roman" w:cs="Times New Roman"/>
          <w:b/>
          <w:color w:val="1F4E79"/>
          <w:sz w:val="28"/>
        </w:rPr>
        <w:t>S6. Heterogeneity and component decomposition</w:t>
      </w:r>
    </w:p>
    <w:p w14:paraId="156B19E9">
      <w:pPr>
        <w:spacing w:before="120" w:after="60" w:line="240" w:lineRule="auto"/>
        <w:jc w:val="left"/>
      </w:pPr>
      <w:r>
        <w:rPr>
          <w:rFonts w:ascii="Times New Roman" w:hAnsi="Times New Roman" w:eastAsia="Times New Roman" w:cs="Times New Roman"/>
          <w:b/>
          <w:sz w:val="20"/>
        </w:rPr>
        <w:t>Table S7.</w:t>
      </w:r>
      <w:r>
        <w:rPr>
          <w:rFonts w:ascii="Times New Roman" w:hAnsi="Times New Roman" w:eastAsia="Times New Roman" w:cs="Times New Roman"/>
          <w:i w:val="0"/>
          <w:sz w:val="20"/>
        </w:rPr>
        <w:t xml:space="preserve"> Heterogeneity framework</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8"/>
        <w:gridCol w:w="3192"/>
        <w:gridCol w:w="3186"/>
      </w:tblGrid>
      <w:tr w14:paraId="4D23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360" w:type="dxa"/>
            <w:tcBorders>
              <w:top w:val="single" w:color="000000" w:sz="10" w:space="0"/>
              <w:left w:val="nil"/>
              <w:bottom w:val="single" w:color="000000" w:sz="10" w:space="0"/>
              <w:right w:val="nil"/>
              <w:insideH w:val="nil"/>
              <w:insideV w:val="nil"/>
            </w:tcBorders>
            <w:vAlign w:val="center"/>
          </w:tcPr>
          <w:p w14:paraId="37DC4A71">
            <w:pPr>
              <w:spacing w:before="0" w:after="0" w:line="240" w:lineRule="auto"/>
              <w:jc w:val="left"/>
            </w:pPr>
            <w:r>
              <w:rPr>
                <w:rFonts w:ascii="Times New Roman" w:hAnsi="Times New Roman" w:eastAsia="Times New Roman" w:cs="Times New Roman"/>
                <w:b/>
                <w:i w:val="0"/>
                <w:sz w:val="18"/>
              </w:rPr>
              <w:t>Moderator</w:t>
            </w:r>
          </w:p>
        </w:tc>
        <w:tc>
          <w:tcPr>
            <w:tcW w:w="3360" w:type="dxa"/>
            <w:tcBorders>
              <w:top w:val="single" w:color="000000" w:sz="10" w:space="0"/>
              <w:left w:val="nil"/>
              <w:bottom w:val="single" w:color="000000" w:sz="10" w:space="0"/>
              <w:right w:val="nil"/>
              <w:insideH w:val="nil"/>
              <w:insideV w:val="nil"/>
            </w:tcBorders>
            <w:vAlign w:val="center"/>
          </w:tcPr>
          <w:p w14:paraId="4A226C74">
            <w:pPr>
              <w:spacing w:before="0" w:after="0" w:line="240" w:lineRule="auto"/>
              <w:jc w:val="left"/>
            </w:pPr>
            <w:r>
              <w:rPr>
                <w:rFonts w:ascii="Times New Roman" w:hAnsi="Times New Roman" w:eastAsia="Times New Roman" w:cs="Times New Roman"/>
                <w:b/>
                <w:i w:val="0"/>
                <w:sz w:val="18"/>
              </w:rPr>
              <w:t>Comparison</w:t>
            </w:r>
          </w:p>
        </w:tc>
        <w:tc>
          <w:tcPr>
            <w:tcW w:w="3360" w:type="dxa"/>
            <w:tcBorders>
              <w:top w:val="single" w:color="000000" w:sz="10" w:space="0"/>
              <w:left w:val="nil"/>
              <w:bottom w:val="single" w:color="000000" w:sz="10" w:space="0"/>
              <w:right w:val="nil"/>
              <w:insideH w:val="nil"/>
              <w:insideV w:val="nil"/>
            </w:tcBorders>
            <w:vAlign w:val="center"/>
          </w:tcPr>
          <w:p w14:paraId="3463D364">
            <w:pPr>
              <w:spacing w:before="0" w:after="0" w:line="240" w:lineRule="auto"/>
              <w:jc w:val="left"/>
            </w:pPr>
            <w:r>
              <w:rPr>
                <w:rFonts w:ascii="Times New Roman" w:hAnsi="Times New Roman" w:eastAsia="Times New Roman" w:cs="Times New Roman"/>
                <w:b/>
                <w:i w:val="0"/>
                <w:sz w:val="18"/>
              </w:rPr>
              <w:t>Result pattern</w:t>
            </w:r>
          </w:p>
        </w:tc>
      </w:tr>
      <w:tr w14:paraId="1755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470A2A12">
            <w:pPr>
              <w:spacing w:before="0" w:after="0" w:line="240" w:lineRule="auto"/>
              <w:jc w:val="left"/>
            </w:pPr>
            <w:r>
              <w:rPr>
                <w:rFonts w:ascii="Times New Roman" w:hAnsi="Times New Roman" w:eastAsia="Times New Roman" w:cs="Times New Roman"/>
                <w:b w:val="0"/>
                <w:i w:val="0"/>
                <w:sz w:val="18"/>
              </w:rPr>
              <w:t>Youngest child age</w:t>
            </w:r>
          </w:p>
        </w:tc>
        <w:tc>
          <w:tcPr>
            <w:tcW w:w="3360" w:type="dxa"/>
            <w:tcBorders>
              <w:top w:val="nil"/>
              <w:left w:val="nil"/>
              <w:bottom w:val="nil"/>
              <w:right w:val="nil"/>
              <w:insideH w:val="nil"/>
              <w:insideV w:val="nil"/>
            </w:tcBorders>
            <w:vAlign w:val="center"/>
          </w:tcPr>
          <w:p w14:paraId="188CD6EE">
            <w:pPr>
              <w:spacing w:before="0" w:after="0" w:line="240" w:lineRule="auto"/>
              <w:jc w:val="left"/>
            </w:pPr>
            <w:r>
              <w:rPr>
                <w:rFonts w:ascii="Times New Roman" w:hAnsi="Times New Roman" w:eastAsia="Times New Roman" w:cs="Times New Roman"/>
                <w:b w:val="0"/>
                <w:i w:val="0"/>
                <w:sz w:val="18"/>
              </w:rPr>
              <w:t>0–3 vs older children</w:t>
            </w:r>
          </w:p>
        </w:tc>
        <w:tc>
          <w:tcPr>
            <w:tcW w:w="3360" w:type="dxa"/>
            <w:tcBorders>
              <w:top w:val="nil"/>
              <w:left w:val="nil"/>
              <w:bottom w:val="nil"/>
              <w:right w:val="nil"/>
              <w:insideH w:val="nil"/>
              <w:insideV w:val="nil"/>
            </w:tcBorders>
            <w:vAlign w:val="center"/>
          </w:tcPr>
          <w:p w14:paraId="4A4990FC">
            <w:pPr>
              <w:spacing w:before="0" w:after="0" w:line="240" w:lineRule="auto"/>
              <w:jc w:val="left"/>
            </w:pPr>
            <w:r>
              <w:rPr>
                <w:rFonts w:ascii="Times New Roman" w:hAnsi="Times New Roman" w:eastAsia="Times New Roman" w:cs="Times New Roman"/>
                <w:b w:val="0"/>
                <w:i w:val="0"/>
                <w:sz w:val="18"/>
              </w:rPr>
              <w:t>Peak penalty is largest for mothers of children aged 0–3</w:t>
            </w:r>
          </w:p>
        </w:tc>
      </w:tr>
      <w:tr w14:paraId="525E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328E4A0B">
            <w:pPr>
              <w:spacing w:before="0" w:after="0" w:line="240" w:lineRule="auto"/>
              <w:jc w:val="left"/>
            </w:pPr>
            <w:r>
              <w:rPr>
                <w:rFonts w:ascii="Times New Roman" w:hAnsi="Times New Roman" w:eastAsia="Times New Roman" w:cs="Times New Roman"/>
                <w:b w:val="0"/>
                <w:i w:val="0"/>
                <w:sz w:val="18"/>
              </w:rPr>
              <w:t>Parity</w:t>
            </w:r>
          </w:p>
        </w:tc>
        <w:tc>
          <w:tcPr>
            <w:tcW w:w="3360" w:type="dxa"/>
            <w:tcBorders>
              <w:top w:val="nil"/>
              <w:left w:val="nil"/>
              <w:bottom w:val="nil"/>
              <w:right w:val="nil"/>
              <w:insideH w:val="nil"/>
              <w:insideV w:val="nil"/>
            </w:tcBorders>
            <w:vAlign w:val="center"/>
          </w:tcPr>
          <w:p w14:paraId="298EF373">
            <w:pPr>
              <w:spacing w:before="0" w:after="0" w:line="240" w:lineRule="auto"/>
              <w:jc w:val="left"/>
            </w:pPr>
            <w:r>
              <w:rPr>
                <w:rFonts w:ascii="Times New Roman" w:hAnsi="Times New Roman" w:eastAsia="Times New Roman" w:cs="Times New Roman"/>
                <w:b w:val="0"/>
                <w:i w:val="0"/>
                <w:sz w:val="18"/>
              </w:rPr>
              <w:t>Two or more children vs one child</w:t>
            </w:r>
          </w:p>
        </w:tc>
        <w:tc>
          <w:tcPr>
            <w:tcW w:w="3360" w:type="dxa"/>
            <w:tcBorders>
              <w:top w:val="nil"/>
              <w:left w:val="nil"/>
              <w:bottom w:val="nil"/>
              <w:right w:val="nil"/>
              <w:insideH w:val="nil"/>
              <w:insideV w:val="nil"/>
            </w:tcBorders>
            <w:vAlign w:val="center"/>
          </w:tcPr>
          <w:p w14:paraId="2CBBD744">
            <w:pPr>
              <w:spacing w:before="0" w:after="0" w:line="240" w:lineRule="auto"/>
              <w:jc w:val="left"/>
            </w:pPr>
            <w:r>
              <w:rPr>
                <w:rFonts w:ascii="Times New Roman" w:hAnsi="Times New Roman" w:eastAsia="Times New Roman" w:cs="Times New Roman"/>
                <w:b w:val="0"/>
                <w:i w:val="0"/>
                <w:sz w:val="18"/>
              </w:rPr>
              <w:t>Higher parity extends care intensity and penalty duration</w:t>
            </w:r>
          </w:p>
        </w:tc>
      </w:tr>
      <w:tr w14:paraId="2ABA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1B192486">
            <w:pPr>
              <w:spacing w:before="0" w:after="0" w:line="240" w:lineRule="auto"/>
              <w:jc w:val="left"/>
            </w:pPr>
            <w:r>
              <w:rPr>
                <w:rFonts w:ascii="Times New Roman" w:hAnsi="Times New Roman" w:eastAsia="Times New Roman" w:cs="Times New Roman"/>
                <w:b w:val="0"/>
                <w:i w:val="0"/>
                <w:sz w:val="18"/>
              </w:rPr>
              <w:t>Grandparental childcare</w:t>
            </w:r>
          </w:p>
        </w:tc>
        <w:tc>
          <w:tcPr>
            <w:tcW w:w="3360" w:type="dxa"/>
            <w:tcBorders>
              <w:top w:val="nil"/>
              <w:left w:val="nil"/>
              <w:bottom w:val="nil"/>
              <w:right w:val="nil"/>
              <w:insideH w:val="nil"/>
              <w:insideV w:val="nil"/>
            </w:tcBorders>
            <w:vAlign w:val="center"/>
          </w:tcPr>
          <w:p w14:paraId="56EA5D13">
            <w:pPr>
              <w:spacing w:before="0" w:after="0" w:line="240" w:lineRule="auto"/>
              <w:jc w:val="left"/>
            </w:pPr>
            <w:r>
              <w:rPr>
                <w:rFonts w:ascii="Times New Roman" w:hAnsi="Times New Roman" w:eastAsia="Times New Roman" w:cs="Times New Roman"/>
                <w:b w:val="0"/>
                <w:i w:val="0"/>
                <w:sz w:val="18"/>
              </w:rPr>
              <w:t>Available vs unavailable</w:t>
            </w:r>
          </w:p>
        </w:tc>
        <w:tc>
          <w:tcPr>
            <w:tcW w:w="3360" w:type="dxa"/>
            <w:tcBorders>
              <w:top w:val="nil"/>
              <w:left w:val="nil"/>
              <w:bottom w:val="nil"/>
              <w:right w:val="nil"/>
              <w:insideH w:val="nil"/>
              <w:insideV w:val="nil"/>
            </w:tcBorders>
            <w:vAlign w:val="center"/>
          </w:tcPr>
          <w:p w14:paraId="2C366B14">
            <w:pPr>
              <w:spacing w:before="0" w:after="0" w:line="240" w:lineRule="auto"/>
              <w:jc w:val="left"/>
            </w:pPr>
            <w:r>
              <w:rPr>
                <w:rFonts w:ascii="Times New Roman" w:hAnsi="Times New Roman" w:eastAsia="Times New Roman" w:cs="Times New Roman"/>
                <w:b w:val="0"/>
                <w:i w:val="0"/>
                <w:sz w:val="18"/>
              </w:rPr>
              <w:t>Penalty weaker where family support is available</w:t>
            </w:r>
          </w:p>
        </w:tc>
      </w:tr>
      <w:tr w14:paraId="010E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2A8143F1">
            <w:pPr>
              <w:spacing w:before="0" w:after="0" w:line="240" w:lineRule="auto"/>
              <w:jc w:val="left"/>
            </w:pPr>
            <w:r>
              <w:rPr>
                <w:rFonts w:ascii="Times New Roman" w:hAnsi="Times New Roman" w:eastAsia="Times New Roman" w:cs="Times New Roman"/>
                <w:b w:val="0"/>
                <w:i w:val="0"/>
                <w:sz w:val="18"/>
              </w:rPr>
              <w:t>Education</w:t>
            </w:r>
          </w:p>
        </w:tc>
        <w:tc>
          <w:tcPr>
            <w:tcW w:w="3360" w:type="dxa"/>
            <w:tcBorders>
              <w:top w:val="nil"/>
              <w:left w:val="nil"/>
              <w:bottom w:val="nil"/>
              <w:right w:val="nil"/>
              <w:insideH w:val="nil"/>
              <w:insideV w:val="nil"/>
            </w:tcBorders>
            <w:vAlign w:val="center"/>
          </w:tcPr>
          <w:p w14:paraId="63844A63">
            <w:pPr>
              <w:spacing w:before="0" w:after="0" w:line="240" w:lineRule="auto"/>
              <w:jc w:val="left"/>
            </w:pPr>
            <w:r>
              <w:rPr>
                <w:rFonts w:ascii="Times New Roman" w:hAnsi="Times New Roman" w:eastAsia="Times New Roman" w:cs="Times New Roman"/>
                <w:b w:val="0"/>
                <w:i w:val="0"/>
                <w:sz w:val="18"/>
              </w:rPr>
              <w:t>College or above vs lower schooling</w:t>
            </w:r>
          </w:p>
        </w:tc>
        <w:tc>
          <w:tcPr>
            <w:tcW w:w="3360" w:type="dxa"/>
            <w:tcBorders>
              <w:top w:val="nil"/>
              <w:left w:val="nil"/>
              <w:bottom w:val="nil"/>
              <w:right w:val="nil"/>
              <w:insideH w:val="nil"/>
              <w:insideV w:val="nil"/>
            </w:tcBorders>
            <w:vAlign w:val="center"/>
          </w:tcPr>
          <w:p w14:paraId="4EAFC6A5">
            <w:pPr>
              <w:spacing w:before="0" w:after="0" w:line="240" w:lineRule="auto"/>
              <w:jc w:val="left"/>
            </w:pPr>
            <w:r>
              <w:rPr>
                <w:rFonts w:ascii="Times New Roman" w:hAnsi="Times New Roman" w:eastAsia="Times New Roman" w:cs="Times New Roman"/>
                <w:b w:val="0"/>
                <w:i w:val="0"/>
                <w:sz w:val="18"/>
              </w:rPr>
              <w:t>Higher education buffers but does not eliminate penalty</w:t>
            </w:r>
          </w:p>
        </w:tc>
      </w:tr>
      <w:tr w14:paraId="1FE6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480F2AB6">
            <w:pPr>
              <w:spacing w:before="0" w:after="0" w:line="240" w:lineRule="auto"/>
              <w:jc w:val="left"/>
            </w:pPr>
            <w:r>
              <w:rPr>
                <w:rFonts w:ascii="Times New Roman" w:hAnsi="Times New Roman" w:eastAsia="Times New Roman" w:cs="Times New Roman"/>
                <w:b w:val="0"/>
                <w:i w:val="0"/>
                <w:sz w:val="18"/>
              </w:rPr>
              <w:t>Hukou</w:t>
            </w:r>
          </w:p>
        </w:tc>
        <w:tc>
          <w:tcPr>
            <w:tcW w:w="3360" w:type="dxa"/>
            <w:tcBorders>
              <w:top w:val="nil"/>
              <w:left w:val="nil"/>
              <w:bottom w:val="nil"/>
              <w:right w:val="nil"/>
              <w:insideH w:val="nil"/>
              <w:insideV w:val="nil"/>
            </w:tcBorders>
            <w:vAlign w:val="center"/>
          </w:tcPr>
          <w:p w14:paraId="25DAFBD4">
            <w:pPr>
              <w:spacing w:before="0" w:after="0" w:line="240" w:lineRule="auto"/>
              <w:jc w:val="left"/>
            </w:pPr>
            <w:r>
              <w:rPr>
                <w:rFonts w:ascii="Times New Roman" w:hAnsi="Times New Roman" w:eastAsia="Times New Roman" w:cs="Times New Roman"/>
                <w:b w:val="0"/>
                <w:i w:val="0"/>
                <w:sz w:val="18"/>
              </w:rPr>
              <w:t>Urban vs agricultural</w:t>
            </w:r>
          </w:p>
        </w:tc>
        <w:tc>
          <w:tcPr>
            <w:tcW w:w="3360" w:type="dxa"/>
            <w:tcBorders>
              <w:top w:val="nil"/>
              <w:left w:val="nil"/>
              <w:bottom w:val="nil"/>
              <w:right w:val="nil"/>
              <w:insideH w:val="nil"/>
              <w:insideV w:val="nil"/>
            </w:tcBorders>
            <w:vAlign w:val="center"/>
          </w:tcPr>
          <w:p w14:paraId="48AA1424">
            <w:pPr>
              <w:spacing w:before="0" w:after="0" w:line="240" w:lineRule="auto"/>
              <w:jc w:val="left"/>
            </w:pPr>
            <w:r>
              <w:rPr>
                <w:rFonts w:ascii="Times New Roman" w:hAnsi="Times New Roman" w:eastAsia="Times New Roman" w:cs="Times New Roman"/>
                <w:b w:val="0"/>
                <w:i w:val="0"/>
                <w:sz w:val="18"/>
              </w:rPr>
              <w:t>Agricultural hukou mothers face larger and more persistent penalties</w:t>
            </w:r>
          </w:p>
        </w:tc>
      </w:tr>
      <w:tr w14:paraId="21B1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single" w:color="000000" w:sz="10" w:space="0"/>
              <w:right w:val="nil"/>
              <w:insideH w:val="nil"/>
              <w:insideV w:val="nil"/>
            </w:tcBorders>
            <w:vAlign w:val="center"/>
          </w:tcPr>
          <w:p w14:paraId="410A61C9">
            <w:pPr>
              <w:spacing w:before="0" w:after="0" w:line="240" w:lineRule="auto"/>
              <w:jc w:val="left"/>
            </w:pPr>
            <w:r>
              <w:rPr>
                <w:rFonts w:ascii="Times New Roman" w:hAnsi="Times New Roman" w:eastAsia="Times New Roman" w:cs="Times New Roman"/>
                <w:b w:val="0"/>
                <w:i w:val="0"/>
                <w:sz w:val="18"/>
              </w:rPr>
              <w:t>Region</w:t>
            </w:r>
          </w:p>
        </w:tc>
        <w:tc>
          <w:tcPr>
            <w:tcW w:w="3360" w:type="dxa"/>
            <w:tcBorders>
              <w:top w:val="nil"/>
              <w:left w:val="nil"/>
              <w:bottom w:val="single" w:color="000000" w:sz="10" w:space="0"/>
              <w:right w:val="nil"/>
              <w:insideH w:val="nil"/>
              <w:insideV w:val="nil"/>
            </w:tcBorders>
            <w:vAlign w:val="center"/>
          </w:tcPr>
          <w:p w14:paraId="54EF8900">
            <w:pPr>
              <w:spacing w:before="0" w:after="0" w:line="240" w:lineRule="auto"/>
              <w:jc w:val="left"/>
            </w:pPr>
            <w:r>
              <w:rPr>
                <w:rFonts w:ascii="Times New Roman" w:hAnsi="Times New Roman" w:eastAsia="Times New Roman" w:cs="Times New Roman"/>
                <w:b w:val="0"/>
                <w:i w:val="0"/>
                <w:sz w:val="18"/>
              </w:rPr>
              <w:t>Eastern vs western</w:t>
            </w:r>
          </w:p>
        </w:tc>
        <w:tc>
          <w:tcPr>
            <w:tcW w:w="3360" w:type="dxa"/>
            <w:tcBorders>
              <w:top w:val="nil"/>
              <w:left w:val="nil"/>
              <w:bottom w:val="single" w:color="000000" w:sz="10" w:space="0"/>
              <w:right w:val="nil"/>
              <w:insideH w:val="nil"/>
              <w:insideV w:val="nil"/>
            </w:tcBorders>
            <w:vAlign w:val="center"/>
          </w:tcPr>
          <w:p w14:paraId="641FD891">
            <w:pPr>
              <w:spacing w:before="0" w:after="0" w:line="240" w:lineRule="auto"/>
              <w:jc w:val="left"/>
            </w:pPr>
            <w:r>
              <w:rPr>
                <w:rFonts w:ascii="Times New Roman" w:hAnsi="Times New Roman" w:eastAsia="Times New Roman" w:cs="Times New Roman"/>
                <w:b w:val="0"/>
                <w:i w:val="0"/>
                <w:sz w:val="18"/>
              </w:rPr>
              <w:t>Penalties are larger in less developed regions</w:t>
            </w:r>
          </w:p>
        </w:tc>
      </w:tr>
    </w:tbl>
    <w:p w14:paraId="4CAB5835">
      <w:pPr>
        <w:spacing w:before="120" w:after="60" w:line="240" w:lineRule="auto"/>
        <w:jc w:val="left"/>
      </w:pPr>
      <w:r>
        <w:rPr>
          <w:rFonts w:ascii="Times New Roman" w:hAnsi="Times New Roman" w:eastAsia="Times New Roman" w:cs="Times New Roman"/>
          <w:b/>
          <w:sz w:val="20"/>
        </w:rPr>
        <w:t>Table S8.</w:t>
      </w:r>
      <w:r>
        <w:rPr>
          <w:rFonts w:ascii="Times New Roman" w:hAnsi="Times New Roman" w:eastAsia="Times New Roman" w:cs="Times New Roman"/>
          <w:i w:val="0"/>
          <w:sz w:val="20"/>
        </w:rPr>
        <w:t xml:space="preserve"> Component decomposition by age group</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gridCol w:w="1887"/>
        <w:gridCol w:w="1940"/>
        <w:gridCol w:w="1935"/>
        <w:gridCol w:w="1929"/>
      </w:tblGrid>
      <w:tr w14:paraId="0290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16" w:type="dxa"/>
            <w:tcBorders>
              <w:top w:val="single" w:color="000000" w:sz="10" w:space="0"/>
              <w:left w:val="nil"/>
              <w:bottom w:val="single" w:color="000000" w:sz="10" w:space="0"/>
              <w:right w:val="nil"/>
              <w:insideH w:val="nil"/>
              <w:insideV w:val="nil"/>
            </w:tcBorders>
            <w:vAlign w:val="center"/>
          </w:tcPr>
          <w:p w14:paraId="269CEFC2">
            <w:pPr>
              <w:spacing w:before="0" w:after="0" w:line="240" w:lineRule="auto"/>
              <w:jc w:val="left"/>
            </w:pPr>
            <w:r>
              <w:rPr>
                <w:rFonts w:ascii="Times New Roman" w:hAnsi="Times New Roman" w:eastAsia="Times New Roman" w:cs="Times New Roman"/>
                <w:b/>
                <w:i w:val="0"/>
                <w:sz w:val="18"/>
              </w:rPr>
              <w:t>Age group</w:t>
            </w:r>
          </w:p>
        </w:tc>
        <w:tc>
          <w:tcPr>
            <w:tcW w:w="2016" w:type="dxa"/>
            <w:tcBorders>
              <w:top w:val="single" w:color="000000" w:sz="10" w:space="0"/>
              <w:left w:val="nil"/>
              <w:bottom w:val="single" w:color="000000" w:sz="10" w:space="0"/>
              <w:right w:val="nil"/>
              <w:insideH w:val="nil"/>
              <w:insideV w:val="nil"/>
            </w:tcBorders>
            <w:vAlign w:val="center"/>
          </w:tcPr>
          <w:p w14:paraId="7B11513E">
            <w:pPr>
              <w:spacing w:before="0" w:after="0" w:line="240" w:lineRule="auto"/>
              <w:jc w:val="left"/>
            </w:pPr>
            <w:r>
              <w:rPr>
                <w:rFonts w:ascii="Times New Roman" w:hAnsi="Times New Roman" w:eastAsia="Times New Roman" w:cs="Times New Roman"/>
                <w:b/>
                <w:i w:val="0"/>
                <w:sz w:val="18"/>
              </w:rPr>
              <w:t>Total gap</w:t>
            </w:r>
          </w:p>
        </w:tc>
        <w:tc>
          <w:tcPr>
            <w:tcW w:w="2016" w:type="dxa"/>
            <w:tcBorders>
              <w:top w:val="single" w:color="000000" w:sz="10" w:space="0"/>
              <w:left w:val="nil"/>
              <w:bottom w:val="single" w:color="000000" w:sz="10" w:space="0"/>
              <w:right w:val="nil"/>
              <w:insideH w:val="nil"/>
              <w:insideV w:val="nil"/>
            </w:tcBorders>
            <w:vAlign w:val="center"/>
          </w:tcPr>
          <w:p w14:paraId="15BE565A">
            <w:pPr>
              <w:spacing w:before="0" w:after="0" w:line="240" w:lineRule="auto"/>
              <w:jc w:val="left"/>
            </w:pPr>
            <w:r>
              <w:rPr>
                <w:rFonts w:ascii="Times New Roman" w:hAnsi="Times New Roman" w:eastAsia="Times New Roman" w:cs="Times New Roman"/>
                <w:b/>
                <w:i w:val="0"/>
                <w:sz w:val="18"/>
              </w:rPr>
              <w:t>Non-parenthood female disadvantage</w:t>
            </w:r>
          </w:p>
        </w:tc>
        <w:tc>
          <w:tcPr>
            <w:tcW w:w="2016" w:type="dxa"/>
            <w:tcBorders>
              <w:top w:val="single" w:color="000000" w:sz="10" w:space="0"/>
              <w:left w:val="nil"/>
              <w:bottom w:val="single" w:color="000000" w:sz="10" w:space="0"/>
              <w:right w:val="nil"/>
              <w:insideH w:val="nil"/>
              <w:insideV w:val="nil"/>
            </w:tcBorders>
            <w:vAlign w:val="center"/>
          </w:tcPr>
          <w:p w14:paraId="00F9C0C8">
            <w:pPr>
              <w:spacing w:before="0" w:after="0" w:line="240" w:lineRule="auto"/>
              <w:jc w:val="left"/>
            </w:pPr>
            <w:r>
              <w:rPr>
                <w:rFonts w:ascii="Times New Roman" w:hAnsi="Times New Roman" w:eastAsia="Times New Roman" w:cs="Times New Roman"/>
                <w:b/>
                <w:i w:val="0"/>
                <w:sz w:val="18"/>
              </w:rPr>
              <w:t>Motherhood penalty</w:t>
            </w:r>
          </w:p>
        </w:tc>
        <w:tc>
          <w:tcPr>
            <w:tcW w:w="2016" w:type="dxa"/>
            <w:tcBorders>
              <w:top w:val="single" w:color="000000" w:sz="10" w:space="0"/>
              <w:left w:val="nil"/>
              <w:bottom w:val="single" w:color="000000" w:sz="10" w:space="0"/>
              <w:right w:val="nil"/>
              <w:insideH w:val="nil"/>
              <w:insideV w:val="nil"/>
            </w:tcBorders>
            <w:vAlign w:val="center"/>
          </w:tcPr>
          <w:p w14:paraId="083AECE9">
            <w:pPr>
              <w:spacing w:before="0" w:after="0" w:line="240" w:lineRule="auto"/>
              <w:jc w:val="left"/>
            </w:pPr>
            <w:r>
              <w:rPr>
                <w:rFonts w:ascii="Times New Roman" w:hAnsi="Times New Roman" w:eastAsia="Times New Roman" w:cs="Times New Roman"/>
                <w:b/>
                <w:i w:val="0"/>
                <w:sz w:val="18"/>
              </w:rPr>
              <w:t>Fatherhood premium</w:t>
            </w:r>
          </w:p>
        </w:tc>
      </w:tr>
      <w:tr w14:paraId="3F6D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40C7CA9C">
            <w:pPr>
              <w:spacing w:before="0" w:after="0" w:line="240" w:lineRule="auto"/>
              <w:jc w:val="left"/>
            </w:pPr>
            <w:r>
              <w:rPr>
                <w:rFonts w:ascii="Times New Roman" w:hAnsi="Times New Roman" w:eastAsia="Times New Roman" w:cs="Times New Roman"/>
                <w:b w:val="0"/>
                <w:i w:val="0"/>
                <w:sz w:val="18"/>
              </w:rPr>
              <w:t>20–29</w:t>
            </w:r>
          </w:p>
        </w:tc>
        <w:tc>
          <w:tcPr>
            <w:tcW w:w="2016" w:type="dxa"/>
            <w:tcBorders>
              <w:top w:val="nil"/>
              <w:left w:val="nil"/>
              <w:bottom w:val="nil"/>
              <w:right w:val="nil"/>
              <w:insideH w:val="nil"/>
              <w:insideV w:val="nil"/>
            </w:tcBorders>
            <w:vAlign w:val="center"/>
          </w:tcPr>
          <w:p w14:paraId="438252D3">
            <w:pPr>
              <w:spacing w:before="0" w:after="0" w:line="240" w:lineRule="auto"/>
              <w:jc w:val="left"/>
            </w:pPr>
            <w:r>
              <w:rPr>
                <w:rFonts w:ascii="Times New Roman" w:hAnsi="Times New Roman" w:eastAsia="Times New Roman" w:cs="Times New Roman"/>
                <w:b w:val="0"/>
                <w:i w:val="0"/>
                <w:sz w:val="18"/>
              </w:rPr>
              <w:t>29.4%</w:t>
            </w:r>
          </w:p>
        </w:tc>
        <w:tc>
          <w:tcPr>
            <w:tcW w:w="2016" w:type="dxa"/>
            <w:tcBorders>
              <w:top w:val="nil"/>
              <w:left w:val="nil"/>
              <w:bottom w:val="nil"/>
              <w:right w:val="nil"/>
              <w:insideH w:val="nil"/>
              <w:insideV w:val="nil"/>
            </w:tcBorders>
            <w:vAlign w:val="center"/>
          </w:tcPr>
          <w:p w14:paraId="1616202D">
            <w:pPr>
              <w:spacing w:before="0" w:after="0" w:line="240" w:lineRule="auto"/>
              <w:jc w:val="left"/>
            </w:pPr>
            <w:r>
              <w:rPr>
                <w:rFonts w:ascii="Times New Roman" w:hAnsi="Times New Roman" w:eastAsia="Times New Roman" w:cs="Times New Roman"/>
                <w:b w:val="0"/>
                <w:i w:val="0"/>
                <w:sz w:val="18"/>
              </w:rPr>
              <w:t>18.7 (63.6%)</w:t>
            </w:r>
          </w:p>
        </w:tc>
        <w:tc>
          <w:tcPr>
            <w:tcW w:w="2016" w:type="dxa"/>
            <w:tcBorders>
              <w:top w:val="nil"/>
              <w:left w:val="nil"/>
              <w:bottom w:val="nil"/>
              <w:right w:val="nil"/>
              <w:insideH w:val="nil"/>
              <w:insideV w:val="nil"/>
            </w:tcBorders>
            <w:vAlign w:val="center"/>
          </w:tcPr>
          <w:p w14:paraId="4902C358">
            <w:pPr>
              <w:spacing w:before="0" w:after="0" w:line="240" w:lineRule="auto"/>
              <w:jc w:val="left"/>
            </w:pPr>
            <w:r>
              <w:rPr>
                <w:rFonts w:ascii="Times New Roman" w:hAnsi="Times New Roman" w:eastAsia="Times New Roman" w:cs="Times New Roman"/>
                <w:b w:val="0"/>
                <w:i w:val="0"/>
                <w:sz w:val="18"/>
              </w:rPr>
              <w:t>8.9 (30.3%)</w:t>
            </w:r>
          </w:p>
        </w:tc>
        <w:tc>
          <w:tcPr>
            <w:tcW w:w="2016" w:type="dxa"/>
            <w:tcBorders>
              <w:top w:val="nil"/>
              <w:left w:val="nil"/>
              <w:bottom w:val="nil"/>
              <w:right w:val="nil"/>
              <w:insideH w:val="nil"/>
              <w:insideV w:val="nil"/>
            </w:tcBorders>
            <w:vAlign w:val="center"/>
          </w:tcPr>
          <w:p w14:paraId="1BBC7410">
            <w:pPr>
              <w:spacing w:before="0" w:after="0" w:line="240" w:lineRule="auto"/>
              <w:jc w:val="left"/>
            </w:pPr>
            <w:r>
              <w:rPr>
                <w:rFonts w:ascii="Times New Roman" w:hAnsi="Times New Roman" w:eastAsia="Times New Roman" w:cs="Times New Roman"/>
                <w:b w:val="0"/>
                <w:i w:val="0"/>
                <w:sz w:val="18"/>
              </w:rPr>
              <w:t>1.8 (6.1%)</w:t>
            </w:r>
          </w:p>
        </w:tc>
      </w:tr>
      <w:tr w14:paraId="18E0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56154320">
            <w:pPr>
              <w:spacing w:before="0" w:after="0" w:line="240" w:lineRule="auto"/>
              <w:jc w:val="left"/>
            </w:pPr>
            <w:r>
              <w:rPr>
                <w:rFonts w:ascii="Times New Roman" w:hAnsi="Times New Roman" w:eastAsia="Times New Roman" w:cs="Times New Roman"/>
                <w:b w:val="0"/>
                <w:i w:val="0"/>
                <w:sz w:val="18"/>
              </w:rPr>
              <w:t>30–39</w:t>
            </w:r>
          </w:p>
        </w:tc>
        <w:tc>
          <w:tcPr>
            <w:tcW w:w="2016" w:type="dxa"/>
            <w:tcBorders>
              <w:top w:val="nil"/>
              <w:left w:val="nil"/>
              <w:bottom w:val="nil"/>
              <w:right w:val="nil"/>
              <w:insideH w:val="nil"/>
              <w:insideV w:val="nil"/>
            </w:tcBorders>
            <w:vAlign w:val="center"/>
          </w:tcPr>
          <w:p w14:paraId="74340DE9">
            <w:pPr>
              <w:spacing w:before="0" w:after="0" w:line="240" w:lineRule="auto"/>
              <w:jc w:val="left"/>
            </w:pPr>
            <w:r>
              <w:rPr>
                <w:rFonts w:ascii="Times New Roman" w:hAnsi="Times New Roman" w:eastAsia="Times New Roman" w:cs="Times New Roman"/>
                <w:b w:val="0"/>
                <w:i w:val="0"/>
                <w:sz w:val="18"/>
              </w:rPr>
              <w:t>47.8%</w:t>
            </w:r>
          </w:p>
        </w:tc>
        <w:tc>
          <w:tcPr>
            <w:tcW w:w="2016" w:type="dxa"/>
            <w:tcBorders>
              <w:top w:val="nil"/>
              <w:left w:val="nil"/>
              <w:bottom w:val="nil"/>
              <w:right w:val="nil"/>
              <w:insideH w:val="nil"/>
              <w:insideV w:val="nil"/>
            </w:tcBorders>
            <w:vAlign w:val="center"/>
          </w:tcPr>
          <w:p w14:paraId="6D89A76D">
            <w:pPr>
              <w:spacing w:before="0" w:after="0" w:line="240" w:lineRule="auto"/>
              <w:jc w:val="left"/>
            </w:pPr>
            <w:r>
              <w:rPr>
                <w:rFonts w:ascii="Times New Roman" w:hAnsi="Times New Roman" w:eastAsia="Times New Roman" w:cs="Times New Roman"/>
                <w:b w:val="0"/>
                <w:i w:val="0"/>
                <w:sz w:val="18"/>
              </w:rPr>
              <w:t>21.3 (44.6%)</w:t>
            </w:r>
          </w:p>
        </w:tc>
        <w:tc>
          <w:tcPr>
            <w:tcW w:w="2016" w:type="dxa"/>
            <w:tcBorders>
              <w:top w:val="nil"/>
              <w:left w:val="nil"/>
              <w:bottom w:val="nil"/>
              <w:right w:val="nil"/>
              <w:insideH w:val="nil"/>
              <w:insideV w:val="nil"/>
            </w:tcBorders>
            <w:vAlign w:val="center"/>
          </w:tcPr>
          <w:p w14:paraId="70E9675C">
            <w:pPr>
              <w:spacing w:before="0" w:after="0" w:line="240" w:lineRule="auto"/>
              <w:jc w:val="left"/>
            </w:pPr>
            <w:r>
              <w:rPr>
                <w:rFonts w:ascii="Times New Roman" w:hAnsi="Times New Roman" w:eastAsia="Times New Roman" w:cs="Times New Roman"/>
                <w:b w:val="0"/>
                <w:i w:val="0"/>
                <w:sz w:val="18"/>
              </w:rPr>
              <w:t>19.8 (41.4%)</w:t>
            </w:r>
          </w:p>
        </w:tc>
        <w:tc>
          <w:tcPr>
            <w:tcW w:w="2016" w:type="dxa"/>
            <w:tcBorders>
              <w:top w:val="nil"/>
              <w:left w:val="nil"/>
              <w:bottom w:val="nil"/>
              <w:right w:val="nil"/>
              <w:insideH w:val="nil"/>
              <w:insideV w:val="nil"/>
            </w:tcBorders>
            <w:vAlign w:val="center"/>
          </w:tcPr>
          <w:p w14:paraId="6B1ECEA8">
            <w:pPr>
              <w:spacing w:before="0" w:after="0" w:line="240" w:lineRule="auto"/>
              <w:jc w:val="left"/>
            </w:pPr>
            <w:r>
              <w:rPr>
                <w:rFonts w:ascii="Times New Roman" w:hAnsi="Times New Roman" w:eastAsia="Times New Roman" w:cs="Times New Roman"/>
                <w:b w:val="0"/>
                <w:i w:val="0"/>
                <w:sz w:val="18"/>
              </w:rPr>
              <w:t>6.7 (14.0%)</w:t>
            </w:r>
          </w:p>
        </w:tc>
      </w:tr>
      <w:tr w14:paraId="02FA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nil"/>
              <w:right w:val="nil"/>
              <w:insideH w:val="nil"/>
              <w:insideV w:val="nil"/>
            </w:tcBorders>
            <w:vAlign w:val="center"/>
          </w:tcPr>
          <w:p w14:paraId="26AB491E">
            <w:pPr>
              <w:spacing w:before="0" w:after="0" w:line="240" w:lineRule="auto"/>
              <w:jc w:val="left"/>
            </w:pPr>
            <w:r>
              <w:rPr>
                <w:rFonts w:ascii="Times New Roman" w:hAnsi="Times New Roman" w:eastAsia="Times New Roman" w:cs="Times New Roman"/>
                <w:b w:val="0"/>
                <w:i w:val="0"/>
                <w:sz w:val="18"/>
              </w:rPr>
              <w:t>40–49</w:t>
            </w:r>
          </w:p>
        </w:tc>
        <w:tc>
          <w:tcPr>
            <w:tcW w:w="2016" w:type="dxa"/>
            <w:tcBorders>
              <w:top w:val="nil"/>
              <w:left w:val="nil"/>
              <w:bottom w:val="nil"/>
              <w:right w:val="nil"/>
              <w:insideH w:val="nil"/>
              <w:insideV w:val="nil"/>
            </w:tcBorders>
            <w:vAlign w:val="center"/>
          </w:tcPr>
          <w:p w14:paraId="4B8DF853">
            <w:pPr>
              <w:spacing w:before="0" w:after="0" w:line="240" w:lineRule="auto"/>
              <w:jc w:val="left"/>
            </w:pPr>
            <w:r>
              <w:rPr>
                <w:rFonts w:ascii="Times New Roman" w:hAnsi="Times New Roman" w:eastAsia="Times New Roman" w:cs="Times New Roman"/>
                <w:b w:val="0"/>
                <w:i w:val="0"/>
                <w:sz w:val="18"/>
              </w:rPr>
              <w:t>41.2%</w:t>
            </w:r>
          </w:p>
        </w:tc>
        <w:tc>
          <w:tcPr>
            <w:tcW w:w="2016" w:type="dxa"/>
            <w:tcBorders>
              <w:top w:val="nil"/>
              <w:left w:val="nil"/>
              <w:bottom w:val="nil"/>
              <w:right w:val="nil"/>
              <w:insideH w:val="nil"/>
              <w:insideV w:val="nil"/>
            </w:tcBorders>
            <w:vAlign w:val="center"/>
          </w:tcPr>
          <w:p w14:paraId="613E6E68">
            <w:pPr>
              <w:spacing w:before="0" w:after="0" w:line="240" w:lineRule="auto"/>
              <w:jc w:val="left"/>
            </w:pPr>
            <w:r>
              <w:rPr>
                <w:rFonts w:ascii="Times New Roman" w:hAnsi="Times New Roman" w:eastAsia="Times New Roman" w:cs="Times New Roman"/>
                <w:b w:val="0"/>
                <w:i w:val="0"/>
                <w:sz w:val="18"/>
              </w:rPr>
              <w:t>24.1 (58.5%)</w:t>
            </w:r>
          </w:p>
        </w:tc>
        <w:tc>
          <w:tcPr>
            <w:tcW w:w="2016" w:type="dxa"/>
            <w:tcBorders>
              <w:top w:val="nil"/>
              <w:left w:val="nil"/>
              <w:bottom w:val="nil"/>
              <w:right w:val="nil"/>
              <w:insideH w:val="nil"/>
              <w:insideV w:val="nil"/>
            </w:tcBorders>
            <w:vAlign w:val="center"/>
          </w:tcPr>
          <w:p w14:paraId="033C6F2E">
            <w:pPr>
              <w:spacing w:before="0" w:after="0" w:line="240" w:lineRule="auto"/>
              <w:jc w:val="left"/>
            </w:pPr>
            <w:r>
              <w:rPr>
                <w:rFonts w:ascii="Times New Roman" w:hAnsi="Times New Roman" w:eastAsia="Times New Roman" w:cs="Times New Roman"/>
                <w:b w:val="0"/>
                <w:i w:val="0"/>
                <w:sz w:val="18"/>
              </w:rPr>
              <w:t>13.5 (32.8%)</w:t>
            </w:r>
          </w:p>
        </w:tc>
        <w:tc>
          <w:tcPr>
            <w:tcW w:w="2016" w:type="dxa"/>
            <w:tcBorders>
              <w:top w:val="nil"/>
              <w:left w:val="nil"/>
              <w:bottom w:val="nil"/>
              <w:right w:val="nil"/>
              <w:insideH w:val="nil"/>
              <w:insideV w:val="nil"/>
            </w:tcBorders>
            <w:vAlign w:val="center"/>
          </w:tcPr>
          <w:p w14:paraId="6CFB249D">
            <w:pPr>
              <w:spacing w:before="0" w:after="0" w:line="240" w:lineRule="auto"/>
              <w:jc w:val="left"/>
            </w:pPr>
            <w:r>
              <w:rPr>
                <w:rFonts w:ascii="Times New Roman" w:hAnsi="Times New Roman" w:eastAsia="Times New Roman" w:cs="Times New Roman"/>
                <w:b w:val="0"/>
                <w:i w:val="0"/>
                <w:sz w:val="18"/>
              </w:rPr>
              <w:t>3.6 (8.7%)</w:t>
            </w:r>
          </w:p>
        </w:tc>
      </w:tr>
      <w:tr w14:paraId="360A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6" w:type="dxa"/>
            <w:tcBorders>
              <w:top w:val="nil"/>
              <w:left w:val="nil"/>
              <w:bottom w:val="single" w:color="000000" w:sz="10" w:space="0"/>
              <w:right w:val="nil"/>
              <w:insideH w:val="nil"/>
              <w:insideV w:val="nil"/>
            </w:tcBorders>
            <w:vAlign w:val="center"/>
          </w:tcPr>
          <w:p w14:paraId="11AF8590">
            <w:pPr>
              <w:spacing w:before="0" w:after="0" w:line="240" w:lineRule="auto"/>
              <w:jc w:val="left"/>
            </w:pPr>
            <w:r>
              <w:rPr>
                <w:rFonts w:ascii="Times New Roman" w:hAnsi="Times New Roman" w:eastAsia="Times New Roman" w:cs="Times New Roman"/>
                <w:b w:val="0"/>
                <w:i w:val="0"/>
                <w:sz w:val="18"/>
              </w:rPr>
              <w:t>50–55</w:t>
            </w:r>
          </w:p>
        </w:tc>
        <w:tc>
          <w:tcPr>
            <w:tcW w:w="2016" w:type="dxa"/>
            <w:tcBorders>
              <w:top w:val="nil"/>
              <w:left w:val="nil"/>
              <w:bottom w:val="single" w:color="000000" w:sz="10" w:space="0"/>
              <w:right w:val="nil"/>
              <w:insideH w:val="nil"/>
              <w:insideV w:val="nil"/>
            </w:tcBorders>
            <w:vAlign w:val="center"/>
          </w:tcPr>
          <w:p w14:paraId="581CA427">
            <w:pPr>
              <w:spacing w:before="0" w:after="0" w:line="240" w:lineRule="auto"/>
              <w:jc w:val="left"/>
            </w:pPr>
            <w:r>
              <w:rPr>
                <w:rFonts w:ascii="Times New Roman" w:hAnsi="Times New Roman" w:eastAsia="Times New Roman" w:cs="Times New Roman"/>
                <w:b w:val="0"/>
                <w:i w:val="0"/>
                <w:sz w:val="18"/>
              </w:rPr>
              <w:t>35.6%</w:t>
            </w:r>
          </w:p>
        </w:tc>
        <w:tc>
          <w:tcPr>
            <w:tcW w:w="2016" w:type="dxa"/>
            <w:tcBorders>
              <w:top w:val="nil"/>
              <w:left w:val="nil"/>
              <w:bottom w:val="single" w:color="000000" w:sz="10" w:space="0"/>
              <w:right w:val="nil"/>
              <w:insideH w:val="nil"/>
              <w:insideV w:val="nil"/>
            </w:tcBorders>
            <w:vAlign w:val="center"/>
          </w:tcPr>
          <w:p w14:paraId="2D7A4ED6">
            <w:pPr>
              <w:spacing w:before="0" w:after="0" w:line="240" w:lineRule="auto"/>
              <w:jc w:val="left"/>
            </w:pPr>
            <w:r>
              <w:rPr>
                <w:rFonts w:ascii="Times New Roman" w:hAnsi="Times New Roman" w:eastAsia="Times New Roman" w:cs="Times New Roman"/>
                <w:b w:val="0"/>
                <w:i w:val="0"/>
                <w:sz w:val="18"/>
              </w:rPr>
              <w:t>27.4 (77.0%)</w:t>
            </w:r>
          </w:p>
        </w:tc>
        <w:tc>
          <w:tcPr>
            <w:tcW w:w="2016" w:type="dxa"/>
            <w:tcBorders>
              <w:top w:val="nil"/>
              <w:left w:val="nil"/>
              <w:bottom w:val="single" w:color="000000" w:sz="10" w:space="0"/>
              <w:right w:val="nil"/>
              <w:insideH w:val="nil"/>
              <w:insideV w:val="nil"/>
            </w:tcBorders>
            <w:vAlign w:val="center"/>
          </w:tcPr>
          <w:p w14:paraId="36F69E3C">
            <w:pPr>
              <w:spacing w:before="0" w:after="0" w:line="240" w:lineRule="auto"/>
              <w:jc w:val="left"/>
            </w:pPr>
            <w:r>
              <w:rPr>
                <w:rFonts w:ascii="Times New Roman" w:hAnsi="Times New Roman" w:eastAsia="Times New Roman" w:cs="Times New Roman"/>
                <w:b w:val="0"/>
                <w:i w:val="0"/>
                <w:sz w:val="18"/>
              </w:rPr>
              <w:t>6.3 (17.7%)</w:t>
            </w:r>
          </w:p>
        </w:tc>
        <w:tc>
          <w:tcPr>
            <w:tcW w:w="2016" w:type="dxa"/>
            <w:tcBorders>
              <w:top w:val="nil"/>
              <w:left w:val="nil"/>
              <w:bottom w:val="single" w:color="000000" w:sz="10" w:space="0"/>
              <w:right w:val="nil"/>
              <w:insideH w:val="nil"/>
              <w:insideV w:val="nil"/>
            </w:tcBorders>
            <w:vAlign w:val="center"/>
          </w:tcPr>
          <w:p w14:paraId="4E25B031">
            <w:pPr>
              <w:spacing w:before="0" w:after="0" w:line="240" w:lineRule="auto"/>
              <w:jc w:val="left"/>
            </w:pPr>
            <w:r>
              <w:rPr>
                <w:rFonts w:ascii="Times New Roman" w:hAnsi="Times New Roman" w:eastAsia="Times New Roman" w:cs="Times New Roman"/>
                <w:b w:val="0"/>
                <w:i w:val="0"/>
                <w:sz w:val="18"/>
              </w:rPr>
              <w:t>1.9 (5.3%)</w:t>
            </w:r>
          </w:p>
        </w:tc>
      </w:tr>
    </w:tbl>
    <w:p w14:paraId="3727D845">
      <w:pPr>
        <w:pStyle w:val="3"/>
        <w:spacing w:line="240" w:lineRule="auto"/>
        <w:jc w:val="left"/>
      </w:pPr>
      <w:r>
        <w:rPr>
          <w:rFonts w:ascii="Times New Roman" w:hAnsi="Times New Roman" w:eastAsia="Times New Roman" w:cs="Times New Roman"/>
          <w:b/>
          <w:color w:val="1F4E79"/>
          <w:sz w:val="28"/>
        </w:rPr>
        <w:t>S7. Robustness checks and replication notes</w:t>
      </w:r>
    </w:p>
    <w:p w14:paraId="6DEF8D87">
      <w:pPr>
        <w:spacing w:before="120" w:after="60" w:line="240" w:lineRule="auto"/>
        <w:jc w:val="left"/>
      </w:pPr>
      <w:r>
        <w:rPr>
          <w:rFonts w:ascii="Times New Roman" w:hAnsi="Times New Roman" w:eastAsia="Times New Roman" w:cs="Times New Roman"/>
          <w:b/>
          <w:sz w:val="20"/>
        </w:rPr>
        <w:t>Table S9.</w:t>
      </w:r>
      <w:r>
        <w:rPr>
          <w:rFonts w:ascii="Times New Roman" w:hAnsi="Times New Roman" w:eastAsia="Times New Roman" w:cs="Times New Roman"/>
          <w:i w:val="0"/>
          <w:sz w:val="20"/>
        </w:rPr>
        <w:t xml:space="preserve"> Robustness and replication checklist</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0"/>
        <w:gridCol w:w="3218"/>
        <w:gridCol w:w="3188"/>
      </w:tblGrid>
      <w:tr w14:paraId="26B0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360" w:type="dxa"/>
            <w:tcBorders>
              <w:top w:val="single" w:color="000000" w:sz="10" w:space="0"/>
              <w:left w:val="nil"/>
              <w:bottom w:val="single" w:color="000000" w:sz="10" w:space="0"/>
              <w:right w:val="nil"/>
              <w:insideH w:val="nil"/>
              <w:insideV w:val="nil"/>
            </w:tcBorders>
            <w:vAlign w:val="center"/>
          </w:tcPr>
          <w:p w14:paraId="7F74739B">
            <w:pPr>
              <w:spacing w:before="0" w:after="0" w:line="240" w:lineRule="auto"/>
              <w:jc w:val="left"/>
            </w:pPr>
            <w:r>
              <w:rPr>
                <w:rFonts w:ascii="Times New Roman" w:hAnsi="Times New Roman" w:eastAsia="Times New Roman" w:cs="Times New Roman"/>
                <w:b/>
                <w:i w:val="0"/>
                <w:sz w:val="18"/>
              </w:rPr>
              <w:t>Robustness check</w:t>
            </w:r>
          </w:p>
        </w:tc>
        <w:tc>
          <w:tcPr>
            <w:tcW w:w="3360" w:type="dxa"/>
            <w:tcBorders>
              <w:top w:val="single" w:color="000000" w:sz="10" w:space="0"/>
              <w:left w:val="nil"/>
              <w:bottom w:val="single" w:color="000000" w:sz="10" w:space="0"/>
              <w:right w:val="nil"/>
              <w:insideH w:val="nil"/>
              <w:insideV w:val="nil"/>
            </w:tcBorders>
            <w:vAlign w:val="center"/>
          </w:tcPr>
          <w:p w14:paraId="6CB1E5C3">
            <w:pPr>
              <w:spacing w:before="0" w:after="0" w:line="240" w:lineRule="auto"/>
              <w:jc w:val="left"/>
            </w:pPr>
            <w:r>
              <w:rPr>
                <w:rFonts w:ascii="Times New Roman" w:hAnsi="Times New Roman" w:eastAsia="Times New Roman" w:cs="Times New Roman"/>
                <w:b/>
                <w:i w:val="0"/>
                <w:sz w:val="18"/>
              </w:rPr>
              <w:t>Expected/observed interpretation</w:t>
            </w:r>
          </w:p>
        </w:tc>
        <w:tc>
          <w:tcPr>
            <w:tcW w:w="3360" w:type="dxa"/>
            <w:tcBorders>
              <w:top w:val="single" w:color="000000" w:sz="10" w:space="0"/>
              <w:left w:val="nil"/>
              <w:bottom w:val="single" w:color="000000" w:sz="10" w:space="0"/>
              <w:right w:val="nil"/>
              <w:insideH w:val="nil"/>
              <w:insideV w:val="nil"/>
            </w:tcBorders>
            <w:vAlign w:val="center"/>
          </w:tcPr>
          <w:p w14:paraId="0C3480B7">
            <w:pPr>
              <w:spacing w:before="0" w:after="0" w:line="240" w:lineRule="auto"/>
              <w:jc w:val="left"/>
            </w:pPr>
            <w:r>
              <w:rPr>
                <w:rFonts w:ascii="Times New Roman" w:hAnsi="Times New Roman" w:eastAsia="Times New Roman" w:cs="Times New Roman"/>
                <w:b/>
                <w:i w:val="0"/>
                <w:sz w:val="18"/>
              </w:rPr>
              <w:t>Replication note</w:t>
            </w:r>
          </w:p>
        </w:tc>
      </w:tr>
      <w:tr w14:paraId="4758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42614ED9">
            <w:pPr>
              <w:spacing w:before="0" w:after="0" w:line="240" w:lineRule="auto"/>
              <w:jc w:val="left"/>
            </w:pPr>
            <w:r>
              <w:rPr>
                <w:rFonts w:ascii="Times New Roman" w:hAnsi="Times New Roman" w:eastAsia="Times New Roman" w:cs="Times New Roman"/>
                <w:b w:val="0"/>
                <w:i w:val="0"/>
                <w:sz w:val="18"/>
              </w:rPr>
              <w:t>Conditional income among employed</w:t>
            </w:r>
          </w:p>
        </w:tc>
        <w:tc>
          <w:tcPr>
            <w:tcW w:w="3360" w:type="dxa"/>
            <w:tcBorders>
              <w:top w:val="nil"/>
              <w:left w:val="nil"/>
              <w:bottom w:val="nil"/>
              <w:right w:val="nil"/>
              <w:insideH w:val="nil"/>
              <w:insideV w:val="nil"/>
            </w:tcBorders>
            <w:vAlign w:val="center"/>
          </w:tcPr>
          <w:p w14:paraId="59E9E826">
            <w:pPr>
              <w:spacing w:before="0" w:after="0" w:line="240" w:lineRule="auto"/>
              <w:jc w:val="left"/>
            </w:pPr>
            <w:r>
              <w:rPr>
                <w:rFonts w:ascii="Times New Roman" w:hAnsi="Times New Roman" w:eastAsia="Times New Roman" w:cs="Times New Roman"/>
                <w:b w:val="0"/>
                <w:i w:val="0"/>
                <w:sz w:val="18"/>
              </w:rPr>
              <w:t>Motherhood penalty remains negative but attenuated</w:t>
            </w:r>
          </w:p>
        </w:tc>
        <w:tc>
          <w:tcPr>
            <w:tcW w:w="3360" w:type="dxa"/>
            <w:tcBorders>
              <w:top w:val="nil"/>
              <w:left w:val="nil"/>
              <w:bottom w:val="nil"/>
              <w:right w:val="nil"/>
              <w:insideH w:val="nil"/>
              <w:insideV w:val="nil"/>
            </w:tcBorders>
            <w:vAlign w:val="center"/>
          </w:tcPr>
          <w:p w14:paraId="0B5B7482">
            <w:pPr>
              <w:spacing w:before="0" w:after="0" w:line="240" w:lineRule="auto"/>
              <w:jc w:val="left"/>
            </w:pPr>
            <w:r>
              <w:rPr>
                <w:rFonts w:ascii="Times New Roman" w:hAnsi="Times New Roman" w:eastAsia="Times New Roman" w:cs="Times New Roman"/>
                <w:b w:val="0"/>
                <w:i w:val="0"/>
                <w:sz w:val="18"/>
              </w:rPr>
              <w:t>Separates wage-rate loss from exit margin</w:t>
            </w:r>
          </w:p>
        </w:tc>
      </w:tr>
      <w:tr w14:paraId="408A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5C7A20AF">
            <w:pPr>
              <w:spacing w:before="0" w:after="0" w:line="240" w:lineRule="auto"/>
              <w:jc w:val="left"/>
            </w:pPr>
            <w:r>
              <w:rPr>
                <w:rFonts w:ascii="Times New Roman" w:hAnsi="Times New Roman" w:eastAsia="Times New Roman" w:cs="Times New Roman"/>
                <w:b w:val="0"/>
                <w:i w:val="0"/>
                <w:sz w:val="18"/>
              </w:rPr>
              <w:t>Alternative windows</w:t>
            </w:r>
          </w:p>
        </w:tc>
        <w:tc>
          <w:tcPr>
            <w:tcW w:w="3360" w:type="dxa"/>
            <w:tcBorders>
              <w:top w:val="nil"/>
              <w:left w:val="nil"/>
              <w:bottom w:val="nil"/>
              <w:right w:val="nil"/>
              <w:insideH w:val="nil"/>
              <w:insideV w:val="nil"/>
            </w:tcBorders>
            <w:vAlign w:val="center"/>
          </w:tcPr>
          <w:p w14:paraId="4FD7D916">
            <w:pPr>
              <w:spacing w:before="0" w:after="0" w:line="240" w:lineRule="auto"/>
              <w:jc w:val="left"/>
            </w:pPr>
            <w:r>
              <w:rPr>
                <w:rFonts w:ascii="Times New Roman" w:hAnsi="Times New Roman" w:eastAsia="Times New Roman" w:cs="Times New Roman"/>
                <w:b w:val="0"/>
                <w:i w:val="0"/>
                <w:sz w:val="18"/>
              </w:rPr>
              <w:t>Main dynamic pattern preserved</w:t>
            </w:r>
          </w:p>
        </w:tc>
        <w:tc>
          <w:tcPr>
            <w:tcW w:w="3360" w:type="dxa"/>
            <w:tcBorders>
              <w:top w:val="nil"/>
              <w:left w:val="nil"/>
              <w:bottom w:val="nil"/>
              <w:right w:val="nil"/>
              <w:insideH w:val="nil"/>
              <w:insideV w:val="nil"/>
            </w:tcBorders>
            <w:vAlign w:val="center"/>
          </w:tcPr>
          <w:p w14:paraId="4D935B9A">
            <w:pPr>
              <w:spacing w:before="0" w:after="0" w:line="240" w:lineRule="auto"/>
              <w:jc w:val="left"/>
            </w:pPr>
            <w:r>
              <w:rPr>
                <w:rFonts w:ascii="Times New Roman" w:hAnsi="Times New Roman" w:eastAsia="Times New Roman" w:cs="Times New Roman"/>
                <w:b w:val="0"/>
                <w:i w:val="0"/>
                <w:sz w:val="18"/>
              </w:rPr>
              <w:t>Report tau=-3 to +6 and tau=-7 to +10</w:t>
            </w:r>
          </w:p>
        </w:tc>
      </w:tr>
      <w:tr w14:paraId="4140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7CA0683E">
            <w:pPr>
              <w:spacing w:before="0" w:after="0" w:line="240" w:lineRule="auto"/>
              <w:jc w:val="left"/>
            </w:pPr>
            <w:r>
              <w:rPr>
                <w:rFonts w:ascii="Times New Roman" w:hAnsi="Times New Roman" w:eastAsia="Times New Roman" w:cs="Times New Roman"/>
                <w:b w:val="0"/>
                <w:i w:val="0"/>
                <w:sz w:val="18"/>
              </w:rPr>
              <w:t>Exclude inferred birth years</w:t>
            </w:r>
          </w:p>
        </w:tc>
        <w:tc>
          <w:tcPr>
            <w:tcW w:w="3360" w:type="dxa"/>
            <w:tcBorders>
              <w:top w:val="nil"/>
              <w:left w:val="nil"/>
              <w:bottom w:val="nil"/>
              <w:right w:val="nil"/>
              <w:insideH w:val="nil"/>
              <w:insideV w:val="nil"/>
            </w:tcBorders>
            <w:vAlign w:val="center"/>
          </w:tcPr>
          <w:p w14:paraId="7C23436E">
            <w:pPr>
              <w:spacing w:before="0" w:after="0" w:line="240" w:lineRule="auto"/>
              <w:jc w:val="left"/>
            </w:pPr>
            <w:r>
              <w:rPr>
                <w:rFonts w:ascii="Times New Roman" w:hAnsi="Times New Roman" w:eastAsia="Times New Roman" w:cs="Times New Roman"/>
                <w:b w:val="0"/>
                <w:i w:val="0"/>
                <w:sz w:val="18"/>
              </w:rPr>
              <w:t>Results stable</w:t>
            </w:r>
          </w:p>
        </w:tc>
        <w:tc>
          <w:tcPr>
            <w:tcW w:w="3360" w:type="dxa"/>
            <w:tcBorders>
              <w:top w:val="nil"/>
              <w:left w:val="nil"/>
              <w:bottom w:val="nil"/>
              <w:right w:val="nil"/>
              <w:insideH w:val="nil"/>
              <w:insideV w:val="nil"/>
            </w:tcBorders>
            <w:vAlign w:val="center"/>
          </w:tcPr>
          <w:p w14:paraId="1974A681">
            <w:pPr>
              <w:spacing w:before="0" w:after="0" w:line="240" w:lineRule="auto"/>
              <w:jc w:val="left"/>
            </w:pPr>
            <w:r>
              <w:rPr>
                <w:rFonts w:ascii="Times New Roman" w:hAnsi="Times New Roman" w:eastAsia="Times New Roman" w:cs="Times New Roman"/>
                <w:b w:val="0"/>
                <w:i w:val="0"/>
                <w:sz w:val="18"/>
              </w:rPr>
              <w:t>Keep flags for inferred and imputed timing</w:t>
            </w:r>
          </w:p>
        </w:tc>
      </w:tr>
      <w:tr w14:paraId="6D87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09FD6778">
            <w:pPr>
              <w:spacing w:before="0" w:after="0" w:line="240" w:lineRule="auto"/>
              <w:jc w:val="left"/>
            </w:pPr>
            <w:r>
              <w:rPr>
                <w:rFonts w:ascii="Times New Roman" w:hAnsi="Times New Roman" w:eastAsia="Times New Roman" w:cs="Times New Roman"/>
                <w:b w:val="0"/>
                <w:i w:val="0"/>
                <w:sz w:val="18"/>
              </w:rPr>
              <w:t>Childless comparator only</w:t>
            </w:r>
          </w:p>
        </w:tc>
        <w:tc>
          <w:tcPr>
            <w:tcW w:w="3360" w:type="dxa"/>
            <w:tcBorders>
              <w:top w:val="nil"/>
              <w:left w:val="nil"/>
              <w:bottom w:val="nil"/>
              <w:right w:val="nil"/>
              <w:insideH w:val="nil"/>
              <w:insideV w:val="nil"/>
            </w:tcBorders>
            <w:vAlign w:val="center"/>
          </w:tcPr>
          <w:p w14:paraId="554532FE">
            <w:pPr>
              <w:spacing w:before="0" w:after="0" w:line="240" w:lineRule="auto"/>
              <w:jc w:val="left"/>
            </w:pPr>
            <w:r>
              <w:rPr>
                <w:rFonts w:ascii="Times New Roman" w:hAnsi="Times New Roman" w:eastAsia="Times New Roman" w:cs="Times New Roman"/>
                <w:b w:val="0"/>
                <w:i w:val="0"/>
                <w:sz w:val="18"/>
              </w:rPr>
              <w:t>Estimates slightly larger</w:t>
            </w:r>
          </w:p>
        </w:tc>
        <w:tc>
          <w:tcPr>
            <w:tcW w:w="3360" w:type="dxa"/>
            <w:tcBorders>
              <w:top w:val="nil"/>
              <w:left w:val="nil"/>
              <w:bottom w:val="nil"/>
              <w:right w:val="nil"/>
              <w:insideH w:val="nil"/>
              <w:insideV w:val="nil"/>
            </w:tcBorders>
            <w:vAlign w:val="center"/>
          </w:tcPr>
          <w:p w14:paraId="5C90B248">
            <w:pPr>
              <w:spacing w:before="0" w:after="0" w:line="240" w:lineRule="auto"/>
              <w:jc w:val="left"/>
            </w:pPr>
            <w:r>
              <w:rPr>
                <w:rFonts w:ascii="Times New Roman" w:hAnsi="Times New Roman" w:eastAsia="Times New Roman" w:cs="Times New Roman"/>
                <w:b w:val="0"/>
                <w:i w:val="0"/>
                <w:sz w:val="18"/>
              </w:rPr>
              <w:t>Main not-yet-parent estimates are conservative</w:t>
            </w:r>
          </w:p>
        </w:tc>
      </w:tr>
      <w:tr w14:paraId="7CBE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3526DDC6">
            <w:pPr>
              <w:spacing w:before="0" w:after="0" w:line="240" w:lineRule="auto"/>
              <w:jc w:val="left"/>
            </w:pPr>
            <w:r>
              <w:rPr>
                <w:rFonts w:ascii="Times New Roman" w:hAnsi="Times New Roman" w:eastAsia="Times New Roman" w:cs="Times New Roman"/>
                <w:b w:val="0"/>
                <w:i w:val="0"/>
                <w:sz w:val="18"/>
              </w:rPr>
              <w:t>Placebo timing</w:t>
            </w:r>
          </w:p>
        </w:tc>
        <w:tc>
          <w:tcPr>
            <w:tcW w:w="3360" w:type="dxa"/>
            <w:tcBorders>
              <w:top w:val="nil"/>
              <w:left w:val="nil"/>
              <w:bottom w:val="nil"/>
              <w:right w:val="nil"/>
              <w:insideH w:val="nil"/>
              <w:insideV w:val="nil"/>
            </w:tcBorders>
            <w:vAlign w:val="center"/>
          </w:tcPr>
          <w:p w14:paraId="1539EC47">
            <w:pPr>
              <w:spacing w:before="0" w:after="0" w:line="240" w:lineRule="auto"/>
              <w:jc w:val="left"/>
            </w:pPr>
            <w:r>
              <w:rPr>
                <w:rFonts w:ascii="Times New Roman" w:hAnsi="Times New Roman" w:eastAsia="Times New Roman" w:cs="Times New Roman"/>
                <w:b w:val="0"/>
                <w:i w:val="0"/>
                <w:sz w:val="18"/>
              </w:rPr>
              <w:t>No comparable post-event decline</w:t>
            </w:r>
          </w:p>
        </w:tc>
        <w:tc>
          <w:tcPr>
            <w:tcW w:w="3360" w:type="dxa"/>
            <w:tcBorders>
              <w:top w:val="nil"/>
              <w:left w:val="nil"/>
              <w:bottom w:val="nil"/>
              <w:right w:val="nil"/>
              <w:insideH w:val="nil"/>
              <w:insideV w:val="nil"/>
            </w:tcBorders>
            <w:vAlign w:val="center"/>
          </w:tcPr>
          <w:p w14:paraId="3D1B6335">
            <w:pPr>
              <w:spacing w:before="0" w:after="0" w:line="240" w:lineRule="auto"/>
              <w:jc w:val="left"/>
            </w:pPr>
            <w:r>
              <w:rPr>
                <w:rFonts w:ascii="Times New Roman" w:hAnsi="Times New Roman" w:eastAsia="Times New Roman" w:cs="Times New Roman"/>
                <w:b w:val="0"/>
                <w:i w:val="0"/>
                <w:sz w:val="18"/>
              </w:rPr>
              <w:t>Preserves event-time interpretation</w:t>
            </w:r>
          </w:p>
        </w:tc>
      </w:tr>
      <w:tr w14:paraId="531F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nil"/>
              <w:right w:val="nil"/>
              <w:insideH w:val="nil"/>
              <w:insideV w:val="nil"/>
            </w:tcBorders>
            <w:vAlign w:val="center"/>
          </w:tcPr>
          <w:p w14:paraId="1BB14F2F">
            <w:pPr>
              <w:spacing w:before="0" w:after="0" w:line="240" w:lineRule="auto"/>
              <w:jc w:val="left"/>
            </w:pPr>
            <w:r>
              <w:rPr>
                <w:rFonts w:ascii="Times New Roman" w:hAnsi="Times New Roman" w:eastAsia="Times New Roman" w:cs="Times New Roman"/>
                <w:b w:val="0"/>
                <w:i w:val="0"/>
                <w:sz w:val="18"/>
              </w:rPr>
              <w:t>Matched-set sensitivity</w:t>
            </w:r>
          </w:p>
        </w:tc>
        <w:tc>
          <w:tcPr>
            <w:tcW w:w="3360" w:type="dxa"/>
            <w:tcBorders>
              <w:top w:val="nil"/>
              <w:left w:val="nil"/>
              <w:bottom w:val="nil"/>
              <w:right w:val="nil"/>
              <w:insideH w:val="nil"/>
              <w:insideV w:val="nil"/>
            </w:tcBorders>
            <w:vAlign w:val="center"/>
          </w:tcPr>
          <w:p w14:paraId="5F25321C">
            <w:pPr>
              <w:spacing w:before="0" w:after="0" w:line="240" w:lineRule="auto"/>
              <w:jc w:val="left"/>
            </w:pPr>
            <w:r>
              <w:rPr>
                <w:rFonts w:ascii="Times New Roman" w:hAnsi="Times New Roman" w:eastAsia="Times New Roman" w:cs="Times New Roman"/>
                <w:b w:val="0"/>
                <w:i w:val="0"/>
                <w:sz w:val="18"/>
              </w:rPr>
              <w:t>Similar standard errors</w:t>
            </w:r>
          </w:p>
        </w:tc>
        <w:tc>
          <w:tcPr>
            <w:tcW w:w="3360" w:type="dxa"/>
            <w:tcBorders>
              <w:top w:val="nil"/>
              <w:left w:val="nil"/>
              <w:bottom w:val="nil"/>
              <w:right w:val="nil"/>
              <w:insideH w:val="nil"/>
              <w:insideV w:val="nil"/>
            </w:tcBorders>
            <w:vAlign w:val="center"/>
          </w:tcPr>
          <w:p w14:paraId="1116BF1F">
            <w:pPr>
              <w:spacing w:before="0" w:after="0" w:line="240" w:lineRule="auto"/>
              <w:jc w:val="left"/>
            </w:pPr>
            <w:r>
              <w:rPr>
                <w:rFonts w:ascii="Times New Roman" w:hAnsi="Times New Roman" w:eastAsia="Times New Roman" w:cs="Times New Roman"/>
                <w:b w:val="0"/>
                <w:i w:val="0"/>
                <w:sz w:val="18"/>
              </w:rPr>
              <w:t>Recommended if control reuse is high</w:t>
            </w:r>
          </w:p>
        </w:tc>
      </w:tr>
      <w:tr w14:paraId="6C0B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nil"/>
              <w:left w:val="nil"/>
              <w:bottom w:val="single" w:color="000000" w:sz="10" w:space="0"/>
              <w:right w:val="nil"/>
              <w:insideH w:val="nil"/>
              <w:insideV w:val="nil"/>
            </w:tcBorders>
            <w:vAlign w:val="center"/>
          </w:tcPr>
          <w:p w14:paraId="4BB08E39">
            <w:pPr>
              <w:spacing w:before="0" w:after="0" w:line="240" w:lineRule="auto"/>
              <w:jc w:val="left"/>
            </w:pPr>
            <w:r>
              <w:rPr>
                <w:rFonts w:ascii="Times New Roman" w:hAnsi="Times New Roman" w:eastAsia="Times New Roman" w:cs="Times New Roman"/>
                <w:b w:val="0"/>
                <w:i w:val="0"/>
                <w:sz w:val="18"/>
              </w:rPr>
              <w:t>ISEI outcome</w:t>
            </w:r>
          </w:p>
        </w:tc>
        <w:tc>
          <w:tcPr>
            <w:tcW w:w="3360" w:type="dxa"/>
            <w:tcBorders>
              <w:top w:val="nil"/>
              <w:left w:val="nil"/>
              <w:bottom w:val="single" w:color="000000" w:sz="10" w:space="0"/>
              <w:right w:val="nil"/>
              <w:insideH w:val="nil"/>
              <w:insideV w:val="nil"/>
            </w:tcBorders>
            <w:vAlign w:val="center"/>
          </w:tcPr>
          <w:p w14:paraId="40631308">
            <w:pPr>
              <w:spacing w:before="0" w:after="0" w:line="240" w:lineRule="auto"/>
              <w:jc w:val="left"/>
            </w:pPr>
            <w:r>
              <w:rPr>
                <w:rFonts w:ascii="Times New Roman" w:hAnsi="Times New Roman" w:eastAsia="Times New Roman" w:cs="Times New Roman"/>
                <w:b w:val="0"/>
                <w:i w:val="0"/>
                <w:sz w:val="18"/>
              </w:rPr>
              <w:t>Smaller but negative effect</w:t>
            </w:r>
          </w:p>
        </w:tc>
        <w:tc>
          <w:tcPr>
            <w:tcW w:w="3360" w:type="dxa"/>
            <w:tcBorders>
              <w:top w:val="nil"/>
              <w:left w:val="nil"/>
              <w:bottom w:val="single" w:color="000000" w:sz="10" w:space="0"/>
              <w:right w:val="nil"/>
              <w:insideH w:val="nil"/>
              <w:insideV w:val="nil"/>
            </w:tcBorders>
            <w:vAlign w:val="center"/>
          </w:tcPr>
          <w:p w14:paraId="121B6574">
            <w:pPr>
              <w:spacing w:before="0" w:after="0" w:line="240" w:lineRule="auto"/>
              <w:jc w:val="left"/>
            </w:pPr>
            <w:r>
              <w:rPr>
                <w:rFonts w:ascii="Times New Roman" w:hAnsi="Times New Roman" w:eastAsia="Times New Roman" w:cs="Times New Roman"/>
                <w:b w:val="0"/>
                <w:i w:val="0"/>
                <w:sz w:val="18"/>
              </w:rPr>
              <w:t>Links income penalty to occupational continuity</w:t>
            </w:r>
          </w:p>
        </w:tc>
      </w:tr>
    </w:tbl>
    <w:p w14:paraId="7BD71CD1">
      <w:pPr>
        <w:spacing w:before="60" w:after="60"/>
        <w:ind w:firstLine="504"/>
        <w:jc w:val="both"/>
      </w:pPr>
      <w:r>
        <w:rPr>
          <w:rFonts w:ascii="Times New Roman" w:hAnsi="Times New Roman" w:eastAsia="Times New Roman" w:cs="Times New Roman"/>
          <w:b w:val="0"/>
          <w:i w:val="0"/>
          <w:sz w:val="22"/>
        </w:rPr>
        <w:t>The main manuscript should not include unresolved placeholders, internal audit notes, DOI links, unverified repository promises or claims of completed sensitivity analyses that have not been run. If HonestDiD, sensemakr or matched-set bootstrap checks are later added, their numerical results should be placed in the supplement with clear captions and not merely mentioned in the limitations section.</w:t>
      </w:r>
    </w:p>
    <w:p w14:paraId="1592EFA9">
      <w:pPr>
        <w:spacing w:before="60" w:after="60"/>
        <w:ind w:firstLine="504"/>
        <w:jc w:val="both"/>
      </w:pPr>
      <w:r>
        <w:rPr>
          <w:rFonts w:ascii="Times New Roman" w:hAnsi="Times New Roman" w:eastAsia="Times New Roman" w:cs="Times New Roman"/>
          <w:b w:val="0"/>
          <w:i w:val="0"/>
          <w:sz w:val="22"/>
        </w:rPr>
        <w:t>For submission, the authors should prepare four files: (1) the blinded main manuscript, (2) this supplementary materials file, (3) a replication README describing how the CFPS data are harmonised and how the event-study variables are constructed, and (4) a figure file or editable source file for each figure. If the target journal requires data availability statements, the statement should clarify that CFPS raw data are externally hosted and cannot be redistributed, while code and derived logs can be shared subject to data-use agreements.</w:t>
      </w:r>
    </w:p>
    <w:p w14:paraId="2CB8D08C">
      <w:pPr>
        <w:spacing w:before="60" w:after="60"/>
        <w:ind w:firstLine="504"/>
        <w:jc w:val="both"/>
      </w:pPr>
      <w:r>
        <w:rPr>
          <w:rFonts w:ascii="Times New Roman" w:hAnsi="Times New Roman" w:eastAsia="Times New Roman" w:cs="Times New Roman"/>
          <w:b w:val="0"/>
          <w:i w:val="0"/>
          <w:sz w:val="22"/>
        </w:rPr>
        <w:t>The labour-supply attenuation table is included to explain how the income penalty changes after employment and hours are added to the model. It should not be rewritten as a formal mediation analysis. The appropriate language is 'descriptive attenuation consistent with the labour-supply pathway.' A formal causal mediation claim would require stronger assumptions about mediator-outcome confounding and the absence of unmeasured variables that jointly affect labour supply and income after childbirth.</w:t>
      </w:r>
    </w:p>
    <w:p w14:paraId="6997222C">
      <w:pPr>
        <w:spacing w:before="60" w:after="60"/>
        <w:ind w:firstLine="504"/>
        <w:jc w:val="both"/>
      </w:pPr>
      <w:r>
        <w:rPr>
          <w:rFonts w:ascii="Times New Roman" w:hAnsi="Times New Roman" w:eastAsia="Times New Roman" w:cs="Times New Roman"/>
          <w:b w:val="0"/>
          <w:i w:val="0"/>
          <w:sz w:val="22"/>
        </w:rPr>
        <w:t>The matching procedure should be reproducible from four objects: the pre-treatment state sequence for each respondent, the substitution-cost matrix, the propensity-score model, and the matched-set identifier. In particular, reuse of controls in stacked matched sets requires careful reporting of unique control IDs and reuse frequency.</w:t>
      </w:r>
    </w:p>
    <w:p w14:paraId="448E19F5">
      <w:pPr>
        <w:spacing w:before="60" w:after="60"/>
        <w:ind w:firstLine="504"/>
        <w:jc w:val="both"/>
      </w:pPr>
      <w:r>
        <w:rPr>
          <w:rFonts w:ascii="Times New Roman" w:hAnsi="Times New Roman" w:eastAsia="Times New Roman" w:cs="Times New Roman"/>
          <w:b w:val="0"/>
          <w:i w:val="0"/>
          <w:sz w:val="22"/>
        </w:rPr>
        <w:t>Event-time coefficients should be read relative to the omitted period one year before first childbirth. The estimates for tau=-5 through tau=-2 are pre-trend diagnostics, not treatment effects. The estimates for tau=0 and later trace the income or labour-supply changes observed after childbirth relative to the matched counterfactual path. Because CFPS waves are biennial, authors should keep both annual event-time estimates and wider-window estimates in the replication package.</w:t>
      </w:r>
    </w:p>
    <w:p w14:paraId="2AD460E3">
      <w:pPr>
        <w:spacing w:before="60" w:after="60"/>
        <w:ind w:firstLine="504"/>
        <w:jc w:val="both"/>
      </w:pPr>
      <w:r>
        <w:rPr>
          <w:rFonts w:ascii="Times New Roman" w:hAnsi="Times New Roman" w:eastAsia="Times New Roman" w:cs="Times New Roman"/>
          <w:b w:val="0"/>
          <w:sz w:val="22"/>
        </w:rPr>
        <w:t>Before submission, the authors should verify the exact target-journal requirements for capitalization, issue numbers and article numbers. Several journals allow article numbers in place of page ranges. Books and conference papers should be kept only when they directly support a measurement choice or theoretical claim. The present list is intentionally compact: it includes major child-penalty studies, classic gender-stratification sources, methodological sources for target-trial emulation, matching, causal mediation and sensitivity analysis, and recent China-based evidence.</w:t>
      </w:r>
    </w:p>
    <w:p w14:paraId="5E2F0ED3">
      <w:pPr>
        <w:spacing w:before="60" w:after="60"/>
        <w:ind w:firstLine="504"/>
        <w:jc w:val="both"/>
      </w:pPr>
      <w:r>
        <w:rPr>
          <w:rFonts w:ascii="Times New Roman" w:hAnsi="Times New Roman" w:eastAsia="Times New Roman" w:cs="Times New Roman"/>
          <w:b w:val="0"/>
          <w:sz w:val="22"/>
        </w:rPr>
        <w:t>The reference list was rechecked for style consistency. DOI links and raw URLs were removed. The Zhou et al. reference was corrected to include Hongyan Yu and article number 101869. The final list remains in alphabetical order. Classic sources, method sources and recent China-based studies are retained because each appears in the manuscript.</w:t>
      </w:r>
    </w:p>
    <w:p w14:paraId="2564218F">
      <w:pPr>
        <w:pStyle w:val="3"/>
        <w:spacing w:line="240" w:lineRule="auto"/>
        <w:jc w:val="left"/>
      </w:pPr>
      <w:r>
        <w:rPr>
          <w:rFonts w:ascii="Times New Roman" w:hAnsi="Times New Roman" w:eastAsia="Times New Roman" w:cs="Times New Roman"/>
          <w:b/>
          <w:sz w:val="28"/>
        </w:rPr>
        <w:t>S10. Reference audit note</w:t>
      </w:r>
    </w:p>
    <w:p w14:paraId="3F7660AA">
      <w:pPr>
        <w:spacing w:before="60" w:after="60"/>
        <w:ind w:firstLine="504"/>
        <w:jc w:val="both"/>
      </w:pPr>
      <w:r>
        <w:rPr>
          <w:rFonts w:ascii="Times New Roman" w:hAnsi="Times New Roman" w:eastAsia="Times New Roman" w:cs="Times New Roman"/>
          <w:b w:val="0"/>
          <w:sz w:val="22"/>
        </w:rPr>
        <w:t>No unresolved placeholders, raw URLs, DOI links, internal audit notes or claims of unrun sensitivity analyses should remain in the submission version. If HonestDiD, sensemakr or additional matched-set bootstrap checks are later added, their numerical results should appear here with clear captions rather than being mentioned only in the limitations section.</w:t>
      </w:r>
    </w:p>
    <w:p w14:paraId="6A4D2CEC">
      <w:pPr>
        <w:spacing w:before="60" w:after="60"/>
        <w:ind w:firstLine="504"/>
        <w:jc w:val="both"/>
      </w:pPr>
      <w:r>
        <w:rPr>
          <w:rFonts w:ascii="Times New Roman" w:hAnsi="Times New Roman" w:eastAsia="Times New Roman" w:cs="Times New Roman"/>
          <w:b w:val="0"/>
          <w:sz w:val="22"/>
        </w:rPr>
        <w:t>The sample-exclusion log is a high-priority replication item. Reviewers should be able to see how the analysis moves from all adult CFPS observations to the final event-study sample, how many observations are removed because of missing income or inconsistent child information, and how many treated parents have at least one pre-birth observation. The numbers in Table S1 should exactly match the code output used to generate the manuscript.</w:t>
      </w:r>
    </w:p>
    <w:p w14:paraId="2FFAA18A">
      <w:pPr>
        <w:spacing w:before="60" w:after="60"/>
        <w:ind w:firstLine="504"/>
        <w:jc w:val="both"/>
      </w:pPr>
      <w:r>
        <w:rPr>
          <w:rFonts w:ascii="Times New Roman" w:hAnsi="Times New Roman" w:eastAsia="Times New Roman" w:cs="Times New Roman"/>
          <w:b w:val="0"/>
          <w:sz w:val="22"/>
        </w:rPr>
        <w:t>The matching procedure should be reproducible from four objects: the pre-treatment state sequence for each respondent, the substitution-cost matrix, the propensity-score model and the matched-set identifier. Reuse of controls in stacked matched sets requires careful reporting of unique control IDs and reuse frequency. If the target journal requests stronger evidence, matched-set clustered standard errors or bootstrap checks can be added to the supplement.</w:t>
      </w:r>
    </w:p>
    <w:p w14:paraId="1284A2B8">
      <w:pPr>
        <w:spacing w:before="60" w:after="60"/>
        <w:ind w:firstLine="504"/>
        <w:jc w:val="both"/>
      </w:pPr>
      <w:r>
        <w:rPr>
          <w:rFonts w:ascii="Times New Roman" w:hAnsi="Times New Roman" w:eastAsia="Times New Roman" w:cs="Times New Roman"/>
          <w:b w:val="0"/>
          <w:sz w:val="22"/>
        </w:rPr>
        <w:t>For submission, authors should prepare a blinded main manuscript, this supplementary materials file, a replication README, and editable source files for all figures. The README should list the CFPS waves used, the raw files, variable names, harmonisation steps, event-time construction, matching script, figure script and table script. If raw CFPS data cannot be redistributed, the data availability statement should say that raw data are externally hosted and that code and derived logs can be shared subject to data-use agreements.</w:t>
      </w:r>
    </w:p>
    <w:p w14:paraId="0EAD09CC">
      <w:pPr>
        <w:pStyle w:val="3"/>
        <w:spacing w:line="240" w:lineRule="auto"/>
        <w:jc w:val="left"/>
      </w:pPr>
      <w:r>
        <w:rPr>
          <w:rFonts w:ascii="Times New Roman" w:hAnsi="Times New Roman" w:eastAsia="Times New Roman" w:cs="Times New Roman"/>
          <w:b/>
          <w:sz w:val="28"/>
        </w:rPr>
        <w:t>S9. Replication package and submission checklist</w:t>
      </w:r>
    </w:p>
    <w:p w14:paraId="072C2D40">
      <w:pPr>
        <w:spacing w:before="60" w:after="60"/>
        <w:ind w:firstLine="504"/>
        <w:jc w:val="both"/>
      </w:pPr>
      <w:r>
        <w:rPr>
          <w:rFonts w:ascii="Times New Roman" w:hAnsi="Times New Roman" w:eastAsia="Times New Roman" w:cs="Times New Roman"/>
          <w:b w:val="0"/>
          <w:sz w:val="22"/>
        </w:rPr>
        <w:t>The decomposition table is also descriptive. It separates the observed parental gender income gap into non-parenthood female disadvantage, motherhood penalty and fatherhood premium. The residual is zero because the components are defined to sum to the total gap. Authors should not present this as evidence that the model has explained all sources of inequality. A deeper decomposition of the female-disadvantage component would require a separate Blinder-Oaxaca or RIF design.</w:t>
      </w:r>
    </w:p>
    <w:p w14:paraId="78BC2B25">
      <w:pPr>
        <w:spacing w:before="60" w:after="60"/>
        <w:ind w:firstLine="504"/>
        <w:jc w:val="both"/>
      </w:pPr>
      <w:r>
        <w:rPr>
          <w:rFonts w:ascii="Times New Roman" w:hAnsi="Times New Roman" w:eastAsia="Times New Roman" w:cs="Times New Roman"/>
          <w:b w:val="0"/>
          <w:sz w:val="22"/>
        </w:rPr>
        <w:t>The labour-supply attenuation table should not be rewritten as a formal mediation table. Employment and hours are measured after childbirth and are part of the treatment process. The appropriate interpretation is descriptive attenuation consistent with the labour-supply pathway. The non-attenuated component should be discussed as evidence that wage growth, promotion, occupational mobility or discrimination may remain important beyond current labour supply.</w:t>
      </w:r>
    </w:p>
    <w:p w14:paraId="59233803">
      <w:pPr>
        <w:spacing w:before="60" w:after="60"/>
        <w:ind w:firstLine="504"/>
        <w:jc w:val="both"/>
      </w:pPr>
      <w:r>
        <w:rPr>
          <w:rFonts w:ascii="Times New Roman" w:hAnsi="Times New Roman" w:eastAsia="Times New Roman" w:cs="Times New Roman"/>
          <w:b w:val="0"/>
          <w:sz w:val="22"/>
        </w:rPr>
        <w:t>The event-time coefficients in Table S4 should be read relative to the omitted period one year before first childbirth. Coefficients for tau=-5 through tau=-2 are pre-trend diagnostics, not treatment effects. Coefficients for tau=0 and later trace the income changes observed after childbirth relative to the matched counterfactual path. Because CFPS waves are biennial, authors should preserve both annual event-time estimates and wider-window estimates in the replication package.</w:t>
      </w:r>
    </w:p>
    <w:p w14:paraId="2F6957AA">
      <w:pPr>
        <w:spacing w:before="60" w:after="60"/>
        <w:ind w:firstLine="504"/>
        <w:jc w:val="both"/>
      </w:pPr>
      <w:r>
        <w:rPr>
          <w:rFonts w:ascii="Times New Roman" w:hAnsi="Times New Roman" w:eastAsia="Times New Roman" w:cs="Times New Roman"/>
          <w:b w:val="0"/>
          <w:sz w:val="22"/>
        </w:rPr>
        <w:t>The supplementary tables are designed to document rather than extend the main theoretical argument. Table S1 records the sample flow. Table S2 clarifies variable roles. Tables S3-S6 report the matching and event-study quantities that allow reviewers to verify the numerical claims in the main manuscript. Tables S7-S9 place heterogeneity, decomposition and robustness checks in one location so that the main article can stay near the journal word limit.</w:t>
      </w:r>
    </w:p>
    <w:p w14:paraId="4BB79DB6">
      <w:pPr>
        <w:pStyle w:val="3"/>
        <w:spacing w:line="240" w:lineRule="auto"/>
        <w:jc w:val="left"/>
      </w:pPr>
      <w:r>
        <w:rPr>
          <w:rFonts w:ascii="Times New Roman" w:hAnsi="Times New Roman" w:eastAsia="Times New Roman" w:cs="Times New Roman"/>
          <w:b/>
          <w:sz w:val="28"/>
        </w:rPr>
        <w:t>S8. Interpretation of supplementary diagnostics</w:t>
      </w:r>
    </w:p>
    <w:p w14:paraId="3FB05399">
      <w:pPr>
        <w:pStyle w:val="3"/>
        <w:spacing w:line="240" w:lineRule="auto"/>
        <w:jc w:val="left"/>
      </w:pPr>
      <w:r>
        <w:rPr>
          <w:rFonts w:ascii="Times New Roman" w:hAnsi="Times New Roman" w:eastAsia="Times New Roman" w:cs="Times New Roman"/>
          <w:b/>
          <w:color w:val="1F4E79"/>
          <w:sz w:val="24"/>
        </w:rPr>
        <w:t>References cited in the manuscript</w:t>
      </w:r>
    </w:p>
    <w:p w14:paraId="6C5FEED3">
      <w:pPr>
        <w:spacing w:before="0" w:after="40" w:line="240" w:lineRule="auto"/>
        <w:ind w:left="360" w:hanging="360"/>
        <w:jc w:val="both"/>
      </w:pPr>
      <w:r>
        <w:rPr>
          <w:rFonts w:ascii="Times New Roman" w:hAnsi="Times New Roman" w:eastAsia="Times New Roman" w:cs="Times New Roman"/>
          <w:sz w:val="19"/>
        </w:rPr>
        <w:t>Angelov, N., Johansson, P., &amp; Lindahl, E. (2016). Parenthood and the gender gap in pay. Journal of Labor Economics, 34(3), 545–579.</w:t>
      </w:r>
    </w:p>
    <w:p w14:paraId="0AB8126B">
      <w:pPr>
        <w:spacing w:before="0" w:after="40" w:line="240" w:lineRule="auto"/>
        <w:ind w:left="360" w:hanging="360"/>
        <w:jc w:val="both"/>
      </w:pPr>
      <w:r>
        <w:rPr>
          <w:rFonts w:ascii="Times New Roman" w:hAnsi="Times New Roman" w:eastAsia="Times New Roman" w:cs="Times New Roman"/>
          <w:sz w:val="19"/>
        </w:rPr>
        <w:t>Becker, G. S. (1985). Human capital, effort, and the sexual division of labor. Journal of Labor Economics, 3(1), S33–S58.</w:t>
      </w:r>
    </w:p>
    <w:p w14:paraId="587385B4">
      <w:pPr>
        <w:spacing w:before="0" w:after="40" w:line="240" w:lineRule="auto"/>
        <w:ind w:left="360" w:hanging="360"/>
        <w:jc w:val="both"/>
      </w:pPr>
      <w:r>
        <w:rPr>
          <w:rFonts w:ascii="Times New Roman" w:hAnsi="Times New Roman" w:eastAsia="Times New Roman" w:cs="Times New Roman"/>
          <w:sz w:val="19"/>
        </w:rPr>
        <w:t>Bertrand, M., Goldin, C., &amp; Katz, L. F. (2010). Dynamics of the gender gap for young professionals in the financial and corporate sectors. American Economic Journal: Applied Economics, 2(3), 228–255.</w:t>
      </w:r>
    </w:p>
    <w:p w14:paraId="063A09F7">
      <w:pPr>
        <w:spacing w:before="0" w:after="40" w:line="240" w:lineRule="auto"/>
        <w:ind w:left="360" w:hanging="360"/>
        <w:jc w:val="both"/>
      </w:pPr>
      <w:r>
        <w:rPr>
          <w:rFonts w:ascii="Times New Roman" w:hAnsi="Times New Roman" w:eastAsia="Times New Roman" w:cs="Times New Roman"/>
          <w:sz w:val="19"/>
        </w:rPr>
        <w:t>Blinder, A. S. (1973). Wage discrimination: Reduced form and structural estimates. Journal of Human Resources, 8(4), 436–455.</w:t>
      </w:r>
    </w:p>
    <w:p w14:paraId="73449F0D">
      <w:pPr>
        <w:spacing w:before="0" w:after="40" w:line="240" w:lineRule="auto"/>
        <w:ind w:left="360" w:hanging="360"/>
        <w:jc w:val="both"/>
      </w:pPr>
      <w:r>
        <w:rPr>
          <w:rFonts w:ascii="Times New Roman" w:hAnsi="Times New Roman" w:eastAsia="Times New Roman" w:cs="Times New Roman"/>
          <w:sz w:val="19"/>
        </w:rPr>
        <w:t>Budig, M. J., &amp; England, P. (2001). The wage penalty for motherhood. American Sociological Review, 66(2), 204–225.</w:t>
      </w:r>
    </w:p>
    <w:p w14:paraId="445765E2">
      <w:pPr>
        <w:spacing w:before="0" w:after="40" w:line="240" w:lineRule="auto"/>
        <w:ind w:left="360" w:hanging="360"/>
        <w:jc w:val="both"/>
      </w:pPr>
      <w:r>
        <w:rPr>
          <w:rFonts w:ascii="Times New Roman" w:hAnsi="Times New Roman" w:eastAsia="Times New Roman" w:cs="Times New Roman"/>
          <w:sz w:val="19"/>
        </w:rPr>
        <w:t>Cinelli, C., &amp; Hazlett, C. (2020). Making sense of sensitivity: Extending omitted variable bias. Journal of the Royal Statistical Society: Series B (Statistical Methodology), 82(1), 39–67.</w:t>
      </w:r>
    </w:p>
    <w:p w14:paraId="36979CA8">
      <w:pPr>
        <w:spacing w:before="0" w:after="40" w:line="240" w:lineRule="auto"/>
        <w:ind w:left="360" w:hanging="360"/>
        <w:jc w:val="both"/>
      </w:pPr>
      <w:r>
        <w:rPr>
          <w:rFonts w:ascii="Times New Roman" w:hAnsi="Times New Roman" w:eastAsia="Times New Roman" w:cs="Times New Roman"/>
          <w:sz w:val="19"/>
        </w:rPr>
        <w:t>Correll, S. J., Benard, S., &amp; Paik, I. (2007). Getting a job: Is there a motherhood penalty? American Journal of Sociology, 112(5), 1297–1338.</w:t>
      </w:r>
    </w:p>
    <w:p w14:paraId="1FAD9434">
      <w:pPr>
        <w:spacing w:before="0" w:after="40" w:line="240" w:lineRule="auto"/>
        <w:ind w:left="360" w:hanging="360"/>
        <w:jc w:val="both"/>
      </w:pPr>
      <w:r>
        <w:rPr>
          <w:rFonts w:ascii="Times New Roman" w:hAnsi="Times New Roman" w:eastAsia="Times New Roman" w:cs="Times New Roman"/>
          <w:sz w:val="19"/>
        </w:rPr>
        <w:t>Costa Dias, M., Joyce, R., &amp; Parodi, F. (2020). The gender pay gap in the UK: Children and experience in work. Oxford Review of Economic Policy, 36(4), 855–881.</w:t>
      </w:r>
    </w:p>
    <w:p w14:paraId="31E4C4FA">
      <w:pPr>
        <w:spacing w:before="0" w:after="40" w:line="240" w:lineRule="auto"/>
        <w:ind w:left="360" w:hanging="360"/>
        <w:jc w:val="both"/>
      </w:pPr>
      <w:r>
        <w:rPr>
          <w:rFonts w:ascii="Times New Roman" w:hAnsi="Times New Roman" w:eastAsia="Times New Roman" w:cs="Times New Roman"/>
          <w:sz w:val="19"/>
        </w:rPr>
        <w:t>Cukrowska-Torzewska, E., &amp; Matysiak, A. (2020). The motherhood wage penalty: A meta-analysis. Social Science Research, 88, 102416.</w:t>
      </w:r>
    </w:p>
    <w:p w14:paraId="6F39E612">
      <w:pPr>
        <w:spacing w:before="0" w:after="40" w:line="240" w:lineRule="auto"/>
        <w:ind w:left="360" w:hanging="360"/>
        <w:jc w:val="both"/>
      </w:pPr>
      <w:r>
        <w:rPr>
          <w:rFonts w:ascii="Times New Roman" w:hAnsi="Times New Roman" w:eastAsia="Times New Roman" w:cs="Times New Roman"/>
          <w:sz w:val="19"/>
        </w:rPr>
        <w:t>Elder, G. H., Jr. (1994). Time, human agency, and social change: Perspectives on the life course. Social Psychology Quarterly, 57(1), 4–15.</w:t>
      </w:r>
    </w:p>
    <w:p w14:paraId="63515AF9">
      <w:pPr>
        <w:spacing w:before="0" w:after="40" w:line="240" w:lineRule="auto"/>
        <w:ind w:left="360" w:hanging="360"/>
        <w:jc w:val="both"/>
      </w:pPr>
      <w:r>
        <w:rPr>
          <w:rFonts w:ascii="Times New Roman" w:hAnsi="Times New Roman" w:eastAsia="Times New Roman" w:cs="Times New Roman"/>
          <w:sz w:val="19"/>
        </w:rPr>
        <w:t>England, P., Bearak, J., Budig, M. J., &amp; Hodges, M. J. (2016). Do highly paid, highly skilled women experience the largest motherhood penalty? American Sociological Review, 81(6), 1161–1189.</w:t>
      </w:r>
    </w:p>
    <w:p w14:paraId="2B0C1020">
      <w:pPr>
        <w:spacing w:before="0" w:after="40" w:line="240" w:lineRule="auto"/>
        <w:ind w:left="360" w:hanging="360"/>
        <w:jc w:val="both"/>
      </w:pPr>
      <w:r>
        <w:rPr>
          <w:rFonts w:ascii="Times New Roman" w:hAnsi="Times New Roman" w:eastAsia="Times New Roman" w:cs="Times New Roman"/>
          <w:sz w:val="19"/>
        </w:rPr>
        <w:t>Fu, E. L. (2023). Target trial emulation to improve causal inference from observational data: What, why, and how? Journal of the American Society of Nephrology, 34(8), 1305–1314.</w:t>
      </w:r>
    </w:p>
    <w:p w14:paraId="4F0ACDB7">
      <w:pPr>
        <w:spacing w:before="0" w:after="40" w:line="240" w:lineRule="auto"/>
        <w:ind w:left="360" w:hanging="360"/>
        <w:jc w:val="both"/>
      </w:pPr>
      <w:r>
        <w:rPr>
          <w:rFonts w:ascii="Times New Roman" w:hAnsi="Times New Roman" w:eastAsia="Times New Roman" w:cs="Times New Roman"/>
          <w:sz w:val="19"/>
        </w:rPr>
        <w:t>Gabadinho, A., Ritschard, G., Müller, N. S., &amp; Studer, M. (2011). Analyzing and visualizing state sequences in R with TraMineR. Journal of Statistical Software, 40(4), 1–37.</w:t>
      </w:r>
    </w:p>
    <w:p w14:paraId="24D16099">
      <w:pPr>
        <w:spacing w:before="0" w:after="40" w:line="240" w:lineRule="auto"/>
        <w:ind w:left="360" w:hanging="360"/>
        <w:jc w:val="both"/>
      </w:pPr>
      <w:r>
        <w:rPr>
          <w:rFonts w:ascii="Times New Roman" w:hAnsi="Times New Roman" w:eastAsia="Times New Roman" w:cs="Times New Roman"/>
          <w:sz w:val="19"/>
        </w:rPr>
        <w:t>Ganzeboom, H. B. G. (2010). A new International Socio-Economic Index (ISEI) of occupational status for the International Standard Classification of Occupation 2008 (ISCO-08) constructed with data from the ISSP 2002–2007. Paper presented at the Annual Conference of the International Social Survey Programme, Lisbon.</w:t>
      </w:r>
    </w:p>
    <w:p w14:paraId="7C53D782">
      <w:pPr>
        <w:spacing w:before="0" w:after="40" w:line="240" w:lineRule="auto"/>
        <w:ind w:left="360" w:hanging="360"/>
        <w:jc w:val="both"/>
      </w:pPr>
      <w:r>
        <w:rPr>
          <w:rFonts w:ascii="Times New Roman" w:hAnsi="Times New Roman" w:eastAsia="Times New Roman" w:cs="Times New Roman"/>
          <w:sz w:val="19"/>
        </w:rPr>
        <w:t>Goldin, C. (2014). A grand gender convergence: Its last chapter. American Economic Review, 104(4), 1091–1119.</w:t>
      </w:r>
    </w:p>
    <w:p w14:paraId="7DA2A32A">
      <w:pPr>
        <w:spacing w:before="0" w:after="40" w:line="240" w:lineRule="auto"/>
        <w:ind w:left="360" w:hanging="360"/>
        <w:jc w:val="both"/>
      </w:pPr>
      <w:r>
        <w:rPr>
          <w:rFonts w:ascii="Times New Roman" w:hAnsi="Times New Roman" w:eastAsia="Times New Roman" w:cs="Times New Roman"/>
          <w:sz w:val="19"/>
        </w:rPr>
        <w:t>Goldin, C., Kerr, S. P., &amp; Olivetti, C. (2024). The parental pay gap over the life cycle: Children, jobs, and labor supply. Journal of Economic Dynamics and Control, 169, 104963.</w:t>
      </w:r>
    </w:p>
    <w:p w14:paraId="7027DDB6">
      <w:pPr>
        <w:spacing w:before="0" w:after="40" w:line="240" w:lineRule="auto"/>
        <w:ind w:left="360" w:hanging="360"/>
        <w:jc w:val="both"/>
      </w:pPr>
      <w:r>
        <w:rPr>
          <w:rFonts w:ascii="Times New Roman" w:hAnsi="Times New Roman" w:eastAsia="Times New Roman" w:cs="Times New Roman"/>
          <w:sz w:val="19"/>
        </w:rPr>
        <w:t>Hernán, M. A., &amp; Robins, J. M. (2016). Using big data to emulate a target trial when a randomized trial is not available. American Journal of Epidemiology, 183(8), 758–764.</w:t>
      </w:r>
    </w:p>
    <w:p w14:paraId="6ADBF026">
      <w:pPr>
        <w:spacing w:before="0" w:after="40" w:line="240" w:lineRule="auto"/>
        <w:ind w:left="360" w:hanging="360"/>
        <w:jc w:val="both"/>
      </w:pPr>
      <w:r>
        <w:rPr>
          <w:rFonts w:ascii="Times New Roman" w:hAnsi="Times New Roman" w:eastAsia="Times New Roman" w:cs="Times New Roman"/>
          <w:sz w:val="19"/>
        </w:rPr>
        <w:t>Ho, D. E., Imai, K., King, G., &amp; Stuart, E. A. (2011). MatchIt: Nonparametric preprocessing for parametric causal inference. Journal of Statistical Software, 42(8), 1–28.</w:t>
      </w:r>
    </w:p>
    <w:p w14:paraId="1AE0E06F">
      <w:pPr>
        <w:spacing w:before="0" w:after="40" w:line="240" w:lineRule="auto"/>
        <w:ind w:left="360" w:hanging="360"/>
        <w:jc w:val="both"/>
      </w:pPr>
      <w:r>
        <w:rPr>
          <w:rFonts w:ascii="Times New Roman" w:hAnsi="Times New Roman" w:eastAsia="Times New Roman" w:cs="Times New Roman"/>
          <w:sz w:val="19"/>
        </w:rPr>
        <w:t>Imai, K., Keele, L., &amp; Tingley, D. (2010). A general approach to causal mediation analysis. Psychological Methods, 15(4), 309–334.</w:t>
      </w:r>
    </w:p>
    <w:p w14:paraId="22BA92ED">
      <w:pPr>
        <w:spacing w:before="0" w:after="40" w:line="240" w:lineRule="auto"/>
        <w:ind w:left="360" w:hanging="360"/>
        <w:jc w:val="both"/>
      </w:pPr>
      <w:r>
        <w:rPr>
          <w:rFonts w:ascii="Times New Roman" w:hAnsi="Times New Roman" w:eastAsia="Times New Roman" w:cs="Times New Roman"/>
          <w:sz w:val="19"/>
        </w:rPr>
        <w:t>Kleven, H., Landais, C., &amp; Søgaard, J. E. (2019). Children and gender inequality: Evidence from Denmark. American Economic Journal: Applied Economics, 11(4), 181–209.</w:t>
      </w:r>
    </w:p>
    <w:p w14:paraId="258ACA49">
      <w:pPr>
        <w:spacing w:before="0" w:after="40" w:line="240" w:lineRule="auto"/>
        <w:ind w:left="360" w:hanging="360"/>
        <w:jc w:val="both"/>
      </w:pPr>
      <w:r>
        <w:rPr>
          <w:rFonts w:ascii="Times New Roman" w:hAnsi="Times New Roman" w:eastAsia="Times New Roman" w:cs="Times New Roman"/>
          <w:sz w:val="19"/>
        </w:rPr>
        <w:t>Ma, X. (2022). Parenthood and the gender wage gap in urban China. Journal of Asian Economics, 80, 101479.</w:t>
      </w:r>
    </w:p>
    <w:p w14:paraId="379CFFDC">
      <w:pPr>
        <w:spacing w:before="0" w:after="40" w:line="240" w:lineRule="auto"/>
        <w:ind w:left="360" w:hanging="360"/>
        <w:jc w:val="both"/>
      </w:pPr>
      <w:r>
        <w:rPr>
          <w:rFonts w:ascii="Times New Roman" w:hAnsi="Times New Roman" w:eastAsia="Times New Roman" w:cs="Times New Roman"/>
          <w:sz w:val="19"/>
        </w:rPr>
        <w:t>Meng, L., Zhang, Y., &amp; Zou, B. (2023). The motherhood penalty in China: Magnitudes, trends, and the role of grandparenting. Journal of Comparative Economics, 51(1), 105–132.</w:t>
      </w:r>
    </w:p>
    <w:p w14:paraId="00F5FE8E">
      <w:pPr>
        <w:spacing w:before="0" w:after="40" w:line="240" w:lineRule="auto"/>
        <w:ind w:left="360" w:hanging="360"/>
        <w:jc w:val="both"/>
      </w:pPr>
      <w:r>
        <w:rPr>
          <w:rFonts w:ascii="Times New Roman" w:hAnsi="Times New Roman" w:eastAsia="Times New Roman" w:cs="Times New Roman"/>
          <w:sz w:val="19"/>
        </w:rPr>
        <w:t>Montgomery, J. M., Nyhan, B., &amp; Torres, M. (2018). How conditioning on posttreatment variables can ruin your experiment and what to do about it. American Journal of Political Science, 62(3), 760–775.</w:t>
      </w:r>
    </w:p>
    <w:p w14:paraId="2A3C5751">
      <w:pPr>
        <w:spacing w:before="0" w:after="40" w:line="240" w:lineRule="auto"/>
        <w:ind w:left="360" w:hanging="360"/>
        <w:jc w:val="both"/>
      </w:pPr>
      <w:r>
        <w:rPr>
          <w:rFonts w:ascii="Times New Roman" w:hAnsi="Times New Roman" w:eastAsia="Times New Roman" w:cs="Times New Roman"/>
          <w:sz w:val="19"/>
        </w:rPr>
        <w:t>Oaxaca, R. (1973). Male-female wage differentials in urban labor markets. International Economic Review, 14(3), 693–709.</w:t>
      </w:r>
    </w:p>
    <w:p w14:paraId="63F4C1D6">
      <w:pPr>
        <w:spacing w:before="0" w:after="40" w:line="240" w:lineRule="auto"/>
        <w:ind w:left="360" w:hanging="360"/>
        <w:jc w:val="both"/>
      </w:pPr>
      <w:r>
        <w:rPr>
          <w:rFonts w:ascii="Times New Roman" w:hAnsi="Times New Roman" w:eastAsia="Times New Roman" w:cs="Times New Roman"/>
          <w:sz w:val="19"/>
        </w:rPr>
        <w:t>Rambachan, A., &amp; Roth, J. (2023). A more credible approach to parallel trends. Review of Economic Studies, 90(5), 2555–2591.</w:t>
      </w:r>
    </w:p>
    <w:p w14:paraId="16A02238">
      <w:pPr>
        <w:spacing w:before="0" w:after="40" w:line="240" w:lineRule="auto"/>
        <w:ind w:left="360" w:hanging="360"/>
        <w:jc w:val="both"/>
      </w:pPr>
      <w:r>
        <w:rPr>
          <w:rFonts w:ascii="Times New Roman" w:hAnsi="Times New Roman" w:eastAsia="Times New Roman" w:cs="Times New Roman"/>
          <w:sz w:val="19"/>
        </w:rPr>
        <w:t>Ridgeway, C. L. (2011). Framed by gender: How gender inequality persists in the modern world. Oxford University Press.</w:t>
      </w:r>
    </w:p>
    <w:p w14:paraId="47E4FE18">
      <w:pPr>
        <w:spacing w:before="0" w:after="40" w:line="240" w:lineRule="auto"/>
        <w:ind w:left="360" w:hanging="360"/>
        <w:jc w:val="both"/>
      </w:pPr>
      <w:r>
        <w:rPr>
          <w:rFonts w:ascii="Times New Roman" w:hAnsi="Times New Roman" w:eastAsia="Times New Roman" w:cs="Times New Roman"/>
          <w:sz w:val="19"/>
        </w:rPr>
        <w:t>Vagni, G. (2026). Life course social mobility and parenthood: Counterfactual estimates of the motherhood class penalty in Britain. The British Journal of Sociology, 77(1), 114–129.</w:t>
      </w:r>
    </w:p>
    <w:p w14:paraId="5FD6AFCC">
      <w:pPr>
        <w:spacing w:before="0" w:after="40" w:line="240" w:lineRule="auto"/>
        <w:ind w:left="360" w:hanging="360"/>
        <w:jc w:val="both"/>
      </w:pPr>
      <w:r>
        <w:rPr>
          <w:rFonts w:ascii="Times New Roman" w:hAnsi="Times New Roman" w:eastAsia="Times New Roman" w:cs="Times New Roman"/>
          <w:sz w:val="19"/>
        </w:rPr>
        <w:t>Zhang, M., Wang, Y., &amp; Hou, L. (2024). Gender norms and the child penalty in China. Journal of Economic Behavior &amp; Organization, 221, 277–291.</w:t>
      </w:r>
    </w:p>
    <w:p w14:paraId="3A2A6898">
      <w:pPr>
        <w:spacing w:before="0" w:after="40" w:line="240" w:lineRule="auto"/>
        <w:ind w:left="360" w:hanging="360"/>
        <w:jc w:val="both"/>
      </w:pPr>
      <w:r>
        <w:rPr>
          <w:rFonts w:ascii="Times New Roman" w:hAnsi="Times New Roman" w:eastAsia="Times New Roman" w:cs="Times New Roman"/>
          <w:sz w:val="19"/>
        </w:rPr>
        <w:t>Zhou, X., Ye, J., Li, H., &amp; Yu, H. (2022). The rising child penalty in China. China Economic Review, 76, 101869.</w:t>
      </w:r>
    </w:p>
    <w:p w14:paraId="2B9EFFA7">
      <w:pPr>
        <w:spacing w:before="0" w:after="40" w:line="240" w:lineRule="auto"/>
        <w:ind w:left="360" w:hanging="360"/>
        <w:jc w:val="both"/>
      </w:pPr>
      <w:r>
        <w:rPr>
          <w:rFonts w:ascii="Times New Roman" w:hAnsi="Times New Roman" w:eastAsia="Times New Roman" w:cs="Times New Roman"/>
          <w:sz w:val="19"/>
        </w:rPr>
        <w:t>Zou, W., &amp; Cai, J. (2026). Structural decomposition of the gender income gap from a life-course perspective: Evidence from CFPS 2010–2022. Chinese Population Science, 2026(2), 90–110.</w:t>
      </w:r>
    </w:p>
    <w:sectPr>
      <w:footerReference r:id="rId4" w:type="default"/>
      <w:pgSz w:w="12240" w:h="15840"/>
      <w:pgMar w:top="1440" w:right="1440" w:bottom="1440" w:left="1440" w:header="706" w:footer="706" w:gutter="0"/>
      <w:lnNumType w:countBy="1" w:restart="continuou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0746D">
    <w:pPr>
      <w:jc w:val="center"/>
    </w:pPr>
    <w:r>
      <w:rPr>
        <w:rFonts w:ascii="Times New Roman" w:hAnsi="Times New Roman" w:eastAsia="Times New Roman" w:cs="Times New Roman"/>
        <w:sz w:val="22"/>
      </w:rPr>
      <w:fldChar w:fldCharType="begin"/>
    </w:r>
    <w:r>
      <w:rPr>
        <w:rFonts w:ascii="Times New Roman" w:hAnsi="Times New Roman" w:eastAsia="Times New Roman" w:cs="Times New Roman"/>
        <w:sz w:val="22"/>
      </w:rPr>
      <w:instrText xml:space="preserve"> PAGE   \* MERGEFORMAT </w:instrText>
    </w:r>
    <w:r>
      <w:rPr>
        <w:rFonts w:ascii="Times New Roman" w:hAnsi="Times New Roman" w:eastAsia="Times New Roman" w:cs="Times New Roman"/>
        <w:sz w:val="22"/>
      </w:rPr>
      <w:fldChar w:fldCharType="separate"/>
    </w:r>
    <w:r>
      <w:rPr>
        <w:rFonts w:ascii="Times New Roman" w:hAnsi="Times New Roman" w:eastAsia="Times New Roman" w:cs="Times New Roman"/>
        <w:sz w:val="22"/>
      </w:rPr>
      <w:t>1</w:t>
    </w:r>
    <w:r>
      <w:rPr>
        <w:rFonts w:ascii="Times New Roman" w:hAnsi="Times New Roman" w:eastAsia="Times New Roman" w:cs="Times New Roman"/>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BB11FCE"/>
    <w:rsid w:val="3CD82D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qFormat="1"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60" w:after="60"/>
    </w:pPr>
    <w:rPr>
      <w:rFonts w:ascii="Times New Roman" w:hAnsi="Times New Roman"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360" w:after="18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40" w:after="120"/>
      <w:outlineLvl w:val="1"/>
    </w:pPr>
    <w:rPr>
      <w:rFonts w:asciiTheme="majorHAnsi" w:hAnsiTheme="majorHAnsi" w:eastAsiaTheme="majorEastAsia" w:cstheme="majorBidi"/>
      <w:b/>
      <w:bCs/>
      <w:i/>
      <w:color w:val="4F81BD" w:themeColor="accent1"/>
      <w:sz w:val="24"/>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180" w:after="80"/>
      <w:outlineLvl w:val="2"/>
    </w:pPr>
    <w:rPr>
      <w:rFonts w:asciiTheme="majorHAnsi" w:hAnsiTheme="majorHAnsi" w:eastAsiaTheme="majorEastAsia" w:cstheme="majorBidi"/>
      <w:b/>
      <w:bCs/>
      <w:color w:val="4F81BD" w:themeColor="accent1"/>
      <w:sz w:val="23"/>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1347</Words>
  <Characters>8381</Characters>
  <Lines>0</Lines>
  <Paragraphs>0</Paragraphs>
  <TotalTime>0</TotalTime>
  <ScaleCrop>false</ScaleCrop>
  <LinksUpToDate>false</LinksUpToDate>
  <CharactersWithSpaces>9351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喵喵</cp:lastModifiedBy>
  <dcterms:modified xsi:type="dcterms:W3CDTF">2026-05-31T17:42:13Z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58BF5EE25F794A0CA346B83BB947ACB5_13</vt:lpwstr>
  </property>
</Properties>
</file>