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3A86" w14:textId="67A2E6AC" w:rsidR="004151E7" w:rsidRPr="00E07E43" w:rsidRDefault="004957E9"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b/>
          <w:bCs/>
          <w:sz w:val="24"/>
        </w:rPr>
        <w:t>Supplementary Information</w:t>
      </w:r>
    </w:p>
    <w:p w14:paraId="1224543C" w14:textId="77777777" w:rsidR="004957E9" w:rsidRPr="00E07E43" w:rsidRDefault="004957E9"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b/>
          <w:bCs/>
          <w:sz w:val="24"/>
        </w:rPr>
        <w:t>Supplementary Note 1. Deauville Scoring Criteria</w:t>
      </w:r>
    </w:p>
    <w:p w14:paraId="0AB49B55"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We followed the standard Deauville five-point scale for PET/CT-based response assessment in lymphoma. The criteria define treatment response by comparing lesion uptake with reference regions, including the mediastinal blood pool and liver.</w:t>
      </w:r>
    </w:p>
    <w:p w14:paraId="1B1B4FEB"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The scoring scheme is summarized as follows:</w:t>
      </w:r>
    </w:p>
    <w:p w14:paraId="01D5A0C6"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1. Score 1: No abnormal uptake.</w:t>
      </w:r>
    </w:p>
    <w:p w14:paraId="7B857A75"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2. Score 2: Uptake ≤ mediastinal blood pool.</w:t>
      </w:r>
    </w:p>
    <w:p w14:paraId="4AB7D2FE"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3. Score 3: Mediastinal &lt; uptake ≤ liver.</w:t>
      </w:r>
    </w:p>
    <w:p w14:paraId="092627AE"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4. Score 4: Liver &lt; uptake ≤ 2× liver.</w:t>
      </w:r>
    </w:p>
    <w:p w14:paraId="17CCE3AE"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5. Score 5: Uptake &gt; 2× liver.</w:t>
      </w:r>
    </w:p>
    <w:p w14:paraId="2A4736CC"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X: New uptake unlikely related to lymphoma under specific conditions.</w:t>
      </w:r>
    </w:p>
    <w:p w14:paraId="692F80C5" w14:textId="77777777" w:rsidR="004957E9" w:rsidRPr="00E07E43" w:rsidRDefault="004957E9" w:rsidP="00993BA9">
      <w:pPr>
        <w:spacing w:line="480" w:lineRule="auto"/>
        <w:ind w:left="0" w:right="0" w:firstLine="0"/>
        <w:rPr>
          <w:rFonts w:ascii="Times New Roman" w:hAnsi="Times New Roman" w:cs="Times New Roman"/>
          <w:sz w:val="24"/>
        </w:rPr>
      </w:pPr>
    </w:p>
    <w:p w14:paraId="5C06E160" w14:textId="3448A0D3" w:rsidR="00B61A95" w:rsidRPr="00E07E43" w:rsidRDefault="00B61A95"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b/>
          <w:bCs/>
          <w:sz w:val="24"/>
        </w:rPr>
        <w:t>Supplementary Note 2</w:t>
      </w:r>
      <w:r w:rsidRPr="00E07E43">
        <w:rPr>
          <w:rFonts w:ascii="Times New Roman" w:eastAsia="微软雅黑" w:hAnsi="Times New Roman" w:cs="Times New Roman"/>
          <w:b/>
          <w:bCs/>
          <w:sz w:val="24"/>
        </w:rPr>
        <w:t>.</w:t>
      </w:r>
      <w:r w:rsidRPr="00E07E43">
        <w:rPr>
          <w:rFonts w:ascii="Times New Roman" w:hAnsi="Times New Roman" w:cs="Times New Roman"/>
          <w:b/>
          <w:bCs/>
          <w:sz w:val="24"/>
        </w:rPr>
        <w:t xml:space="preserve"> Prompting and Reasoning Protocol</w:t>
      </w:r>
    </w:p>
    <w:p w14:paraId="0F00FAD7"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To operationalize the Deauville scoring process for large language models, we designed a structured prompting protocol that explicitly decomposes the task into clinically aligned reasoning steps.</w:t>
      </w:r>
    </w:p>
    <w:p w14:paraId="2E9DECEB"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The protocol incorporates:</w:t>
      </w:r>
    </w:p>
    <w:p w14:paraId="7B96C736"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(1) lymphoma relevance assessment,</w:t>
      </w:r>
    </w:p>
    <w:p w14:paraId="62656CA2"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(2) lesion inclusion criteria,</w:t>
      </w:r>
    </w:p>
    <w:p w14:paraId="68057304"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(3) candidate lesion identification,</w:t>
      </w:r>
    </w:p>
    <w:p w14:paraId="341A5D6F"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(4) main lesion selection,</w:t>
      </w:r>
    </w:p>
    <w:p w14:paraId="176AAF7C" w14:textId="1C31FD34"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(5) final score determination.</w:t>
      </w:r>
    </w:p>
    <w:p w14:paraId="72DAE629"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The model is guided to follow a stepwise reasoning process, including:</w:t>
      </w:r>
    </w:p>
    <w:p w14:paraId="52BCA2FD"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structured lesion-level interpretation,</w:t>
      </w:r>
    </w:p>
    <w:p w14:paraId="29C59390"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explicit justification for lesion inclusion/exclusion,</w:t>
      </w:r>
    </w:p>
    <w:p w14:paraId="1BBAB203" w14:textId="77777777"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comparison with reference uptake,</w:t>
      </w:r>
    </w:p>
    <w:p w14:paraId="02D434C9" w14:textId="644BE77E" w:rsidR="00B61A95" w:rsidRPr="00E07E43" w:rsidRDefault="00B61A95"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and final score summarization.</w:t>
      </w:r>
    </w:p>
    <w:p w14:paraId="235C04D4" w14:textId="77777777" w:rsidR="00B61A95" w:rsidRPr="00E07E43" w:rsidRDefault="00B61A95" w:rsidP="00993BA9">
      <w:pPr>
        <w:spacing w:line="480" w:lineRule="auto"/>
        <w:ind w:left="0" w:right="0" w:firstLine="0"/>
        <w:rPr>
          <w:rFonts w:ascii="Times New Roman" w:hAnsi="Times New Roman" w:cs="Times New Roman"/>
          <w:sz w:val="24"/>
        </w:rPr>
      </w:pPr>
    </w:p>
    <w:p w14:paraId="4BF87F6C" w14:textId="7A79C8D1" w:rsidR="00B61A95" w:rsidRPr="00E07E43" w:rsidRDefault="00B61A95"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b/>
          <w:bCs/>
          <w:sz w:val="24"/>
        </w:rPr>
        <w:t>Supplementary Note 3. Full Prompt Template</w:t>
      </w:r>
    </w:p>
    <w:tbl>
      <w:tblPr>
        <w:tblStyle w:val="ae"/>
        <w:tblW w:w="8359" w:type="dxa"/>
        <w:tblLook w:val="04A0" w:firstRow="1" w:lastRow="0" w:firstColumn="1" w:lastColumn="0" w:noHBand="0" w:noVBand="1"/>
      </w:tblPr>
      <w:tblGrid>
        <w:gridCol w:w="1838"/>
        <w:gridCol w:w="6521"/>
      </w:tblGrid>
      <w:tr w:rsidR="002A057B" w:rsidRPr="00E07E43" w14:paraId="4E280273" w14:textId="48DEC6FB" w:rsidTr="002A057B">
        <w:tc>
          <w:tcPr>
            <w:tcW w:w="1838" w:type="dxa"/>
          </w:tcPr>
          <w:p w14:paraId="65216B8E" w14:textId="4C0AD08C" w:rsidR="002A057B" w:rsidRPr="00E07E43" w:rsidRDefault="002A057B" w:rsidP="00993BA9">
            <w:pPr>
              <w:spacing w:line="480" w:lineRule="auto"/>
              <w:ind w:left="0" w:right="0" w:firstLine="0"/>
              <w:jc w:val="left"/>
              <w:rPr>
                <w:rFonts w:ascii="Times New Roman" w:hAnsi="Times New Roman" w:cs="Times New Roman"/>
                <w:sz w:val="24"/>
              </w:rPr>
            </w:pPr>
            <w:r w:rsidRPr="00E07E43">
              <w:rPr>
                <w:rFonts w:ascii="Times New Roman" w:hAnsi="Times New Roman" w:cs="Times New Roman"/>
                <w:sz w:val="24"/>
              </w:rPr>
              <w:t>Task Description</w:t>
            </w:r>
          </w:p>
        </w:tc>
        <w:tc>
          <w:tcPr>
            <w:tcW w:w="6521" w:type="dxa"/>
          </w:tcPr>
          <w:p w14:paraId="6E71C08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This task aims to perform Deauville scoring based on PET/CT reports. The model is required to strictly follow the provided scoring criteria and reasoning steps. Given the clinical history, current imaging findings, and the conclusion of the prior examination, the model should infer the Deauville score for the current examination.</w:t>
            </w:r>
          </w:p>
          <w:p w14:paraId="1CF4C687" w14:textId="77777777" w:rsidR="002A057B" w:rsidRPr="00E07E43" w:rsidRDefault="002A057B" w:rsidP="00993BA9">
            <w:pPr>
              <w:spacing w:line="480" w:lineRule="auto"/>
              <w:ind w:left="0" w:right="0" w:firstLine="0"/>
              <w:rPr>
                <w:rFonts w:ascii="Times New Roman" w:hAnsi="Times New Roman" w:cs="Times New Roman"/>
                <w:sz w:val="24"/>
              </w:rPr>
            </w:pPr>
          </w:p>
          <w:p w14:paraId="7570F2B2"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The model must first briefly summarize the overall scoring strategy, then perform stepwise reasoning, ensuring logical </w:t>
            </w:r>
            <w:r w:rsidRPr="00E07E43">
              <w:rPr>
                <w:rFonts w:ascii="Times New Roman" w:hAnsi="Times New Roman" w:cs="Times New Roman"/>
                <w:sz w:val="24"/>
              </w:rPr>
              <w:lastRenderedPageBreak/>
              <w:t>consistency across all steps. Finally, the model should output both the reasoning process and the final answer in the following format:</w:t>
            </w:r>
          </w:p>
          <w:p w14:paraId="091B85B6" w14:textId="77777777" w:rsidR="002A057B" w:rsidRPr="00E07E43" w:rsidRDefault="002A057B" w:rsidP="00993BA9">
            <w:pPr>
              <w:spacing w:line="480" w:lineRule="auto"/>
              <w:ind w:left="0" w:right="0" w:firstLine="0"/>
              <w:rPr>
                <w:rFonts w:ascii="Times New Roman" w:hAnsi="Times New Roman" w:cs="Times New Roman"/>
                <w:sz w:val="24"/>
              </w:rPr>
            </w:pPr>
          </w:p>
          <w:p w14:paraId="7FE551EF"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&lt;Thinking&gt;</w:t>
            </w:r>
          </w:p>
          <w:p w14:paraId="1B852E38"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reasoning process ...</w:t>
            </w:r>
          </w:p>
          <w:p w14:paraId="5F4ADF8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&lt;/Thinking&gt;</w:t>
            </w:r>
          </w:p>
          <w:p w14:paraId="566D247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&lt;Answer&gt;</w:t>
            </w:r>
          </w:p>
          <w:p w14:paraId="341BCEF4"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final score and justification ...</w:t>
            </w:r>
          </w:p>
          <w:p w14:paraId="29DF408E"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&lt;/Answer&gt;</w:t>
            </w:r>
          </w:p>
          <w:p w14:paraId="74BC6039" w14:textId="77777777" w:rsidR="002A057B" w:rsidRPr="00E07E43" w:rsidRDefault="002A057B" w:rsidP="00993BA9">
            <w:pPr>
              <w:spacing w:line="480" w:lineRule="auto"/>
              <w:ind w:left="0" w:right="0" w:firstLine="0"/>
              <w:rPr>
                <w:rFonts w:ascii="Times New Roman" w:hAnsi="Times New Roman" w:cs="Times New Roman"/>
                <w:sz w:val="24"/>
              </w:rPr>
            </w:pPr>
          </w:p>
          <w:p w14:paraId="258463AD" w14:textId="7E96E634"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The reasoning process should include both the overall scoring strategy and stepwise decision-making, while the answer should summarize the final score and its justification.</w:t>
            </w:r>
          </w:p>
        </w:tc>
      </w:tr>
      <w:tr w:rsidR="002A057B" w:rsidRPr="00E07E43" w14:paraId="4F4D8681" w14:textId="62F0AB2D" w:rsidTr="002A057B">
        <w:tc>
          <w:tcPr>
            <w:tcW w:w="1838" w:type="dxa"/>
          </w:tcPr>
          <w:p w14:paraId="6FF2C3C6" w14:textId="4C351712" w:rsidR="002A057B" w:rsidRPr="00E07E43" w:rsidRDefault="002A057B" w:rsidP="00993BA9">
            <w:pPr>
              <w:spacing w:line="480" w:lineRule="auto"/>
              <w:ind w:left="0" w:right="0" w:firstLine="0"/>
              <w:jc w:val="left"/>
              <w:rPr>
                <w:rFonts w:ascii="Times New Roman" w:hAnsi="Times New Roman" w:cs="Times New Roman"/>
                <w:sz w:val="24"/>
              </w:rPr>
            </w:pPr>
            <w:r w:rsidRPr="00E07E43">
              <w:rPr>
                <w:rFonts w:ascii="Times New Roman" w:hAnsi="Times New Roman" w:cs="Times New Roman"/>
                <w:sz w:val="24"/>
              </w:rPr>
              <w:lastRenderedPageBreak/>
              <w:t>Lymphoma Relevance Assessment Criteria</w:t>
            </w:r>
          </w:p>
        </w:tc>
        <w:tc>
          <w:tcPr>
            <w:tcW w:w="6521" w:type="dxa"/>
          </w:tcPr>
          <w:p w14:paraId="1FBB786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Each lesion should be classified into one of the following categories:</w:t>
            </w:r>
          </w:p>
          <w:p w14:paraId="7607C017" w14:textId="77777777" w:rsidR="002A057B" w:rsidRPr="00E07E43" w:rsidRDefault="002A057B" w:rsidP="00993BA9">
            <w:pPr>
              <w:spacing w:line="480" w:lineRule="auto"/>
              <w:ind w:left="0" w:right="0" w:firstLine="0"/>
              <w:rPr>
                <w:rFonts w:ascii="Times New Roman" w:hAnsi="Times New Roman" w:cs="Times New Roman"/>
                <w:sz w:val="24"/>
              </w:rPr>
            </w:pPr>
          </w:p>
          <w:p w14:paraId="22613209"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1. Lymphoma-related:</w:t>
            </w:r>
          </w:p>
          <w:p w14:paraId="05C94A88"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Explicitly described in prior reports as lymphoma involvement, recurrence, or residual disease.</w:t>
            </w:r>
          </w:p>
          <w:p w14:paraId="163CECEB"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 xml:space="preserve">   - Mentioned in clinical history as a known lymphoma site.</w:t>
            </w:r>
          </w:p>
          <w:p w14:paraId="3A59BEF9"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Appears in the primary statement of prior conclusions without indication of normalization or metabolic decrease.</w:t>
            </w:r>
          </w:p>
          <w:p w14:paraId="20003ADD" w14:textId="77777777" w:rsidR="002A057B" w:rsidRPr="00E07E43" w:rsidRDefault="002A057B" w:rsidP="00993BA9">
            <w:pPr>
              <w:spacing w:line="480" w:lineRule="auto"/>
              <w:ind w:left="0" w:right="0" w:firstLine="0"/>
              <w:rPr>
                <w:rFonts w:ascii="Times New Roman" w:hAnsi="Times New Roman" w:cs="Times New Roman"/>
                <w:sz w:val="24"/>
              </w:rPr>
            </w:pPr>
          </w:p>
          <w:p w14:paraId="43DEF30C"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2. Lymphoma-unrelated:</w:t>
            </w:r>
          </w:p>
          <w:p w14:paraId="5B1EE721"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Described as benign, physiological, inflammatory, reactive, post-operative, fracture-related, or normal.</w:t>
            </w:r>
          </w:p>
          <w:p w14:paraId="4B95B9AD" w14:textId="77777777" w:rsidR="002A057B" w:rsidRPr="00E07E43" w:rsidRDefault="002A057B" w:rsidP="00993BA9">
            <w:pPr>
              <w:spacing w:line="480" w:lineRule="auto"/>
              <w:ind w:left="0" w:right="0" w:firstLine="0"/>
              <w:rPr>
                <w:rFonts w:ascii="Times New Roman" w:hAnsi="Times New Roman" w:cs="Times New Roman"/>
                <w:sz w:val="24"/>
              </w:rPr>
            </w:pPr>
          </w:p>
          <w:p w14:paraId="4A00EFC6"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3. Indeterminate:</w:t>
            </w:r>
          </w:p>
          <w:p w14:paraId="20FB552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Described as uncertain, requiring further evaluation, biopsy, or follow-up.</w:t>
            </w:r>
          </w:p>
          <w:p w14:paraId="64FF5572"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Expressions such as “cannot exclude lymphoma” or “to be determined”.</w:t>
            </w:r>
          </w:p>
          <w:p w14:paraId="327DD5CD" w14:textId="77777777" w:rsidR="002A057B" w:rsidRPr="00E07E43" w:rsidRDefault="002A057B" w:rsidP="00993BA9">
            <w:pPr>
              <w:spacing w:line="480" w:lineRule="auto"/>
              <w:ind w:left="0" w:right="0" w:firstLine="0"/>
              <w:rPr>
                <w:rFonts w:ascii="Times New Roman" w:hAnsi="Times New Roman" w:cs="Times New Roman"/>
                <w:sz w:val="24"/>
              </w:rPr>
            </w:pPr>
          </w:p>
          <w:p w14:paraId="207FD5B8"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4. For newly identified lesions:</w:t>
            </w:r>
          </w:p>
          <w:p w14:paraId="6336A8D1"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Lesions located in regions prone to physiological uptake (e.g., Waldeyer’s ring, gastrointestinal tract) are more likely unrelated.</w:t>
            </w:r>
          </w:p>
          <w:p w14:paraId="42F743E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 xml:space="preserve">   - Common benign findings (e.g., reactive lymph nodes, inflammatory lesions, thymic hyperplasia) are considered unrelated.</w:t>
            </w:r>
          </w:p>
          <w:p w14:paraId="45E3DA8E" w14:textId="22F3BC12" w:rsidR="002A057B" w:rsidRPr="00E07E43" w:rsidRDefault="002A057B"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sz w:val="24"/>
              </w:rPr>
              <w:t xml:space="preserve">   - Lesions distant from the original lymphoma site are more likely unrelated.</w:t>
            </w:r>
          </w:p>
        </w:tc>
      </w:tr>
      <w:tr w:rsidR="002A057B" w:rsidRPr="00E07E43" w14:paraId="363F39A6" w14:textId="51444111" w:rsidTr="002A057B">
        <w:tc>
          <w:tcPr>
            <w:tcW w:w="1838" w:type="dxa"/>
          </w:tcPr>
          <w:p w14:paraId="6C2DDB34" w14:textId="35DD9431" w:rsidR="002A057B" w:rsidRPr="00E07E43" w:rsidRDefault="002A057B" w:rsidP="00993BA9">
            <w:pPr>
              <w:spacing w:line="480" w:lineRule="auto"/>
              <w:ind w:left="0" w:right="0" w:firstLine="0"/>
              <w:jc w:val="left"/>
              <w:rPr>
                <w:rFonts w:ascii="Times New Roman" w:hAnsi="Times New Roman" w:cs="Times New Roman"/>
                <w:sz w:val="24"/>
              </w:rPr>
            </w:pPr>
            <w:r w:rsidRPr="00E07E43">
              <w:rPr>
                <w:rFonts w:ascii="Times New Roman" w:hAnsi="Times New Roman" w:cs="Times New Roman"/>
                <w:sz w:val="24"/>
              </w:rPr>
              <w:lastRenderedPageBreak/>
              <w:t>Lesion Inclusion Criteria for Scoring</w:t>
            </w:r>
          </w:p>
        </w:tc>
        <w:tc>
          <w:tcPr>
            <w:tcW w:w="6521" w:type="dxa"/>
          </w:tcPr>
          <w:p w14:paraId="4451085C"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Lesions are included for scoring according to the following ordered rules (stop when a rule applies):</w:t>
            </w:r>
          </w:p>
          <w:p w14:paraId="73BA99B8" w14:textId="77777777" w:rsidR="002A057B" w:rsidRPr="00E07E43" w:rsidRDefault="002A057B" w:rsidP="00993BA9">
            <w:pPr>
              <w:spacing w:line="480" w:lineRule="auto"/>
              <w:ind w:left="0" w:right="0" w:firstLine="0"/>
              <w:rPr>
                <w:rFonts w:ascii="Times New Roman" w:hAnsi="Times New Roman" w:cs="Times New Roman"/>
                <w:sz w:val="24"/>
              </w:rPr>
            </w:pPr>
          </w:p>
          <w:p w14:paraId="58A8220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1. Lymphoma-related lesions are generally included, except:</w:t>
            </w:r>
          </w:p>
          <w:p w14:paraId="452F3074"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Hilar lymph nodes are excluded if other definite lymphoma lesions exist, unless they extend beyond the hilum or form a mass.</w:t>
            </w:r>
          </w:p>
          <w:p w14:paraId="3E62A2EA"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Intracranial lesions are excluded if other lymphoma lesions are present.</w:t>
            </w:r>
          </w:p>
          <w:p w14:paraId="6910BD8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Diffuse spleen or bone marrow uptake below liver background is excluded.</w:t>
            </w:r>
          </w:p>
          <w:p w14:paraId="4242D72E"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Diffuse uptake without focality or CT abnormality is excluded.</w:t>
            </w:r>
          </w:p>
          <w:p w14:paraId="1945C6F8" w14:textId="77777777" w:rsidR="002A057B" w:rsidRPr="00E07E43" w:rsidRDefault="002A057B" w:rsidP="00993BA9">
            <w:pPr>
              <w:spacing w:line="480" w:lineRule="auto"/>
              <w:ind w:left="0" w:right="0" w:firstLine="0"/>
              <w:rPr>
                <w:rFonts w:ascii="Times New Roman" w:hAnsi="Times New Roman" w:cs="Times New Roman"/>
                <w:sz w:val="24"/>
              </w:rPr>
            </w:pPr>
          </w:p>
          <w:p w14:paraId="24EEE7F8"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2. Residual indeterminate lesions:</w:t>
            </w:r>
          </w:p>
          <w:p w14:paraId="7C45E0B1"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Included unless definite lymphoma-related lesions exist.</w:t>
            </w:r>
          </w:p>
          <w:p w14:paraId="1FC9F112" w14:textId="77777777" w:rsidR="002A057B" w:rsidRPr="00E07E43" w:rsidRDefault="002A057B" w:rsidP="00993BA9">
            <w:pPr>
              <w:spacing w:line="480" w:lineRule="auto"/>
              <w:ind w:left="0" w:right="0" w:firstLine="0"/>
              <w:rPr>
                <w:rFonts w:ascii="Times New Roman" w:hAnsi="Times New Roman" w:cs="Times New Roman"/>
                <w:sz w:val="24"/>
              </w:rPr>
            </w:pPr>
          </w:p>
          <w:p w14:paraId="2132024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3. Newly developed indeterminate lesions:</w:t>
            </w:r>
          </w:p>
          <w:p w14:paraId="168F17BF"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Included unless uptake is below liver background or excluded by anatomical rules.</w:t>
            </w:r>
          </w:p>
          <w:p w14:paraId="0A8EB0B7" w14:textId="77777777" w:rsidR="002A057B" w:rsidRPr="00E07E43" w:rsidRDefault="002A057B" w:rsidP="00993BA9">
            <w:pPr>
              <w:spacing w:line="480" w:lineRule="auto"/>
              <w:ind w:left="0" w:right="0" w:firstLine="0"/>
              <w:rPr>
                <w:rFonts w:ascii="Times New Roman" w:hAnsi="Times New Roman" w:cs="Times New Roman"/>
                <w:sz w:val="24"/>
              </w:rPr>
            </w:pPr>
          </w:p>
          <w:p w14:paraId="1F1E040C"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4. Newly developed unrelated lesions:</w:t>
            </w:r>
          </w:p>
          <w:p w14:paraId="5D8DF03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Included only if no indeterminate lesions are included and uptake exceeds liver background.</w:t>
            </w:r>
          </w:p>
          <w:p w14:paraId="294630A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Excluded under specific anatomical or physiological conditions.</w:t>
            </w:r>
          </w:p>
          <w:p w14:paraId="04C42326" w14:textId="77777777" w:rsidR="002A057B" w:rsidRPr="00E07E43" w:rsidRDefault="002A057B" w:rsidP="00993BA9">
            <w:pPr>
              <w:spacing w:line="480" w:lineRule="auto"/>
              <w:ind w:left="0" w:right="0" w:firstLine="0"/>
              <w:rPr>
                <w:rFonts w:ascii="Times New Roman" w:hAnsi="Times New Roman" w:cs="Times New Roman"/>
                <w:sz w:val="24"/>
              </w:rPr>
            </w:pPr>
          </w:p>
          <w:p w14:paraId="7385250B"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5. Residual unrelated lesions:</w:t>
            </w:r>
          </w:p>
          <w:p w14:paraId="42810DF4" w14:textId="55EB18B2" w:rsidR="002A057B" w:rsidRPr="00E07E43" w:rsidRDefault="002A057B"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sz w:val="24"/>
              </w:rPr>
              <w:t xml:space="preserve">   - Always excluded.</w:t>
            </w:r>
          </w:p>
        </w:tc>
      </w:tr>
      <w:tr w:rsidR="002A057B" w:rsidRPr="00E07E43" w14:paraId="5DE4E70F" w14:textId="6C012F3E" w:rsidTr="002A057B">
        <w:tc>
          <w:tcPr>
            <w:tcW w:w="1838" w:type="dxa"/>
          </w:tcPr>
          <w:p w14:paraId="32937464" w14:textId="4CE0B273" w:rsidR="002A057B" w:rsidRPr="00E07E43" w:rsidRDefault="002A057B" w:rsidP="00993BA9">
            <w:pPr>
              <w:spacing w:line="480" w:lineRule="auto"/>
              <w:ind w:left="0" w:right="0" w:firstLine="0"/>
              <w:jc w:val="left"/>
              <w:rPr>
                <w:rFonts w:ascii="Times New Roman" w:hAnsi="Times New Roman" w:cs="Times New Roman"/>
                <w:sz w:val="24"/>
              </w:rPr>
            </w:pPr>
            <w:r w:rsidRPr="00E07E43">
              <w:rPr>
                <w:rFonts w:ascii="Times New Roman" w:hAnsi="Times New Roman" w:cs="Times New Roman"/>
                <w:sz w:val="24"/>
              </w:rPr>
              <w:lastRenderedPageBreak/>
              <w:t>Deauville Scoring Criteria</w:t>
            </w:r>
          </w:p>
        </w:tc>
        <w:tc>
          <w:tcPr>
            <w:tcW w:w="6521" w:type="dxa"/>
          </w:tcPr>
          <w:p w14:paraId="330973FC"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The Deauville score is defined as:</w:t>
            </w:r>
          </w:p>
          <w:p w14:paraId="0CB35C72" w14:textId="77777777" w:rsidR="002A057B" w:rsidRPr="00E07E43" w:rsidRDefault="002A057B" w:rsidP="00993BA9">
            <w:pPr>
              <w:spacing w:line="480" w:lineRule="auto"/>
              <w:ind w:left="0" w:right="0" w:firstLine="0"/>
              <w:rPr>
                <w:rFonts w:ascii="Times New Roman" w:hAnsi="Times New Roman" w:cs="Times New Roman"/>
                <w:sz w:val="24"/>
              </w:rPr>
            </w:pPr>
          </w:p>
          <w:p w14:paraId="57EE4958"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1: No abnormal uptake  </w:t>
            </w:r>
          </w:p>
          <w:p w14:paraId="6B809D31"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2: Uptake ≤ mediastinal blood pool  </w:t>
            </w:r>
          </w:p>
          <w:p w14:paraId="401B540A"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3: Mediastinal &lt; uptake ≤ liver  </w:t>
            </w:r>
          </w:p>
          <w:p w14:paraId="7373EB68"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4: Liver &lt; uptake ≤ 2 × liver  </w:t>
            </w:r>
          </w:p>
          <w:p w14:paraId="411AE493"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 xml:space="preserve">5: Uptake &gt; 2 × liver  </w:t>
            </w:r>
          </w:p>
          <w:p w14:paraId="047E430E" w14:textId="3FBFB58B"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X: Special condition where lymphoma-related lesions score ≤3 but a new unrelated lesion shows uptake &gt; liver</w:t>
            </w:r>
          </w:p>
        </w:tc>
      </w:tr>
      <w:tr w:rsidR="002A057B" w:rsidRPr="00E07E43" w14:paraId="40403D84" w14:textId="7ADF285B" w:rsidTr="002A057B">
        <w:tc>
          <w:tcPr>
            <w:tcW w:w="1838" w:type="dxa"/>
          </w:tcPr>
          <w:p w14:paraId="31811646" w14:textId="4EB8DE75"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Stepwise Reasoning Procedure</w:t>
            </w:r>
          </w:p>
        </w:tc>
        <w:tc>
          <w:tcPr>
            <w:tcW w:w="6521" w:type="dxa"/>
          </w:tcPr>
          <w:p w14:paraId="40ACDDF3" w14:textId="62064855"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Step 1: Lesion-level analysis</w:t>
            </w:r>
          </w:p>
          <w:p w14:paraId="42CB9595"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For each lesion:</w:t>
            </w:r>
          </w:p>
          <w:p w14:paraId="17365AF6"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Determine lymphoma relevance and whether it should be included for scoring.</w:t>
            </w:r>
          </w:p>
          <w:p w14:paraId="1B4C3D13"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Provide justification without explicitly referencing rule numbers.</w:t>
            </w:r>
          </w:p>
          <w:p w14:paraId="56CFD419"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Output a structured table including:</w:t>
            </w:r>
          </w:p>
          <w:p w14:paraId="7E08A6E2"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lesion, SUVmax, lesion status, lymphoma relevance, inclusion decision, and reasoning.</w:t>
            </w:r>
          </w:p>
          <w:p w14:paraId="2CF72A35" w14:textId="77777777" w:rsidR="002A057B" w:rsidRPr="00E07E43" w:rsidRDefault="002A057B" w:rsidP="00993BA9">
            <w:pPr>
              <w:spacing w:line="480" w:lineRule="auto"/>
              <w:ind w:left="0" w:right="0" w:firstLine="0"/>
              <w:rPr>
                <w:rFonts w:ascii="Times New Roman" w:hAnsi="Times New Roman" w:cs="Times New Roman"/>
                <w:sz w:val="24"/>
              </w:rPr>
            </w:pPr>
          </w:p>
          <w:p w14:paraId="241D370D" w14:textId="3920DC09"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Step 2: Candidate lesion selection</w:t>
            </w:r>
          </w:p>
          <w:p w14:paraId="0FD5AD57"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Exclude all lesions marked as “not included”.</w:t>
            </w:r>
          </w:p>
          <w:p w14:paraId="13679E4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Identify:</w:t>
            </w:r>
          </w:p>
          <w:p w14:paraId="092EC735"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lymphoma-related candidate lesions</w:t>
            </w:r>
          </w:p>
          <w:p w14:paraId="629CFA71"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newly developed unrelated candidate lesions</w:t>
            </w:r>
          </w:p>
          <w:p w14:paraId="3B40B81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Select the main lesion (highest SUVmax) in each category.</w:t>
            </w:r>
          </w:p>
          <w:p w14:paraId="3CE3FC1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Provide justification for selection.</w:t>
            </w:r>
          </w:p>
          <w:p w14:paraId="1149CF40" w14:textId="77777777" w:rsidR="002A057B" w:rsidRPr="00E07E43" w:rsidRDefault="002A057B" w:rsidP="00993BA9">
            <w:pPr>
              <w:spacing w:line="480" w:lineRule="auto"/>
              <w:ind w:left="0" w:right="0" w:firstLine="0"/>
              <w:rPr>
                <w:rFonts w:ascii="Times New Roman" w:hAnsi="Times New Roman" w:cs="Times New Roman"/>
                <w:sz w:val="24"/>
              </w:rPr>
            </w:pPr>
          </w:p>
          <w:p w14:paraId="45EC98BF" w14:textId="44ADF016"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Step 3: Score determination</w:t>
            </w:r>
          </w:p>
          <w:p w14:paraId="20ACB799"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Compare lesion uptake with mediastinal and liver reference values.</w:t>
            </w:r>
          </w:p>
          <w:p w14:paraId="1D0C24C0"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Assign Deauville scores to candidate lesions.</w:t>
            </w:r>
          </w:p>
          <w:p w14:paraId="75EAAE1E"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Apply clinical decision rules:</w:t>
            </w:r>
          </w:p>
          <w:p w14:paraId="4726A2F8"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If lymphoma-related lesion score &gt;3 → final score determined directly.</w:t>
            </w:r>
          </w:p>
          <w:p w14:paraId="3046D77D" w14:textId="77777777"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 If ≤3 → evaluate influence of new lesions.</w:t>
            </w:r>
          </w:p>
          <w:p w14:paraId="5E1C14B5" w14:textId="28C5B69F" w:rsidR="002A057B" w:rsidRPr="00E07E43" w:rsidRDefault="002A057B"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sz w:val="24"/>
              </w:rPr>
              <w:t>- Determine final score accordingly.</w:t>
            </w:r>
          </w:p>
        </w:tc>
      </w:tr>
      <w:tr w:rsidR="002A057B" w:rsidRPr="00E07E43" w14:paraId="0159DB84" w14:textId="77777777" w:rsidTr="002A057B">
        <w:tc>
          <w:tcPr>
            <w:tcW w:w="1838" w:type="dxa"/>
          </w:tcPr>
          <w:p w14:paraId="53C6ED78" w14:textId="3ED5849B" w:rsidR="002A057B" w:rsidRPr="00E07E43" w:rsidRDefault="002A057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Summary Examples</w:t>
            </w:r>
          </w:p>
        </w:tc>
        <w:tc>
          <w:tcPr>
            <w:tcW w:w="6521" w:type="dxa"/>
          </w:tcPr>
          <w:p w14:paraId="6C07742A" w14:textId="77777777" w:rsidR="0067588B" w:rsidRPr="00E07E43" w:rsidRDefault="0067588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Example 1:</w:t>
            </w:r>
          </w:p>
          <w:p w14:paraId="7500559B" w14:textId="77777777" w:rsidR="0067588B" w:rsidRPr="00E07E43" w:rsidRDefault="0067588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A lymphoma-related lesion shows SUVmax significantly higher than twice the liver background, resulting in a score of 5. Based on clinical practice, high scores do not require consideration of new lesions. Final score: 5.</w:t>
            </w:r>
          </w:p>
          <w:p w14:paraId="28E12028" w14:textId="77777777" w:rsidR="0067588B" w:rsidRPr="00E07E43" w:rsidRDefault="0067588B" w:rsidP="00993BA9">
            <w:pPr>
              <w:spacing w:line="480" w:lineRule="auto"/>
              <w:ind w:left="0" w:right="0" w:firstLine="0"/>
              <w:rPr>
                <w:rFonts w:ascii="Times New Roman" w:hAnsi="Times New Roman" w:cs="Times New Roman"/>
                <w:sz w:val="24"/>
              </w:rPr>
            </w:pPr>
          </w:p>
          <w:p w14:paraId="5F9B7A51" w14:textId="77777777" w:rsidR="0067588B" w:rsidRPr="00E07E43" w:rsidRDefault="0067588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Example 2:</w:t>
            </w:r>
          </w:p>
          <w:p w14:paraId="6AB062D2" w14:textId="77777777" w:rsidR="0067588B" w:rsidRPr="00E07E43" w:rsidRDefault="0067588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A lymphoma-related lesion has uptake below mediastinal background, resulting in a score of 2. Although new lesions exist, they are considered physiological and excluded. Final score: 2.</w:t>
            </w:r>
          </w:p>
          <w:p w14:paraId="0BCBF3A0" w14:textId="77777777" w:rsidR="0067588B" w:rsidRPr="00E07E43" w:rsidRDefault="0067588B" w:rsidP="00993BA9">
            <w:pPr>
              <w:spacing w:line="480" w:lineRule="auto"/>
              <w:ind w:left="0" w:right="0" w:firstLine="0"/>
              <w:rPr>
                <w:rFonts w:ascii="Times New Roman" w:hAnsi="Times New Roman" w:cs="Times New Roman"/>
                <w:sz w:val="24"/>
              </w:rPr>
            </w:pPr>
          </w:p>
          <w:p w14:paraId="2A4DF2BB" w14:textId="77777777" w:rsidR="0067588B" w:rsidRPr="00E07E43" w:rsidRDefault="0067588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Example 3:</w:t>
            </w:r>
          </w:p>
          <w:p w14:paraId="1190F6D4" w14:textId="0B65ACDB" w:rsidR="002A057B" w:rsidRPr="00E07E43" w:rsidRDefault="0067588B"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A lymphoma-related lesion has a score of 3. A newly developed unrelated lesion shows uptake above liver background. Based on clinical rules, the final score is X.</w:t>
            </w:r>
          </w:p>
        </w:tc>
      </w:tr>
    </w:tbl>
    <w:p w14:paraId="7962E2FE" w14:textId="77777777" w:rsidR="00B61A95" w:rsidRPr="00E07E43" w:rsidRDefault="00B61A95" w:rsidP="00993BA9">
      <w:pPr>
        <w:spacing w:line="480" w:lineRule="auto"/>
        <w:ind w:left="0" w:right="0" w:firstLine="0"/>
        <w:rPr>
          <w:rFonts w:ascii="Times New Roman" w:hAnsi="Times New Roman" w:cs="Times New Roman"/>
          <w:b/>
          <w:bCs/>
          <w:sz w:val="24"/>
        </w:rPr>
      </w:pPr>
    </w:p>
    <w:p w14:paraId="16C04CF4" w14:textId="56646F57" w:rsidR="004957E9" w:rsidRPr="00E07E43" w:rsidRDefault="004957E9"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b/>
          <w:bCs/>
          <w:sz w:val="24"/>
        </w:rPr>
        <w:t xml:space="preserve">Supplementary Note </w:t>
      </w:r>
      <w:r w:rsidR="00B61A95" w:rsidRPr="00E07E43">
        <w:rPr>
          <w:rFonts w:ascii="Times New Roman" w:hAnsi="Times New Roman" w:cs="Times New Roman"/>
          <w:b/>
          <w:bCs/>
          <w:sz w:val="24"/>
        </w:rPr>
        <w:t>4</w:t>
      </w:r>
      <w:r w:rsidRPr="00E07E43">
        <w:rPr>
          <w:rFonts w:ascii="Times New Roman" w:hAnsi="Times New Roman" w:cs="Times New Roman"/>
          <w:b/>
          <w:bCs/>
          <w:sz w:val="24"/>
        </w:rPr>
        <w:t>. Examples of Longitudinal PET/CT Reports</w:t>
      </w:r>
    </w:p>
    <w:tbl>
      <w:tblPr>
        <w:tblStyle w:val="ae"/>
        <w:tblW w:w="0" w:type="auto"/>
        <w:tblLook w:val="04A0" w:firstRow="1" w:lastRow="0" w:firstColumn="1" w:lastColumn="0" w:noHBand="0" w:noVBand="1"/>
      </w:tblPr>
      <w:tblGrid>
        <w:gridCol w:w="1838"/>
        <w:gridCol w:w="6458"/>
      </w:tblGrid>
      <w:tr w:rsidR="00BA60A4" w:rsidRPr="00E07E43" w14:paraId="6B5EBF74" w14:textId="77777777" w:rsidTr="00BA60A4">
        <w:tc>
          <w:tcPr>
            <w:tcW w:w="1838" w:type="dxa"/>
          </w:tcPr>
          <w:p w14:paraId="75B1D7DC" w14:textId="68F52AFE" w:rsidR="00BA60A4"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Prior Examination</w:t>
            </w:r>
          </w:p>
        </w:tc>
        <w:tc>
          <w:tcPr>
            <w:tcW w:w="6458" w:type="dxa"/>
          </w:tcPr>
          <w:p w14:paraId="4093961B" w14:textId="75BB0ED3"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Examination date: April 19, 2022.</w:t>
            </w:r>
          </w:p>
          <w:p w14:paraId="03114992" w14:textId="572B3DBB"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 xml:space="preserve">Under fasting conditions, 6.81 </w:t>
            </w:r>
            <w:proofErr w:type="spellStart"/>
            <w:r w:rsidRPr="00E07E43">
              <w:rPr>
                <w:rFonts w:ascii="Times New Roman" w:eastAsia="微软雅黑" w:hAnsi="Times New Roman" w:cs="Times New Roman"/>
                <w:sz w:val="24"/>
              </w:rPr>
              <w:t>mCi</w:t>
            </w:r>
            <w:proofErr w:type="spellEnd"/>
            <w:r w:rsidRPr="00E07E43">
              <w:rPr>
                <w:rFonts w:ascii="Times New Roman" w:eastAsia="微软雅黑" w:hAnsi="Times New Roman" w:cs="Times New Roman"/>
                <w:sz w:val="24"/>
              </w:rPr>
              <w:t xml:space="preserve"> of 18F-FDG was administered intravenously. PET/CT imaging was performed 1 hour after injection, with good image quality. Breath-hold CT of the chest was acquired.</w:t>
            </w:r>
          </w:p>
          <w:p w14:paraId="49401BC3"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Reference uptake:</w:t>
            </w:r>
          </w:p>
          <w:p w14:paraId="3B75EAC0"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 xml:space="preserve">Mediastinal blood pool SUVmax: 1.7  </w:t>
            </w:r>
          </w:p>
          <w:p w14:paraId="768CB98E" w14:textId="78AD033E"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 xml:space="preserve">Liver SUVmax: 2.5  </w:t>
            </w:r>
          </w:p>
          <w:p w14:paraId="1BCBD6D3" w14:textId="77777777" w:rsidR="001C5EF5" w:rsidRPr="00E07E43" w:rsidRDefault="001C5EF5" w:rsidP="00993BA9">
            <w:pPr>
              <w:spacing w:line="480" w:lineRule="auto"/>
              <w:ind w:left="0" w:right="0" w:firstLine="0"/>
              <w:rPr>
                <w:rFonts w:ascii="Times New Roman" w:eastAsia="微软雅黑" w:hAnsi="Times New Roman" w:cs="Times New Roman"/>
                <w:sz w:val="24"/>
              </w:rPr>
            </w:pPr>
          </w:p>
          <w:p w14:paraId="6BA333E2" w14:textId="6F0A495A"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Findings:</w:t>
            </w:r>
          </w:p>
          <w:p w14:paraId="4596020F" w14:textId="590334FE"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 xml:space="preserve">The brain demonstrated normal morphology with symmetric and homogeneous tracer uptake in the cerebral cortex, basal ganglia, thalami, and cerebellum. No focal areas of abnormal increased or </w:t>
            </w:r>
            <w:r w:rsidRPr="00E07E43">
              <w:rPr>
                <w:rFonts w:ascii="Times New Roman" w:eastAsia="微软雅黑" w:hAnsi="Times New Roman" w:cs="Times New Roman"/>
                <w:sz w:val="24"/>
              </w:rPr>
              <w:lastRenderedPageBreak/>
              <w:t xml:space="preserve">decreased uptake were observed. The ventricular system and midline structures were unremarkable. The paranasal sinuses and mastoid air cells were normal. Physiological symmetric uptake was observed in the oropharyngeal glands. No abnormal uptake was identified in the nasopharynx. The thyroid gland was normal in size with slightly heterogeneous density but no abnormal FDG uptake. No enlarged lymph nodes or abnormal uptake were identified in the cervical or supraclavicular regions. Post PICC catheter placement was noted. The thorax was symmetric, and the mediastinum was midline. The trachea and bronchi were patent. The </w:t>
            </w:r>
            <w:proofErr w:type="spellStart"/>
            <w:r w:rsidRPr="00E07E43">
              <w:rPr>
                <w:rFonts w:ascii="Times New Roman" w:eastAsia="微软雅黑" w:hAnsi="Times New Roman" w:cs="Times New Roman"/>
                <w:sz w:val="24"/>
              </w:rPr>
              <w:t>bronchovascular</w:t>
            </w:r>
            <w:proofErr w:type="spellEnd"/>
            <w:r w:rsidRPr="00E07E43">
              <w:rPr>
                <w:rFonts w:ascii="Times New Roman" w:eastAsia="微软雅黑" w:hAnsi="Times New Roman" w:cs="Times New Roman"/>
                <w:sz w:val="24"/>
              </w:rPr>
              <w:t xml:space="preserve"> markings were normal. Multiple small pulmonary nodules and ground-glass opacities were observed in both lungs without significant FDG uptake. No enlarged mediastinal or hilar lymph nodes were detected. The myocardium, pleura, breasts, and axillary regions showed no abnormal uptake. The liver was normal in size and contour, with several small low-density lesions and homogeneous tracer uptake. The gallbladder and biliary system were unremarkable. The pancreas, spleen, adrenal glands, kidneys, urinary system, uterus, and adnexa showed no significant abnormalities. Focal thickening of the gastric wall near the antrum was observed, with markedly </w:t>
            </w:r>
            <w:r w:rsidRPr="00E07E43">
              <w:rPr>
                <w:rFonts w:ascii="Times New Roman" w:eastAsia="微软雅黑" w:hAnsi="Times New Roman" w:cs="Times New Roman"/>
                <w:sz w:val="24"/>
              </w:rPr>
              <w:lastRenderedPageBreak/>
              <w:t>increased FDG uptake (SUVmax 11.6). Several small adjacent lymph nodes were present without significant uptake.</w:t>
            </w:r>
          </w:p>
          <w:p w14:paraId="26D9DDA1"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No ascites or retroperitoneal lymphadenopathy was identified. No abnormal uptake was observed in the bones, skin, or soft tissues.</w:t>
            </w:r>
          </w:p>
          <w:p w14:paraId="0F183DB6" w14:textId="77777777" w:rsidR="001C5EF5" w:rsidRPr="00E07E43" w:rsidRDefault="001C5EF5" w:rsidP="00993BA9">
            <w:pPr>
              <w:spacing w:line="480" w:lineRule="auto"/>
              <w:ind w:left="0" w:right="0" w:firstLine="0"/>
              <w:rPr>
                <w:rFonts w:ascii="Times New Roman" w:eastAsia="微软雅黑" w:hAnsi="Times New Roman" w:cs="Times New Roman"/>
                <w:sz w:val="24"/>
              </w:rPr>
            </w:pPr>
          </w:p>
          <w:p w14:paraId="2AA16807" w14:textId="62422F26"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Impression:</w:t>
            </w:r>
          </w:p>
          <w:p w14:paraId="0D20AD09"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1. Focal gastric wall thickening near the antrum with increased metabolic activity, suspicious for malignancy; findings are consistent with lymphoma in the appropriate clinical context. Adjacent small lymph nodes without significant uptake.</w:t>
            </w:r>
          </w:p>
          <w:p w14:paraId="399AF99A"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2. Multiple small pulmonary nodules and ground-glass opacities without metabolic activity; follow-up recommended.</w:t>
            </w:r>
          </w:p>
          <w:p w14:paraId="09665FCA"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3. Mildly heterogeneous thyroid gland without abnormal uptake; correlation with clinical evaluation recommended.</w:t>
            </w:r>
          </w:p>
          <w:p w14:paraId="42B315F9" w14:textId="2CB34DC3" w:rsidR="00BA60A4"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4. Multiple small hepatic cysts.</w:t>
            </w:r>
          </w:p>
        </w:tc>
      </w:tr>
      <w:tr w:rsidR="00BA60A4" w:rsidRPr="00E07E43" w14:paraId="1465140D" w14:textId="77777777" w:rsidTr="00BA60A4">
        <w:tc>
          <w:tcPr>
            <w:tcW w:w="1838" w:type="dxa"/>
          </w:tcPr>
          <w:p w14:paraId="2CE3C8B7" w14:textId="30AA4415" w:rsidR="00BA60A4"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lastRenderedPageBreak/>
              <w:t>Current Examination</w:t>
            </w:r>
          </w:p>
        </w:tc>
        <w:tc>
          <w:tcPr>
            <w:tcW w:w="6458" w:type="dxa"/>
          </w:tcPr>
          <w:p w14:paraId="1F29CDC3"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Clinical history:</w:t>
            </w:r>
          </w:p>
          <w:p w14:paraId="16F70FE7" w14:textId="21C77833"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 xml:space="preserve">The patient developed gastric pain after treatment for a urinary tract infection three months prior. Gastroscopy revealed an ulcerative mass at the gastric body–antrum junction (pathology pending). Bone marrow biopsy (April 18, 2022) confirmed </w:t>
            </w:r>
            <w:r w:rsidRPr="00E07E43">
              <w:rPr>
                <w:rFonts w:ascii="Times New Roman" w:eastAsia="微软雅黑" w:hAnsi="Times New Roman" w:cs="Times New Roman"/>
                <w:sz w:val="24"/>
              </w:rPr>
              <w:lastRenderedPageBreak/>
              <w:t>diffuse large B-cell lymphoma. The patient received two cycles of R-CHOP chemotherapy (April 19 and May 11, 2022). PET/CT was performed for treatment response evaluation.</w:t>
            </w:r>
          </w:p>
          <w:p w14:paraId="4AEF22EB" w14:textId="77777777" w:rsidR="001C5EF5" w:rsidRPr="00E07E43" w:rsidRDefault="001C5EF5" w:rsidP="00993BA9">
            <w:pPr>
              <w:spacing w:line="480" w:lineRule="auto"/>
              <w:ind w:left="0" w:right="0" w:firstLine="0"/>
              <w:rPr>
                <w:rFonts w:ascii="Times New Roman" w:eastAsia="微软雅黑" w:hAnsi="Times New Roman" w:cs="Times New Roman"/>
                <w:sz w:val="24"/>
              </w:rPr>
            </w:pPr>
          </w:p>
          <w:p w14:paraId="2367C50F" w14:textId="4C55E9CC"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Examination date: June 1, 2022.</w:t>
            </w:r>
          </w:p>
          <w:p w14:paraId="0F23C25B"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PET/CT was performed under the same protocol as the prior study. Mediastinal and liver SUVmax remained 1.7 and 2.5, respectively.</w:t>
            </w:r>
          </w:p>
          <w:p w14:paraId="69E3C717" w14:textId="77777777" w:rsidR="001C5EF5" w:rsidRPr="00E07E43" w:rsidRDefault="001C5EF5" w:rsidP="00993BA9">
            <w:pPr>
              <w:spacing w:line="480" w:lineRule="auto"/>
              <w:ind w:left="0" w:right="0" w:firstLine="0"/>
              <w:rPr>
                <w:rFonts w:ascii="Times New Roman" w:eastAsia="微软雅黑" w:hAnsi="Times New Roman" w:cs="Times New Roman"/>
                <w:sz w:val="24"/>
              </w:rPr>
            </w:pPr>
          </w:p>
          <w:p w14:paraId="27374F38" w14:textId="1871E971"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Findings:</w:t>
            </w:r>
          </w:p>
          <w:p w14:paraId="1631B1A1" w14:textId="7BF2DCE2"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Overall findings were largely unchanged compared with the prior examination. The previously noted gastric wall thickening near the antrum persisted, with continued increased FDG uptake (SUVmax 11.6). Adjacent lymph nodes remained without significant uptake. No new abnormal FDG-avid lesions were identified. Pulmonary nodules, thyroid findings, and hepatic cysts remained stable. No new lymphadenopathy or abnormal uptake was observed elsewhere.</w:t>
            </w:r>
          </w:p>
          <w:p w14:paraId="0B78222B" w14:textId="77777777" w:rsidR="001C5EF5" w:rsidRPr="00E07E43" w:rsidRDefault="001C5EF5" w:rsidP="00993BA9">
            <w:pPr>
              <w:spacing w:line="480" w:lineRule="auto"/>
              <w:ind w:left="0" w:right="0" w:firstLine="0"/>
              <w:rPr>
                <w:rFonts w:ascii="Times New Roman" w:eastAsia="微软雅黑" w:hAnsi="Times New Roman" w:cs="Times New Roman"/>
                <w:sz w:val="24"/>
              </w:rPr>
            </w:pPr>
          </w:p>
          <w:p w14:paraId="09BC3E07" w14:textId="25A26344"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Impression:</w:t>
            </w:r>
          </w:p>
          <w:p w14:paraId="572C680F" w14:textId="2F10D53F"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lastRenderedPageBreak/>
              <w:t>Comparison with prior PET/CT (April 19, 2022):</w:t>
            </w:r>
          </w:p>
          <w:p w14:paraId="5DA0DBAB"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1. Persistent focal gastric wall thickening with increased metabolic activity, consistent with lymphoma.</w:t>
            </w:r>
          </w:p>
          <w:p w14:paraId="7F180F40"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2. Stable pulmonary nodules without FDG uptake.</w:t>
            </w:r>
          </w:p>
          <w:p w14:paraId="590E0C2D" w14:textId="77777777" w:rsidR="001C5EF5"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3. Stable thyroid findings without abnormal uptake.</w:t>
            </w:r>
          </w:p>
          <w:p w14:paraId="3997ECD2" w14:textId="0AF5F2D7" w:rsidR="00BA60A4" w:rsidRPr="00E07E43" w:rsidRDefault="001C5EF5" w:rsidP="00993BA9">
            <w:pPr>
              <w:spacing w:line="480" w:lineRule="auto"/>
              <w:ind w:left="0" w:right="0" w:firstLine="0"/>
              <w:rPr>
                <w:rFonts w:ascii="Times New Roman" w:eastAsia="微软雅黑" w:hAnsi="Times New Roman" w:cs="Times New Roman"/>
                <w:sz w:val="24"/>
              </w:rPr>
            </w:pPr>
            <w:r w:rsidRPr="00E07E43">
              <w:rPr>
                <w:rFonts w:ascii="Times New Roman" w:eastAsia="微软雅黑" w:hAnsi="Times New Roman" w:cs="Times New Roman"/>
                <w:sz w:val="24"/>
              </w:rPr>
              <w:t>4. Stable hepatic cysts.</w:t>
            </w:r>
          </w:p>
        </w:tc>
      </w:tr>
    </w:tbl>
    <w:p w14:paraId="384FED2F" w14:textId="77777777" w:rsidR="001C5EF5" w:rsidRPr="00E07E43" w:rsidRDefault="001C5EF5" w:rsidP="00993BA9">
      <w:pPr>
        <w:spacing w:line="480" w:lineRule="auto"/>
        <w:ind w:left="0" w:right="0" w:firstLine="0"/>
        <w:rPr>
          <w:rFonts w:ascii="Times New Roman" w:hAnsi="Times New Roman" w:cs="Times New Roman"/>
          <w:b/>
          <w:bCs/>
          <w:sz w:val="24"/>
        </w:rPr>
      </w:pPr>
    </w:p>
    <w:p w14:paraId="6A54E73B" w14:textId="35EF4C53" w:rsidR="004957E9" w:rsidRPr="00E07E43" w:rsidRDefault="004957E9"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b/>
          <w:bCs/>
          <w:sz w:val="24"/>
        </w:rPr>
        <w:t xml:space="preserve">Supplementary Note </w:t>
      </w:r>
      <w:r w:rsidR="00B61A95" w:rsidRPr="00E07E43">
        <w:rPr>
          <w:rFonts w:ascii="Times New Roman" w:hAnsi="Times New Roman" w:cs="Times New Roman"/>
          <w:b/>
          <w:bCs/>
          <w:sz w:val="24"/>
        </w:rPr>
        <w:t>5</w:t>
      </w:r>
      <w:r w:rsidRPr="00E07E43">
        <w:rPr>
          <w:rFonts w:ascii="Times New Roman" w:hAnsi="Times New Roman" w:cs="Times New Roman"/>
          <w:b/>
          <w:bCs/>
          <w:sz w:val="24"/>
        </w:rPr>
        <w:t>. Structured Input Representation</w:t>
      </w:r>
    </w:p>
    <w:tbl>
      <w:tblPr>
        <w:tblStyle w:val="ae"/>
        <w:tblW w:w="0" w:type="auto"/>
        <w:tblLook w:val="04A0" w:firstRow="1" w:lastRow="0" w:firstColumn="1" w:lastColumn="0" w:noHBand="0" w:noVBand="1"/>
      </w:tblPr>
      <w:tblGrid>
        <w:gridCol w:w="1413"/>
        <w:gridCol w:w="6883"/>
      </w:tblGrid>
      <w:tr w:rsidR="008F12D9" w:rsidRPr="00E07E43" w14:paraId="0B17B32C" w14:textId="77777777" w:rsidTr="008F12D9">
        <w:tc>
          <w:tcPr>
            <w:tcW w:w="1413" w:type="dxa"/>
          </w:tcPr>
          <w:p w14:paraId="4FBDF9BB" w14:textId="16C5F02C"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Clinical history</w:t>
            </w:r>
          </w:p>
        </w:tc>
        <w:tc>
          <w:tcPr>
            <w:tcW w:w="6883" w:type="dxa"/>
          </w:tcPr>
          <w:p w14:paraId="7B4116E1" w14:textId="4B210C28"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The patient developed gastric pain after treatment for a urinary tract infection three months prior. Gastroscopy at our hospital revealed an ulcerative mass at the anterior wall of the gastric body–antrum junction, with pathology pending at that time. Bone marrow biopsy performed on April 18, </w:t>
            </w:r>
            <w:proofErr w:type="gramStart"/>
            <w:r w:rsidRPr="00E07E43">
              <w:rPr>
                <w:rFonts w:ascii="Times New Roman" w:hAnsi="Times New Roman" w:cs="Times New Roman"/>
                <w:sz w:val="24"/>
              </w:rPr>
              <w:t>2022</w:t>
            </w:r>
            <w:proofErr w:type="gramEnd"/>
            <w:r w:rsidRPr="00E07E43">
              <w:rPr>
                <w:rFonts w:ascii="Times New Roman" w:hAnsi="Times New Roman" w:cs="Times New Roman"/>
                <w:sz w:val="24"/>
              </w:rPr>
              <w:t xml:space="preserve"> confirmed diffuse large B-cell lymphoma. The patient received two cycles of R-CHOP chemotherapy on April 19, </w:t>
            </w:r>
            <w:proofErr w:type="gramStart"/>
            <w:r w:rsidRPr="00E07E43">
              <w:rPr>
                <w:rFonts w:ascii="Times New Roman" w:hAnsi="Times New Roman" w:cs="Times New Roman"/>
                <w:sz w:val="24"/>
              </w:rPr>
              <w:t>2022</w:t>
            </w:r>
            <w:proofErr w:type="gramEnd"/>
            <w:r w:rsidRPr="00E07E43">
              <w:rPr>
                <w:rFonts w:ascii="Times New Roman" w:hAnsi="Times New Roman" w:cs="Times New Roman"/>
                <w:sz w:val="24"/>
              </w:rPr>
              <w:t xml:space="preserve"> and May 11, 2022. PET/CT was performed for treatment response evaluation.</w:t>
            </w:r>
          </w:p>
        </w:tc>
      </w:tr>
      <w:tr w:rsidR="008F12D9" w:rsidRPr="00E07E43" w14:paraId="03F9BD1C" w14:textId="77777777" w:rsidTr="008F12D9">
        <w:tc>
          <w:tcPr>
            <w:tcW w:w="1413" w:type="dxa"/>
          </w:tcPr>
          <w:p w14:paraId="674F43F7" w14:textId="6617DEC8"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Current examination findings</w:t>
            </w:r>
          </w:p>
        </w:tc>
        <w:tc>
          <w:tcPr>
            <w:tcW w:w="6883" w:type="dxa"/>
          </w:tcPr>
          <w:p w14:paraId="66EF4367" w14:textId="2E5B8417"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Under fasting conditions, 6.81 </w:t>
            </w:r>
            <w:proofErr w:type="spellStart"/>
            <w:r w:rsidRPr="00E07E43">
              <w:rPr>
                <w:rFonts w:ascii="Times New Roman" w:hAnsi="Times New Roman" w:cs="Times New Roman"/>
                <w:sz w:val="24"/>
              </w:rPr>
              <w:t>mCi</w:t>
            </w:r>
            <w:proofErr w:type="spellEnd"/>
            <w:r w:rsidRPr="00E07E43">
              <w:rPr>
                <w:rFonts w:ascii="Times New Roman" w:hAnsi="Times New Roman" w:cs="Times New Roman"/>
                <w:sz w:val="24"/>
              </w:rPr>
              <w:t xml:space="preserve"> of 18F-FDG was administered intravenously. PET/CT imaging was performed 1 hour after injection, with good image quality. Breath-hold CT of the chest was acquired. The mediastinal blood pool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was 1.7, and the liver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was 2.5. The brain demonstrated clear visualization, with generally </w:t>
            </w:r>
            <w:r w:rsidRPr="00E07E43">
              <w:rPr>
                <w:rFonts w:ascii="Times New Roman" w:hAnsi="Times New Roman" w:cs="Times New Roman"/>
                <w:sz w:val="24"/>
              </w:rPr>
              <w:lastRenderedPageBreak/>
              <w:t xml:space="preserve">homogeneous tracer uptake in the cerebral cortex. Tracer uptake was generally homogeneous in the bilateral frontal, parietal, temporal, and occipital lobes. Symmetric uptake was observed in the bilateral basal ganglia, thalami, and cerebellum, without obvious focal increased or decreased tracer uptake. The ventricular system was normal in size and morphology. No obvious widening of the cerebral sulci or fissures was observed, and cerebrospinal fluid density showed no obvious abnormality. The midline structures were centered. Bone-window images showed no obvious abnormality of the skull. The visualized paranasal sinuses and bilateral mastoid air cells were unremarkable. Physiological symmetric tracer uptake was observed in the bilateral oropharyngeal glands. No abnormal tracer uptake was identified in the nasopharynx. The thyroid gland was not enlarged and showed acceptable morphology, with slightly heterogeneous parenchymal density but no obvious abnormal tracer uptake. No obviously enlarged lymph nodes or abnormal tracer uptake were identified in the bilateral cervical or supraclavicular regions. Post PICC catheter placement was noted. The thorax was symmetric, and the mediastinum was midline. The trachea and lobar/segmental bronchi were patent. The </w:t>
            </w:r>
            <w:proofErr w:type="spellStart"/>
            <w:r w:rsidRPr="00E07E43">
              <w:rPr>
                <w:rFonts w:ascii="Times New Roman" w:hAnsi="Times New Roman" w:cs="Times New Roman"/>
                <w:sz w:val="24"/>
              </w:rPr>
              <w:t>bronchovascular</w:t>
            </w:r>
            <w:proofErr w:type="spellEnd"/>
            <w:r w:rsidRPr="00E07E43">
              <w:rPr>
                <w:rFonts w:ascii="Times New Roman" w:hAnsi="Times New Roman" w:cs="Times New Roman"/>
                <w:sz w:val="24"/>
              </w:rPr>
              <w:t xml:space="preserve"> markings in both lungs were clearly visualized, without obvious abnormal course. Several small nodules and small ground-glass opacities were observed in both lungs, none showing </w:t>
            </w:r>
            <w:r w:rsidRPr="00E07E43">
              <w:rPr>
                <w:rFonts w:ascii="Times New Roman" w:hAnsi="Times New Roman" w:cs="Times New Roman"/>
                <w:sz w:val="24"/>
              </w:rPr>
              <w:lastRenderedPageBreak/>
              <w:t xml:space="preserve">obvious tracer uptake. No obviously enlarged lymph nodes or abnormal tracer uptake were identified in the mediastinum or bilateral hilar regions. No abnormal tracer uptake was observed in the myocardium. No obvious pleural thickening was seen bilaterally, and there was no pleural effusion. No abnormal tracer uptake was observed in the bilateral breasts. No obviously enlarged lymph nodes or abnormal tracer uptake were identified in the bilateral axillary regions. The liver showed acceptable morphology, smooth contour, and normal lobar proportion. Several small low-density lesions were seen in the liver, and tracer uptake in the hepatic parenchyma was generally homogeneous. The gallbladder was normal in size, without obvious wall thickening. No obvious dilatation of the intrahepatic or extrahepatic bile ducts was observed. The hepatic hilum was unremarkable. The pancreas showed no obvious morphological abnormality, with generally homogeneous tracer uptake and no obvious pancreatic duct dilatation. The spleen was mildly visualized, with generally homogeneous tracer uptake. The bilateral adrenal glands were generally normal. The bilateral kidneys were well visualized, with homogeneous renal parenchymal density. No obvious dilatation of the renal pelvis, calyces, or ureters was observed. The bladder showed no obvious abnormality in morphology or tracer uptake. The uterus was not enlarged and showed acceptable </w:t>
            </w:r>
            <w:r w:rsidRPr="00E07E43">
              <w:rPr>
                <w:rFonts w:ascii="Times New Roman" w:hAnsi="Times New Roman" w:cs="Times New Roman"/>
                <w:sz w:val="24"/>
              </w:rPr>
              <w:lastRenderedPageBreak/>
              <w:t xml:space="preserve">morphology, without obvious focal abnormal tracer uptake. No obvious abnormal tracer uptake was identified in the bilateral adnexal regions. Focal gastric wall thickening near the antrum was observed, with increased tracer uptake,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11.6. Several small adjacent lymph nodes were present, without obvious tracer uptake. No other obvious abnormal density or abnormal tracer uptake was identified in the remaining gastrointestinal tract. No ascites was observed. No obviously enlarged retroperitoneal lymph nodes were identified. No obvious abnormal lymph nodes were observed in the bilateral inguinal regions. No obvious abnormal tracer uptake was observed in the axial skeleton within the field of view. No obvious abnormal tracer uptake was observed in the skin or soft tissues within the field of view.</w:t>
            </w:r>
          </w:p>
        </w:tc>
      </w:tr>
      <w:tr w:rsidR="008F12D9" w:rsidRPr="00E07E43" w14:paraId="64473840" w14:textId="77777777" w:rsidTr="008F12D9">
        <w:tc>
          <w:tcPr>
            <w:tcW w:w="1413" w:type="dxa"/>
          </w:tcPr>
          <w:p w14:paraId="38EE97B4" w14:textId="3CCA8B4E"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Prior examination impression</w:t>
            </w:r>
          </w:p>
        </w:tc>
        <w:tc>
          <w:tcPr>
            <w:tcW w:w="6883" w:type="dxa"/>
          </w:tcPr>
          <w:p w14:paraId="15977A2C" w14:textId="77777777"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1. Focal gastric wall thickening near the antrum with increased metabolic activity, suspicious for malignancy; in combination with the clinical history, the finding is consistent with lymphoma. Multiple small adjacent lymph nodes were present without obvious metabolic activity.</w:t>
            </w:r>
          </w:p>
          <w:p w14:paraId="6F36B2D0" w14:textId="77777777"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2. Multiple small pulmonary nodules and small ground-glass opacities in both lungs, without obvious metabolic activity; close follow-up is recommended.</w:t>
            </w:r>
          </w:p>
          <w:p w14:paraId="2076C4AF" w14:textId="77777777"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3. Slightly heterogeneous density of both thyroid lobes, without obvious abnormal metabolic activity; correlation with specialist evaluation is recommended.</w:t>
            </w:r>
          </w:p>
          <w:p w14:paraId="343EB234" w14:textId="297CA891" w:rsidR="008F12D9" w:rsidRPr="00E07E43" w:rsidRDefault="008F12D9"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4. Multiple small hepatic cysts are possible.</w:t>
            </w:r>
          </w:p>
        </w:tc>
      </w:tr>
    </w:tbl>
    <w:p w14:paraId="5A52F806" w14:textId="77777777" w:rsidR="00446B83" w:rsidRPr="00E07E43" w:rsidRDefault="00446B83" w:rsidP="00993BA9">
      <w:pPr>
        <w:spacing w:line="480" w:lineRule="auto"/>
        <w:ind w:left="0" w:right="0" w:firstLine="0"/>
        <w:rPr>
          <w:rFonts w:ascii="Times New Roman" w:hAnsi="Times New Roman" w:cs="Times New Roman"/>
          <w:b/>
          <w:bCs/>
          <w:sz w:val="24"/>
        </w:rPr>
      </w:pPr>
    </w:p>
    <w:p w14:paraId="77C99A1B" w14:textId="1D0FD974" w:rsidR="004957E9" w:rsidRPr="00E07E43" w:rsidRDefault="004957E9"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b/>
          <w:bCs/>
          <w:sz w:val="24"/>
        </w:rPr>
        <w:t xml:space="preserve">Supplementary Note </w:t>
      </w:r>
      <w:r w:rsidR="00B61A95" w:rsidRPr="00E07E43">
        <w:rPr>
          <w:rFonts w:ascii="Times New Roman" w:hAnsi="Times New Roman" w:cs="Times New Roman"/>
          <w:b/>
          <w:bCs/>
          <w:sz w:val="24"/>
        </w:rPr>
        <w:t>6</w:t>
      </w:r>
      <w:r w:rsidRPr="00E07E43">
        <w:rPr>
          <w:rFonts w:ascii="Times New Roman" w:hAnsi="Times New Roman" w:cs="Times New Roman"/>
          <w:b/>
          <w:bCs/>
          <w:sz w:val="24"/>
        </w:rPr>
        <w:t>. Model Reasoning Examples</w:t>
      </w:r>
    </w:p>
    <w:tbl>
      <w:tblPr>
        <w:tblStyle w:val="ae"/>
        <w:tblW w:w="0" w:type="auto"/>
        <w:tblLook w:val="04A0" w:firstRow="1" w:lastRow="0" w:firstColumn="1" w:lastColumn="0" w:noHBand="0" w:noVBand="1"/>
      </w:tblPr>
      <w:tblGrid>
        <w:gridCol w:w="8296"/>
      </w:tblGrid>
      <w:tr w:rsidR="005E582F" w:rsidRPr="00E07E43" w14:paraId="65251C16" w14:textId="77777777" w:rsidTr="00883F3F">
        <w:trPr>
          <w:trHeight w:val="1256"/>
        </w:trPr>
        <w:tc>
          <w:tcPr>
            <w:tcW w:w="8296" w:type="dxa"/>
          </w:tcPr>
          <w:p w14:paraId="37138E9F"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&lt;Thought&gt;</w:t>
            </w:r>
          </w:p>
          <w:p w14:paraId="04533884"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Scoring rationale: Based on the lesion information in the current examination findings, together with the prior examination impression and lymphoma relevance criteria, we determine the lymphoma relevance of each lesion and whether it should be included in scoring. Candidate lesions related to lymphoma involvement and candidate lesions unrelated to lymphoma are identified. After selecting the main lesion, the Deauville score is determined based on the mediastinal blood pool and liver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values, combined with clinical reasoning.</w:t>
            </w:r>
          </w:p>
          <w:p w14:paraId="07ABCFC3" w14:textId="77777777" w:rsidR="005E582F" w:rsidRPr="00E07E43" w:rsidRDefault="005E582F" w:rsidP="00993BA9">
            <w:pPr>
              <w:spacing w:line="480" w:lineRule="auto"/>
              <w:ind w:left="0" w:right="0" w:firstLine="0"/>
              <w:rPr>
                <w:rFonts w:ascii="Times New Roman" w:hAnsi="Times New Roman" w:cs="Times New Roman"/>
                <w:sz w:val="24"/>
              </w:rPr>
            </w:pPr>
          </w:p>
          <w:p w14:paraId="654E1AF8" w14:textId="7928F88E"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Step 1: Lesion analysis</w:t>
            </w:r>
          </w:p>
          <w:tbl>
            <w:tblPr>
              <w:tblStyle w:val="a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83"/>
              <w:gridCol w:w="1110"/>
              <w:gridCol w:w="1056"/>
              <w:gridCol w:w="1310"/>
              <w:gridCol w:w="1496"/>
              <w:gridCol w:w="1815"/>
            </w:tblGrid>
            <w:tr w:rsidR="005E582F" w:rsidRPr="00E07E43" w14:paraId="0D6728B2" w14:textId="77777777" w:rsidTr="00FB54C8">
              <w:tc>
                <w:tcPr>
                  <w:tcW w:w="1146" w:type="dxa"/>
                </w:tcPr>
                <w:p w14:paraId="089DB7E7" w14:textId="18A98D7F"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Lesion description (inline)</w:t>
                  </w:r>
                </w:p>
              </w:tc>
              <w:tc>
                <w:tcPr>
                  <w:tcW w:w="961" w:type="dxa"/>
                </w:tcPr>
                <w:p w14:paraId="25A4D6A9" w14:textId="5382EB1F" w:rsidR="005E582F" w:rsidRPr="00E07E43" w:rsidRDefault="005E582F" w:rsidP="00993BA9">
                  <w:pPr>
                    <w:spacing w:line="480" w:lineRule="auto"/>
                    <w:ind w:left="0" w:right="0" w:firstLine="0"/>
                    <w:rPr>
                      <w:rFonts w:ascii="Times New Roman" w:hAnsi="Times New Roman" w:cs="Times New Roman"/>
                      <w:sz w:val="24"/>
                    </w:rPr>
                  </w:pP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w:t>
                  </w:r>
                </w:p>
              </w:tc>
              <w:tc>
                <w:tcPr>
                  <w:tcW w:w="1031" w:type="dxa"/>
                </w:tcPr>
                <w:p w14:paraId="3FCBDEA5" w14:textId="620574CE"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Status</w:t>
                  </w:r>
                </w:p>
              </w:tc>
              <w:tc>
                <w:tcPr>
                  <w:tcW w:w="1275" w:type="dxa"/>
                </w:tcPr>
                <w:p w14:paraId="0B294433" w14:textId="75005D6A"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Lymphoma relevance</w:t>
                  </w:r>
                </w:p>
              </w:tc>
              <w:tc>
                <w:tcPr>
                  <w:tcW w:w="1134" w:type="dxa"/>
                </w:tcPr>
                <w:p w14:paraId="492A0D5A" w14:textId="1EBD70F4"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Candidate lesions identification</w:t>
                  </w:r>
                </w:p>
              </w:tc>
              <w:tc>
                <w:tcPr>
                  <w:tcW w:w="2523" w:type="dxa"/>
                </w:tcPr>
                <w:p w14:paraId="6D4F11B4" w14:textId="65F72105"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Explain</w:t>
                  </w:r>
                </w:p>
              </w:tc>
            </w:tr>
            <w:tr w:rsidR="005E582F" w:rsidRPr="00E07E43" w14:paraId="1D1AE9E1" w14:textId="77777777" w:rsidTr="00FB54C8">
              <w:tc>
                <w:tcPr>
                  <w:tcW w:w="1146" w:type="dxa"/>
                </w:tcPr>
                <w:p w14:paraId="4990E358" w14:textId="6FE5B7BE"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 xml:space="preserve">Focal gastric wall thickening near the </w:t>
                  </w:r>
                  <w:r w:rsidR="006611DF" w:rsidRPr="00E07E43">
                    <w:rPr>
                      <w:rFonts w:ascii="Times New Roman" w:hAnsi="Times New Roman" w:cs="Times New Roman"/>
                      <w:sz w:val="24"/>
                    </w:rPr>
                    <w:t xml:space="preserve">gastric </w:t>
                  </w:r>
                  <w:r w:rsidRPr="00E07E43">
                    <w:rPr>
                      <w:rFonts w:ascii="Times New Roman" w:hAnsi="Times New Roman" w:cs="Times New Roman"/>
                      <w:sz w:val="24"/>
                    </w:rPr>
                    <w:t>antrum</w:t>
                  </w:r>
                </w:p>
              </w:tc>
              <w:tc>
                <w:tcPr>
                  <w:tcW w:w="961" w:type="dxa"/>
                </w:tcPr>
                <w:p w14:paraId="566E8707" w14:textId="00BC9418"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11.6</w:t>
                  </w:r>
                </w:p>
              </w:tc>
              <w:tc>
                <w:tcPr>
                  <w:tcW w:w="1031" w:type="dxa"/>
                </w:tcPr>
                <w:p w14:paraId="693EEC23" w14:textId="445F1C7D"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Residual</w:t>
                  </w:r>
                </w:p>
              </w:tc>
              <w:tc>
                <w:tcPr>
                  <w:tcW w:w="1275" w:type="dxa"/>
                </w:tcPr>
                <w:p w14:paraId="2DF5D754" w14:textId="6AE723EE"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residual</w:t>
                  </w:r>
                </w:p>
              </w:tc>
              <w:tc>
                <w:tcPr>
                  <w:tcW w:w="1134" w:type="dxa"/>
                </w:tcPr>
                <w:p w14:paraId="4B527879" w14:textId="637C7053"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related</w:t>
                  </w:r>
                </w:p>
              </w:tc>
              <w:tc>
                <w:tcPr>
                  <w:tcW w:w="2523" w:type="dxa"/>
                </w:tcPr>
                <w:p w14:paraId="35E49452" w14:textId="702FE15C" w:rsidR="005E582F" w:rsidRPr="00E07E43" w:rsidRDefault="006611D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The prior examination impression concluded that this site was suspicious for malignancy and, in the appropriate clinical context, consistent with lymphoma. This represents a residual lesion at the primary site with clear structural abnormality (focal gastric wall thickening) and markedly increased tracer </w:t>
                  </w:r>
                  <w:r w:rsidRPr="00E07E43">
                    <w:rPr>
                      <w:rFonts w:ascii="Times New Roman" w:hAnsi="Times New Roman" w:cs="Times New Roman"/>
                      <w:sz w:val="24"/>
                    </w:rPr>
                    <w:lastRenderedPageBreak/>
                    <w:t>uptake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11.6), which is significantly higher than the liver background; therefore, it is included for scoring.</w:t>
                  </w:r>
                </w:p>
              </w:tc>
            </w:tr>
          </w:tbl>
          <w:p w14:paraId="6DE4B6ED" w14:textId="77777777" w:rsidR="005E582F" w:rsidRPr="00E07E43" w:rsidRDefault="005E582F" w:rsidP="00993BA9">
            <w:pPr>
              <w:spacing w:line="480" w:lineRule="auto"/>
              <w:ind w:left="0" w:right="0" w:firstLine="0"/>
              <w:rPr>
                <w:rFonts w:ascii="Times New Roman" w:hAnsi="Times New Roman" w:cs="Times New Roman"/>
                <w:sz w:val="24"/>
              </w:rPr>
            </w:pPr>
          </w:p>
          <w:p w14:paraId="7A4A829A"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Step 2: Main lesion selection  </w:t>
            </w:r>
          </w:p>
          <w:p w14:paraId="17814C5A"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Lesions excluded from scoring: None. All identified lesions are included for scoring.  </w:t>
            </w:r>
          </w:p>
          <w:p w14:paraId="565ADCA7"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Candidate lesions with lymphoma involvement: Focal gastric wall thickening near the antrum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11.6, residual, involved), which satisfies the criteria and is selected as the main lesion.  </w:t>
            </w:r>
          </w:p>
          <w:p w14:paraId="76CFE934"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Newly emerged lymphoma-unrelated candidate lesions: None.</w:t>
            </w:r>
          </w:p>
          <w:p w14:paraId="2132575E" w14:textId="77777777" w:rsidR="005E582F" w:rsidRPr="00E07E43" w:rsidRDefault="005E582F" w:rsidP="00993BA9">
            <w:pPr>
              <w:spacing w:line="480" w:lineRule="auto"/>
              <w:ind w:left="0" w:right="0" w:firstLine="0"/>
              <w:rPr>
                <w:rFonts w:ascii="Times New Roman" w:hAnsi="Times New Roman" w:cs="Times New Roman"/>
                <w:sz w:val="24"/>
              </w:rPr>
            </w:pPr>
          </w:p>
          <w:p w14:paraId="234E8525"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Step 3: Deauville scoring  </w:t>
            </w:r>
          </w:p>
          <w:p w14:paraId="1656A7AC"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lastRenderedPageBreak/>
              <w:t xml:space="preserve">- Mediastinal blood pool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1.7; liver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2.5.  </w:t>
            </w:r>
          </w:p>
          <w:p w14:paraId="156B330D"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The main lymphoma-related lesion (focal gastric wall thickening near the antrum) has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11.6, which is markedly higher than twice the liver uptake (2 × 2.5 = 5.0), corresponding to a Deauville score of 5.  </w:t>
            </w:r>
          </w:p>
          <w:p w14:paraId="4C922ABA"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xml:space="preserve">- Given a score of 5 (&gt;3), and based on clinical reasoning, the influence of newly emerged lesions does not need to be considered. In this case, no newly emerged lymphoma-unrelated lesions are present.  </w:t>
            </w:r>
          </w:p>
          <w:p w14:paraId="1E7DF378"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 Therefore, the final score is 5.</w:t>
            </w:r>
          </w:p>
          <w:p w14:paraId="60F20A86"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&lt;/Thought&gt;</w:t>
            </w:r>
          </w:p>
          <w:p w14:paraId="408A9EE8" w14:textId="77777777" w:rsidR="005E582F" w:rsidRPr="00E07E43" w:rsidRDefault="005E582F" w:rsidP="00993BA9">
            <w:pPr>
              <w:spacing w:line="480" w:lineRule="auto"/>
              <w:ind w:left="0" w:right="0" w:firstLine="0"/>
              <w:rPr>
                <w:rFonts w:ascii="Times New Roman" w:hAnsi="Times New Roman" w:cs="Times New Roman"/>
                <w:sz w:val="24"/>
              </w:rPr>
            </w:pPr>
          </w:p>
          <w:p w14:paraId="20FEF729"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&lt;Answer&gt;</w:t>
            </w:r>
          </w:p>
          <w:p w14:paraId="705CA14E" w14:textId="77777777" w:rsidR="005E582F" w:rsidRPr="00E07E43" w:rsidRDefault="005E582F" w:rsidP="00993BA9">
            <w:pPr>
              <w:spacing w:line="480" w:lineRule="auto"/>
              <w:ind w:left="0" w:right="0" w:firstLine="0"/>
              <w:rPr>
                <w:rFonts w:ascii="Times New Roman" w:hAnsi="Times New Roman" w:cs="Times New Roman"/>
                <w:sz w:val="24"/>
              </w:rPr>
            </w:pPr>
            <w:r w:rsidRPr="00E07E43">
              <w:rPr>
                <w:rFonts w:ascii="Times New Roman" w:hAnsi="Times New Roman" w:cs="Times New Roman"/>
                <w:sz w:val="24"/>
              </w:rPr>
              <w:t>The main lymphoma-involved lesion is the focal gastric wall thickening near the antrum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11.6). The prior examination impression explicitly described this lesion as consistent with lymphoma, and its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is markedly higher than twice the liver uptake (liver </w:t>
            </w:r>
            <w:proofErr w:type="spellStart"/>
            <w:r w:rsidRPr="00E07E43">
              <w:rPr>
                <w:rFonts w:ascii="Times New Roman" w:hAnsi="Times New Roman" w:cs="Times New Roman"/>
                <w:sz w:val="24"/>
              </w:rPr>
              <w:t>SUVmax</w:t>
            </w:r>
            <w:proofErr w:type="spellEnd"/>
            <w:r w:rsidRPr="00E07E43">
              <w:rPr>
                <w:rFonts w:ascii="Times New Roman" w:hAnsi="Times New Roman" w:cs="Times New Roman"/>
                <w:sz w:val="24"/>
              </w:rPr>
              <w:t xml:space="preserve"> 2.5), corresponding to a Deauville score of 5. Based on clinical reasoning, scores of 4–5 do not require consideration of newly emerged lesions, and no newly emerged lymphoma-unrelated lesions are present in this case. Therefore, the final Deauville score is 5.</w:t>
            </w:r>
          </w:p>
          <w:p w14:paraId="0CE26ABA" w14:textId="2CA51D21" w:rsidR="005E582F" w:rsidRPr="00E07E43" w:rsidRDefault="005E582F" w:rsidP="00993BA9">
            <w:pPr>
              <w:spacing w:line="480" w:lineRule="auto"/>
              <w:ind w:left="0" w:right="0" w:firstLine="0"/>
              <w:rPr>
                <w:rFonts w:ascii="Times New Roman" w:hAnsi="Times New Roman" w:cs="Times New Roman"/>
                <w:b/>
                <w:bCs/>
                <w:sz w:val="24"/>
              </w:rPr>
            </w:pPr>
            <w:r w:rsidRPr="00E07E43">
              <w:rPr>
                <w:rFonts w:ascii="Times New Roman" w:hAnsi="Times New Roman" w:cs="Times New Roman"/>
                <w:sz w:val="24"/>
              </w:rPr>
              <w:t>&lt;/Answer&gt;</w:t>
            </w:r>
          </w:p>
        </w:tc>
      </w:tr>
    </w:tbl>
    <w:p w14:paraId="33C5C335" w14:textId="77777777" w:rsidR="004F49BC" w:rsidRPr="00E07E43" w:rsidRDefault="004F49BC" w:rsidP="00993BA9">
      <w:pPr>
        <w:spacing w:line="480" w:lineRule="auto"/>
        <w:ind w:left="0" w:right="0" w:firstLine="0"/>
        <w:rPr>
          <w:rFonts w:ascii="Times New Roman" w:hAnsi="Times New Roman" w:cs="Times New Roman"/>
          <w:b/>
          <w:bCs/>
          <w:sz w:val="24"/>
        </w:rPr>
      </w:pPr>
    </w:p>
    <w:p w14:paraId="2B22CE39" w14:textId="77777777" w:rsidR="004F49BC" w:rsidRPr="00E07E43" w:rsidRDefault="004F49BC" w:rsidP="00993BA9">
      <w:pPr>
        <w:spacing w:line="480" w:lineRule="auto"/>
        <w:ind w:left="0" w:right="0" w:firstLine="0"/>
        <w:rPr>
          <w:rFonts w:ascii="Times New Roman" w:hAnsi="Times New Roman" w:cs="Times New Roman"/>
          <w:b/>
          <w:bCs/>
          <w:sz w:val="24"/>
        </w:rPr>
      </w:pPr>
    </w:p>
    <w:p w14:paraId="5C4956A8" w14:textId="77777777" w:rsidR="004F49BC" w:rsidRPr="00E07E43" w:rsidRDefault="004F49BC" w:rsidP="00993BA9">
      <w:pPr>
        <w:spacing w:line="480" w:lineRule="auto"/>
        <w:ind w:left="0" w:right="0" w:firstLine="0"/>
        <w:rPr>
          <w:rFonts w:ascii="Times New Roman" w:hAnsi="Times New Roman" w:cs="Times New Roman"/>
          <w:b/>
          <w:bCs/>
          <w:sz w:val="24"/>
        </w:rPr>
      </w:pPr>
    </w:p>
    <w:sectPr w:rsidR="004F49BC" w:rsidRPr="00E07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D09A8"/>
    <w:multiLevelType w:val="multilevel"/>
    <w:tmpl w:val="BE68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80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30"/>
    <w:rsid w:val="00121344"/>
    <w:rsid w:val="001C5EF5"/>
    <w:rsid w:val="002672CD"/>
    <w:rsid w:val="002A057B"/>
    <w:rsid w:val="004151E7"/>
    <w:rsid w:val="00446B83"/>
    <w:rsid w:val="004957E9"/>
    <w:rsid w:val="004F49BC"/>
    <w:rsid w:val="005E13B9"/>
    <w:rsid w:val="005E1A13"/>
    <w:rsid w:val="005E582F"/>
    <w:rsid w:val="006611DF"/>
    <w:rsid w:val="0067588B"/>
    <w:rsid w:val="008F12D9"/>
    <w:rsid w:val="00956B42"/>
    <w:rsid w:val="0096553F"/>
    <w:rsid w:val="00993BA9"/>
    <w:rsid w:val="00A12430"/>
    <w:rsid w:val="00A12682"/>
    <w:rsid w:val="00B61A95"/>
    <w:rsid w:val="00BA60A4"/>
    <w:rsid w:val="00E07E43"/>
    <w:rsid w:val="00FB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19102B"/>
  <w15:chartTrackingRefBased/>
  <w15:docId w15:val="{44B664CB-72F6-FA4F-9E36-48B53BE1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430"/>
    <w:pPr>
      <w:spacing w:after="100" w:line="226" w:lineRule="auto"/>
      <w:ind w:left="726" w:right="719" w:hanging="1"/>
      <w:jc w:val="both"/>
    </w:pPr>
    <w:rPr>
      <w:rFonts w:ascii="Calibri" w:eastAsia="Calibri" w:hAnsi="Calibri" w:cs="Calibri"/>
      <w:color w:val="000000"/>
      <w:sz w:val="20"/>
    </w:rPr>
  </w:style>
  <w:style w:type="paragraph" w:styleId="1">
    <w:name w:val="heading 1"/>
    <w:basedOn w:val="a"/>
    <w:next w:val="a"/>
    <w:link w:val="10"/>
    <w:uiPriority w:val="9"/>
    <w:qFormat/>
    <w:rsid w:val="00A124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124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124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124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1243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1243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12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43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1243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124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12430"/>
    <w:rPr>
      <w:rFonts w:cstheme="majorBidi"/>
      <w:color w:val="0F4761" w:themeColor="accent1" w:themeShade="BF"/>
      <w:sz w:val="28"/>
      <w:szCs w:val="28"/>
    </w:rPr>
  </w:style>
  <w:style w:type="character" w:customStyle="1" w:styleId="50">
    <w:name w:val="标题 5 字符"/>
    <w:basedOn w:val="a0"/>
    <w:link w:val="5"/>
    <w:uiPriority w:val="9"/>
    <w:semiHidden/>
    <w:rsid w:val="00A12430"/>
    <w:rPr>
      <w:rFonts w:cstheme="majorBidi"/>
      <w:color w:val="0F4761" w:themeColor="accent1" w:themeShade="BF"/>
      <w:sz w:val="24"/>
    </w:rPr>
  </w:style>
  <w:style w:type="character" w:customStyle="1" w:styleId="60">
    <w:name w:val="标题 6 字符"/>
    <w:basedOn w:val="a0"/>
    <w:link w:val="6"/>
    <w:uiPriority w:val="9"/>
    <w:semiHidden/>
    <w:rsid w:val="00A12430"/>
    <w:rPr>
      <w:rFonts w:cstheme="majorBidi"/>
      <w:b/>
      <w:bCs/>
      <w:color w:val="0F4761" w:themeColor="accent1" w:themeShade="BF"/>
    </w:rPr>
  </w:style>
  <w:style w:type="character" w:customStyle="1" w:styleId="70">
    <w:name w:val="标题 7 字符"/>
    <w:basedOn w:val="a0"/>
    <w:link w:val="7"/>
    <w:uiPriority w:val="9"/>
    <w:semiHidden/>
    <w:rsid w:val="00A12430"/>
    <w:rPr>
      <w:rFonts w:cstheme="majorBidi"/>
      <w:b/>
      <w:bCs/>
      <w:color w:val="595959" w:themeColor="text1" w:themeTint="A6"/>
    </w:rPr>
  </w:style>
  <w:style w:type="character" w:customStyle="1" w:styleId="80">
    <w:name w:val="标题 8 字符"/>
    <w:basedOn w:val="a0"/>
    <w:link w:val="8"/>
    <w:uiPriority w:val="9"/>
    <w:semiHidden/>
    <w:rsid w:val="00A12430"/>
    <w:rPr>
      <w:rFonts w:cstheme="majorBidi"/>
      <w:color w:val="595959" w:themeColor="text1" w:themeTint="A6"/>
    </w:rPr>
  </w:style>
  <w:style w:type="character" w:customStyle="1" w:styleId="90">
    <w:name w:val="标题 9 字符"/>
    <w:basedOn w:val="a0"/>
    <w:link w:val="9"/>
    <w:uiPriority w:val="9"/>
    <w:semiHidden/>
    <w:rsid w:val="00A12430"/>
    <w:rPr>
      <w:rFonts w:eastAsiaTheme="majorEastAsia" w:cstheme="majorBidi"/>
      <w:color w:val="595959" w:themeColor="text1" w:themeTint="A6"/>
    </w:rPr>
  </w:style>
  <w:style w:type="paragraph" w:styleId="a3">
    <w:name w:val="Title"/>
    <w:basedOn w:val="a"/>
    <w:next w:val="a"/>
    <w:link w:val="a4"/>
    <w:uiPriority w:val="10"/>
    <w:qFormat/>
    <w:rsid w:val="00A12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430"/>
    <w:pPr>
      <w:numPr>
        <w:ilvl w:val="1"/>
      </w:numPr>
      <w:ind w:left="726" w:hanging="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430"/>
    <w:pPr>
      <w:spacing w:before="160"/>
      <w:jc w:val="center"/>
    </w:pPr>
    <w:rPr>
      <w:i/>
      <w:iCs/>
      <w:color w:val="404040" w:themeColor="text1" w:themeTint="BF"/>
    </w:rPr>
  </w:style>
  <w:style w:type="character" w:customStyle="1" w:styleId="a8">
    <w:name w:val="引用 字符"/>
    <w:basedOn w:val="a0"/>
    <w:link w:val="a7"/>
    <w:uiPriority w:val="29"/>
    <w:rsid w:val="00A12430"/>
    <w:rPr>
      <w:i/>
      <w:iCs/>
      <w:color w:val="404040" w:themeColor="text1" w:themeTint="BF"/>
    </w:rPr>
  </w:style>
  <w:style w:type="paragraph" w:styleId="a9">
    <w:name w:val="List Paragraph"/>
    <w:basedOn w:val="a"/>
    <w:uiPriority w:val="34"/>
    <w:qFormat/>
    <w:rsid w:val="00A12430"/>
    <w:pPr>
      <w:ind w:left="720"/>
      <w:contextualSpacing/>
    </w:pPr>
  </w:style>
  <w:style w:type="character" w:styleId="aa">
    <w:name w:val="Intense Emphasis"/>
    <w:basedOn w:val="a0"/>
    <w:uiPriority w:val="21"/>
    <w:qFormat/>
    <w:rsid w:val="00A12430"/>
    <w:rPr>
      <w:i/>
      <w:iCs/>
      <w:color w:val="0F4761" w:themeColor="accent1" w:themeShade="BF"/>
    </w:rPr>
  </w:style>
  <w:style w:type="paragraph" w:styleId="ab">
    <w:name w:val="Intense Quote"/>
    <w:basedOn w:val="a"/>
    <w:next w:val="a"/>
    <w:link w:val="ac"/>
    <w:uiPriority w:val="30"/>
    <w:qFormat/>
    <w:rsid w:val="00A12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12430"/>
    <w:rPr>
      <w:i/>
      <w:iCs/>
      <w:color w:val="0F4761" w:themeColor="accent1" w:themeShade="BF"/>
    </w:rPr>
  </w:style>
  <w:style w:type="character" w:styleId="ad">
    <w:name w:val="Intense Reference"/>
    <w:basedOn w:val="a0"/>
    <w:uiPriority w:val="32"/>
    <w:qFormat/>
    <w:rsid w:val="00A12430"/>
    <w:rPr>
      <w:b/>
      <w:bCs/>
      <w:smallCaps/>
      <w:color w:val="0F4761" w:themeColor="accent1" w:themeShade="BF"/>
      <w:spacing w:val="5"/>
    </w:rPr>
  </w:style>
  <w:style w:type="table" w:styleId="ae">
    <w:name w:val="Table Grid"/>
    <w:basedOn w:val="a1"/>
    <w:uiPriority w:val="39"/>
    <w:rsid w:val="002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8F12D9"/>
    <w:pPr>
      <w:spacing w:before="100" w:beforeAutospacing="1" w:afterAutospacing="1" w:line="240" w:lineRule="auto"/>
      <w:ind w:left="0" w:right="0" w:firstLine="0"/>
      <w:jc w:val="left"/>
    </w:pPr>
    <w:rPr>
      <w:rFonts w:ascii="宋体" w:eastAsia="宋体" w:hAnsi="宋体" w:cs="宋体"/>
      <w:color w:val="auto"/>
      <w:kern w:val="0"/>
      <w:sz w:val="24"/>
      <w14:ligatures w14:val="none"/>
    </w:rPr>
  </w:style>
  <w:style w:type="character" w:styleId="af0">
    <w:name w:val="Strong"/>
    <w:basedOn w:val="a0"/>
    <w:uiPriority w:val="22"/>
    <w:qFormat/>
    <w:rsid w:val="008F1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1748</TotalTime>
  <Pages>21</Pages>
  <Words>2730</Words>
  <Characters>15567</Characters>
  <Application>Microsoft Office Word</Application>
  <DocSecurity>0</DocSecurity>
  <Lines>129</Lines>
  <Paragraphs>36</Paragraphs>
  <ScaleCrop>false</ScaleCrop>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2026-04-29T03:22:00Z</dcterms:created>
  <dcterms:modified xsi:type="dcterms:W3CDTF">2026-05-03T03:19:00Z</dcterms:modified>
</cp:coreProperties>
</file>