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347F" w14:textId="77777777" w:rsidR="006B4E98" w:rsidRPr="005151A3" w:rsidRDefault="006B4E98" w:rsidP="006B4E98">
      <w:pPr>
        <w:pStyle w:val="NormalWeb"/>
        <w:spacing w:line="480" w:lineRule="auto"/>
        <w:jc w:val="both"/>
        <w:rPr>
          <w:b/>
          <w:color w:val="000000" w:themeColor="text1"/>
          <w:sz w:val="22"/>
          <w:szCs w:val="22"/>
        </w:rPr>
      </w:pPr>
      <w:r w:rsidRPr="005151A3">
        <w:rPr>
          <w:b/>
          <w:color w:val="000000" w:themeColor="text1"/>
          <w:sz w:val="22"/>
          <w:szCs w:val="22"/>
        </w:rPr>
        <w:t>Table-4. Univariate and Multivariate Logistic Regression Analysis of Factors Associated with an IPAT Score ≥6</w:t>
      </w:r>
    </w:p>
    <w:tbl>
      <w:tblPr>
        <w:tblStyle w:val="TableGrid"/>
        <w:tblW w:w="11026" w:type="dxa"/>
        <w:tblInd w:w="-1201" w:type="dxa"/>
        <w:tblLayout w:type="fixed"/>
        <w:tblLook w:val="0000" w:firstRow="0" w:lastRow="0" w:firstColumn="0" w:lastColumn="0" w:noHBand="0" w:noVBand="0"/>
      </w:tblPr>
      <w:tblGrid>
        <w:gridCol w:w="2195"/>
        <w:gridCol w:w="937"/>
        <w:gridCol w:w="905"/>
        <w:gridCol w:w="851"/>
        <w:gridCol w:w="850"/>
        <w:gridCol w:w="851"/>
        <w:gridCol w:w="773"/>
        <w:gridCol w:w="10"/>
        <w:gridCol w:w="894"/>
        <w:gridCol w:w="10"/>
        <w:gridCol w:w="894"/>
        <w:gridCol w:w="10"/>
        <w:gridCol w:w="894"/>
        <w:gridCol w:w="904"/>
        <w:gridCol w:w="17"/>
        <w:gridCol w:w="20"/>
        <w:gridCol w:w="11"/>
      </w:tblGrid>
      <w:tr w:rsidR="006B4E98" w:rsidRPr="005151A3" w14:paraId="0E85DE22" w14:textId="77777777" w:rsidTr="001E6925">
        <w:trPr>
          <w:gridAfter w:val="1"/>
          <w:wAfter w:w="11" w:type="dxa"/>
          <w:trHeight w:val="304"/>
        </w:trPr>
        <w:tc>
          <w:tcPr>
            <w:tcW w:w="2195" w:type="dxa"/>
            <w:vMerge w:val="restart"/>
          </w:tcPr>
          <w:p w14:paraId="2EA9C1C8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gridSpan w:val="5"/>
          </w:tcPr>
          <w:p w14:paraId="417BE0B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Univariate Logistic Regression</w:t>
            </w:r>
          </w:p>
        </w:tc>
        <w:tc>
          <w:tcPr>
            <w:tcW w:w="4426" w:type="dxa"/>
            <w:gridSpan w:val="10"/>
          </w:tcPr>
          <w:p w14:paraId="48696649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20"/>
                <w:szCs w:val="20"/>
              </w:rPr>
              <w:t>Multivariate Logistic Regression</w:t>
            </w:r>
          </w:p>
        </w:tc>
      </w:tr>
      <w:tr w:rsidR="006B4E98" w:rsidRPr="005151A3" w14:paraId="61815A7E" w14:textId="77777777" w:rsidTr="001E6925">
        <w:trPr>
          <w:gridAfter w:val="2"/>
          <w:wAfter w:w="31" w:type="dxa"/>
          <w:trHeight w:val="304"/>
        </w:trPr>
        <w:tc>
          <w:tcPr>
            <w:tcW w:w="2195" w:type="dxa"/>
            <w:vMerge/>
          </w:tcPr>
          <w:p w14:paraId="40A76923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</w:tcPr>
          <w:p w14:paraId="717932B0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Wald</w:t>
            </w:r>
          </w:p>
        </w:tc>
        <w:tc>
          <w:tcPr>
            <w:tcW w:w="905" w:type="dxa"/>
            <w:vMerge w:val="restart"/>
          </w:tcPr>
          <w:p w14:paraId="519A7502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  <w:vMerge w:val="restart"/>
          </w:tcPr>
          <w:p w14:paraId="2D87BD4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1" w:type="dxa"/>
            <w:gridSpan w:val="2"/>
          </w:tcPr>
          <w:p w14:paraId="4B75D1D8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95% C.I.for EXP(B)</w:t>
            </w:r>
          </w:p>
        </w:tc>
        <w:tc>
          <w:tcPr>
            <w:tcW w:w="783" w:type="dxa"/>
            <w:gridSpan w:val="2"/>
          </w:tcPr>
          <w:p w14:paraId="02001F05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Wald</w:t>
            </w:r>
          </w:p>
        </w:tc>
        <w:tc>
          <w:tcPr>
            <w:tcW w:w="904" w:type="dxa"/>
            <w:gridSpan w:val="2"/>
          </w:tcPr>
          <w:p w14:paraId="59B2A43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04" w:type="dxa"/>
            <w:gridSpan w:val="2"/>
          </w:tcPr>
          <w:p w14:paraId="35536C17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  <w:t>OR</w:t>
            </w:r>
          </w:p>
        </w:tc>
        <w:tc>
          <w:tcPr>
            <w:tcW w:w="1815" w:type="dxa"/>
            <w:gridSpan w:val="3"/>
          </w:tcPr>
          <w:p w14:paraId="5C66741D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  <w:t>95% C.I.for EXP(B)</w:t>
            </w:r>
          </w:p>
        </w:tc>
      </w:tr>
      <w:tr w:rsidR="006B4E98" w:rsidRPr="005151A3" w14:paraId="0B8B0ECD" w14:textId="77777777" w:rsidTr="001E6925">
        <w:trPr>
          <w:gridAfter w:val="3"/>
          <w:wAfter w:w="48" w:type="dxa"/>
          <w:trHeight w:val="137"/>
        </w:trPr>
        <w:tc>
          <w:tcPr>
            <w:tcW w:w="2195" w:type="dxa"/>
            <w:vMerge/>
          </w:tcPr>
          <w:p w14:paraId="3A798B6F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63E6FE3C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2FB426A1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D3AB85E" w14:textId="77777777" w:rsidR="006B4E98" w:rsidRPr="005151A3" w:rsidRDefault="006B4E98" w:rsidP="001E6925">
            <w:pPr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BFCBB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851" w:type="dxa"/>
          </w:tcPr>
          <w:p w14:paraId="18F7C01E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Upper</w:t>
            </w:r>
          </w:p>
        </w:tc>
        <w:tc>
          <w:tcPr>
            <w:tcW w:w="773" w:type="dxa"/>
          </w:tcPr>
          <w:p w14:paraId="73920A0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49875AE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7E76FDA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  <w:gridSpan w:val="2"/>
          </w:tcPr>
          <w:p w14:paraId="74BAB74A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Arial"/>
                <w:b/>
                <w:color w:val="000000" w:themeColor="text1"/>
                <w:sz w:val="18"/>
                <w:szCs w:val="18"/>
              </w:rPr>
              <w:t>Lower</w:t>
            </w:r>
          </w:p>
        </w:tc>
        <w:tc>
          <w:tcPr>
            <w:tcW w:w="904" w:type="dxa"/>
          </w:tcPr>
          <w:p w14:paraId="3A167B75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Upper</w:t>
            </w:r>
          </w:p>
        </w:tc>
      </w:tr>
      <w:tr w:rsidR="006B4E98" w:rsidRPr="005151A3" w14:paraId="36D84AD0" w14:textId="77777777" w:rsidTr="001E6925">
        <w:trPr>
          <w:gridAfter w:val="3"/>
          <w:wAfter w:w="48" w:type="dxa"/>
          <w:trHeight w:val="304"/>
        </w:trPr>
        <w:tc>
          <w:tcPr>
            <w:tcW w:w="2195" w:type="dxa"/>
          </w:tcPr>
          <w:p w14:paraId="70C37309" w14:textId="77777777" w:rsidR="006B4E98" w:rsidRPr="005151A3" w:rsidRDefault="006B4E98" w:rsidP="001E6925">
            <w:pPr>
              <w:autoSpaceDE w:val="0"/>
              <w:autoSpaceDN w:val="0"/>
              <w:adjustRightInd w:val="0"/>
              <w:ind w:right="6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937" w:type="dxa"/>
          </w:tcPr>
          <w:p w14:paraId="152112B0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13.526</w:t>
            </w:r>
          </w:p>
        </w:tc>
        <w:tc>
          <w:tcPr>
            <w:tcW w:w="905" w:type="dxa"/>
          </w:tcPr>
          <w:p w14:paraId="30D6AB80" w14:textId="77777777" w:rsidR="006B4E98" w:rsidRPr="005151A3" w:rsidRDefault="006B4E98" w:rsidP="001E6925">
            <w:pPr>
              <w:autoSpaceDE w:val="0"/>
              <w:autoSpaceDN w:val="0"/>
              <w:adjustRightInd w:val="0"/>
              <w:ind w:right="6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367E24DE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1.023</w:t>
            </w:r>
          </w:p>
        </w:tc>
        <w:tc>
          <w:tcPr>
            <w:tcW w:w="850" w:type="dxa"/>
          </w:tcPr>
          <w:p w14:paraId="20592A8C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1.011</w:t>
            </w:r>
          </w:p>
        </w:tc>
        <w:tc>
          <w:tcPr>
            <w:tcW w:w="851" w:type="dxa"/>
          </w:tcPr>
          <w:p w14:paraId="17C204CB" w14:textId="77777777" w:rsidR="006B4E98" w:rsidRPr="005151A3" w:rsidRDefault="006B4E98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1.036</w:t>
            </w:r>
          </w:p>
        </w:tc>
        <w:tc>
          <w:tcPr>
            <w:tcW w:w="773" w:type="dxa"/>
          </w:tcPr>
          <w:p w14:paraId="093EA19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5.912</w:t>
            </w:r>
          </w:p>
        </w:tc>
        <w:tc>
          <w:tcPr>
            <w:tcW w:w="904" w:type="dxa"/>
            <w:gridSpan w:val="2"/>
          </w:tcPr>
          <w:p w14:paraId="42CAAA8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904" w:type="dxa"/>
            <w:gridSpan w:val="2"/>
          </w:tcPr>
          <w:p w14:paraId="73FDA4A2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1.019</w:t>
            </w:r>
          </w:p>
        </w:tc>
        <w:tc>
          <w:tcPr>
            <w:tcW w:w="904" w:type="dxa"/>
            <w:gridSpan w:val="2"/>
          </w:tcPr>
          <w:p w14:paraId="64A1CAA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1.004</w:t>
            </w:r>
          </w:p>
        </w:tc>
        <w:tc>
          <w:tcPr>
            <w:tcW w:w="904" w:type="dxa"/>
          </w:tcPr>
          <w:p w14:paraId="2DE7F615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  <w:r w:rsidRPr="005151A3">
              <w:rPr>
                <w:color w:val="000000" w:themeColor="text1"/>
              </w:rPr>
              <w:t>1.034</w:t>
            </w:r>
          </w:p>
        </w:tc>
      </w:tr>
      <w:tr w:rsidR="006B4E98" w:rsidRPr="005151A3" w14:paraId="41951655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22BAD678" w14:textId="77777777" w:rsidR="006B4E98" w:rsidRPr="005151A3" w:rsidRDefault="006B4E98" w:rsidP="001E6925">
            <w:pPr>
              <w:autoSpaceDE w:val="0"/>
              <w:autoSpaceDN w:val="0"/>
              <w:adjustRightInd w:val="0"/>
              <w:ind w:right="60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APACHE-II Score</w:t>
            </w:r>
          </w:p>
        </w:tc>
        <w:tc>
          <w:tcPr>
            <w:tcW w:w="937" w:type="dxa"/>
          </w:tcPr>
          <w:p w14:paraId="74C2895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20.902</w:t>
            </w:r>
          </w:p>
        </w:tc>
        <w:tc>
          <w:tcPr>
            <w:tcW w:w="905" w:type="dxa"/>
          </w:tcPr>
          <w:p w14:paraId="661ACC7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2D226AD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1.067</w:t>
            </w:r>
          </w:p>
        </w:tc>
        <w:tc>
          <w:tcPr>
            <w:tcW w:w="850" w:type="dxa"/>
          </w:tcPr>
          <w:p w14:paraId="1C6A694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1.038</w:t>
            </w:r>
          </w:p>
        </w:tc>
        <w:tc>
          <w:tcPr>
            <w:tcW w:w="851" w:type="dxa"/>
          </w:tcPr>
          <w:p w14:paraId="39552C6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1.098</w:t>
            </w:r>
          </w:p>
        </w:tc>
        <w:tc>
          <w:tcPr>
            <w:tcW w:w="773" w:type="dxa"/>
          </w:tcPr>
          <w:p w14:paraId="1394FE9A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8.815</w:t>
            </w:r>
          </w:p>
        </w:tc>
        <w:tc>
          <w:tcPr>
            <w:tcW w:w="904" w:type="dxa"/>
            <w:gridSpan w:val="2"/>
          </w:tcPr>
          <w:p w14:paraId="55F8209A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904" w:type="dxa"/>
            <w:gridSpan w:val="2"/>
          </w:tcPr>
          <w:p w14:paraId="2B0798C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1.052</w:t>
            </w:r>
          </w:p>
        </w:tc>
        <w:tc>
          <w:tcPr>
            <w:tcW w:w="904" w:type="dxa"/>
            <w:gridSpan w:val="2"/>
          </w:tcPr>
          <w:p w14:paraId="5D7DB6AE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1.017</w:t>
            </w:r>
          </w:p>
        </w:tc>
        <w:tc>
          <w:tcPr>
            <w:tcW w:w="904" w:type="dxa"/>
          </w:tcPr>
          <w:p w14:paraId="3AD6129E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  <w:r w:rsidRPr="005151A3">
              <w:rPr>
                <w:color w:val="000000" w:themeColor="text1"/>
              </w:rPr>
              <w:t>1.087</w:t>
            </w:r>
          </w:p>
        </w:tc>
      </w:tr>
      <w:tr w:rsidR="006B4E98" w:rsidRPr="005151A3" w14:paraId="1A19C1B2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0F869A0B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Presence of Psychiatric Disorder</w:t>
            </w:r>
          </w:p>
        </w:tc>
        <w:tc>
          <w:tcPr>
            <w:tcW w:w="937" w:type="dxa"/>
          </w:tcPr>
          <w:p w14:paraId="39D03F56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15.432</w:t>
            </w:r>
          </w:p>
        </w:tc>
        <w:tc>
          <w:tcPr>
            <w:tcW w:w="905" w:type="dxa"/>
          </w:tcPr>
          <w:p w14:paraId="051A879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65D0219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3.457</w:t>
            </w:r>
          </w:p>
        </w:tc>
        <w:tc>
          <w:tcPr>
            <w:tcW w:w="850" w:type="dxa"/>
          </w:tcPr>
          <w:p w14:paraId="7CA57C1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1.862</w:t>
            </w:r>
          </w:p>
        </w:tc>
        <w:tc>
          <w:tcPr>
            <w:tcW w:w="851" w:type="dxa"/>
          </w:tcPr>
          <w:p w14:paraId="739751B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6.420</w:t>
            </w:r>
          </w:p>
        </w:tc>
        <w:tc>
          <w:tcPr>
            <w:tcW w:w="773" w:type="dxa"/>
          </w:tcPr>
          <w:p w14:paraId="0F265942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13.663</w:t>
            </w:r>
          </w:p>
        </w:tc>
        <w:tc>
          <w:tcPr>
            <w:tcW w:w="904" w:type="dxa"/>
            <w:gridSpan w:val="2"/>
          </w:tcPr>
          <w:p w14:paraId="4D3AFDF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04" w:type="dxa"/>
            <w:gridSpan w:val="2"/>
          </w:tcPr>
          <w:p w14:paraId="6B2E918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4.452</w:t>
            </w:r>
          </w:p>
        </w:tc>
        <w:tc>
          <w:tcPr>
            <w:tcW w:w="904" w:type="dxa"/>
            <w:gridSpan w:val="2"/>
          </w:tcPr>
          <w:p w14:paraId="7492A25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2.017</w:t>
            </w:r>
          </w:p>
        </w:tc>
        <w:tc>
          <w:tcPr>
            <w:tcW w:w="904" w:type="dxa"/>
          </w:tcPr>
          <w:p w14:paraId="386BC964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  <w:r w:rsidRPr="005151A3">
              <w:rPr>
                <w:color w:val="000000" w:themeColor="text1"/>
              </w:rPr>
              <w:t>9.828</w:t>
            </w:r>
          </w:p>
        </w:tc>
      </w:tr>
      <w:tr w:rsidR="006B4E98" w:rsidRPr="005151A3" w14:paraId="77CFD94F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69287E43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Length of ICU Stay</w:t>
            </w:r>
          </w:p>
        </w:tc>
        <w:tc>
          <w:tcPr>
            <w:tcW w:w="937" w:type="dxa"/>
          </w:tcPr>
          <w:p w14:paraId="5180BDCF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0.416</w:t>
            </w:r>
          </w:p>
        </w:tc>
        <w:tc>
          <w:tcPr>
            <w:tcW w:w="905" w:type="dxa"/>
          </w:tcPr>
          <w:p w14:paraId="52FE968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0.519</w:t>
            </w:r>
          </w:p>
        </w:tc>
        <w:tc>
          <w:tcPr>
            <w:tcW w:w="851" w:type="dxa"/>
          </w:tcPr>
          <w:p w14:paraId="0BE0805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0.987</w:t>
            </w:r>
          </w:p>
        </w:tc>
        <w:tc>
          <w:tcPr>
            <w:tcW w:w="850" w:type="dxa"/>
          </w:tcPr>
          <w:p w14:paraId="3EA893A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0.947</w:t>
            </w:r>
          </w:p>
        </w:tc>
        <w:tc>
          <w:tcPr>
            <w:tcW w:w="851" w:type="dxa"/>
          </w:tcPr>
          <w:p w14:paraId="64342AE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773" w:type="dxa"/>
          </w:tcPr>
          <w:p w14:paraId="405FC31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4CBAF3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50D4F0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  <w:gridSpan w:val="2"/>
          </w:tcPr>
          <w:p w14:paraId="6A9DCA62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</w:tcPr>
          <w:p w14:paraId="426A01B2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</w:p>
        </w:tc>
      </w:tr>
      <w:tr w:rsidR="006B4E98" w:rsidRPr="005151A3" w14:paraId="7CAC6F70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7BD0AF1F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Followed in Arena</w:t>
            </w:r>
          </w:p>
        </w:tc>
        <w:tc>
          <w:tcPr>
            <w:tcW w:w="937" w:type="dxa"/>
          </w:tcPr>
          <w:p w14:paraId="0FDB292F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905" w:type="dxa"/>
          </w:tcPr>
          <w:p w14:paraId="65C7995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0.728</w:t>
            </w:r>
          </w:p>
        </w:tc>
        <w:tc>
          <w:tcPr>
            <w:tcW w:w="851" w:type="dxa"/>
          </w:tcPr>
          <w:p w14:paraId="35533B7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1.087</w:t>
            </w:r>
          </w:p>
        </w:tc>
        <w:tc>
          <w:tcPr>
            <w:tcW w:w="850" w:type="dxa"/>
          </w:tcPr>
          <w:p w14:paraId="551DCE73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0.679</w:t>
            </w:r>
          </w:p>
        </w:tc>
        <w:tc>
          <w:tcPr>
            <w:tcW w:w="851" w:type="dxa"/>
          </w:tcPr>
          <w:p w14:paraId="7385F9C6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773" w:type="dxa"/>
          </w:tcPr>
          <w:p w14:paraId="75CC25A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3CC5F5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2725BF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  <w:gridSpan w:val="2"/>
          </w:tcPr>
          <w:p w14:paraId="383E873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</w:tcPr>
          <w:p w14:paraId="51D53DB0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</w:p>
        </w:tc>
      </w:tr>
      <w:tr w:rsidR="006B4E98" w:rsidRPr="005151A3" w14:paraId="3265B65D" w14:textId="77777777" w:rsidTr="001E6925">
        <w:trPr>
          <w:gridAfter w:val="3"/>
          <w:wAfter w:w="48" w:type="dxa"/>
          <w:trHeight w:val="260"/>
        </w:trPr>
        <w:tc>
          <w:tcPr>
            <w:tcW w:w="2195" w:type="dxa"/>
          </w:tcPr>
          <w:p w14:paraId="7E3C081B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Use of Psychotropic/Sedative Drugs in ICU</w:t>
            </w:r>
          </w:p>
        </w:tc>
        <w:tc>
          <w:tcPr>
            <w:tcW w:w="937" w:type="dxa"/>
          </w:tcPr>
          <w:p w14:paraId="600FEDB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18.151</w:t>
            </w:r>
          </w:p>
        </w:tc>
        <w:tc>
          <w:tcPr>
            <w:tcW w:w="905" w:type="dxa"/>
          </w:tcPr>
          <w:p w14:paraId="5E1F73B3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77A67B48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3.359</w:t>
            </w:r>
          </w:p>
        </w:tc>
        <w:tc>
          <w:tcPr>
            <w:tcW w:w="850" w:type="dxa"/>
          </w:tcPr>
          <w:p w14:paraId="48D4708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1.924</w:t>
            </w:r>
          </w:p>
        </w:tc>
        <w:tc>
          <w:tcPr>
            <w:tcW w:w="851" w:type="dxa"/>
          </w:tcPr>
          <w:p w14:paraId="18ED5F6F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5.864</w:t>
            </w:r>
          </w:p>
        </w:tc>
        <w:tc>
          <w:tcPr>
            <w:tcW w:w="773" w:type="dxa"/>
          </w:tcPr>
          <w:p w14:paraId="6572D2E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5.726</w:t>
            </w:r>
          </w:p>
        </w:tc>
        <w:tc>
          <w:tcPr>
            <w:tcW w:w="904" w:type="dxa"/>
            <w:gridSpan w:val="2"/>
          </w:tcPr>
          <w:p w14:paraId="0110EC5E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904" w:type="dxa"/>
            <w:gridSpan w:val="2"/>
          </w:tcPr>
          <w:p w14:paraId="0148717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2.608</w:t>
            </w:r>
          </w:p>
        </w:tc>
        <w:tc>
          <w:tcPr>
            <w:tcW w:w="904" w:type="dxa"/>
            <w:gridSpan w:val="2"/>
          </w:tcPr>
          <w:p w14:paraId="5335DF96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1.189</w:t>
            </w:r>
          </w:p>
        </w:tc>
        <w:tc>
          <w:tcPr>
            <w:tcW w:w="904" w:type="dxa"/>
          </w:tcPr>
          <w:p w14:paraId="54CF5E69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  <w:r w:rsidRPr="005151A3">
              <w:rPr>
                <w:color w:val="000000" w:themeColor="text1"/>
              </w:rPr>
              <w:t>5.719</w:t>
            </w:r>
          </w:p>
        </w:tc>
      </w:tr>
      <w:tr w:rsidR="006B4E98" w:rsidRPr="005151A3" w14:paraId="24237010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0311EDEC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Need for MV</w:t>
            </w:r>
          </w:p>
        </w:tc>
        <w:tc>
          <w:tcPr>
            <w:tcW w:w="937" w:type="dxa"/>
          </w:tcPr>
          <w:p w14:paraId="61E12BEF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</w:tcPr>
          <w:p w14:paraId="165F4852" w14:textId="77777777" w:rsidR="006B4E98" w:rsidRPr="005151A3" w:rsidRDefault="006B4E98" w:rsidP="001E6925">
            <w:pPr>
              <w:jc w:val="center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6629C2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5CEB9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C7D4B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</w:tcPr>
          <w:p w14:paraId="3237E218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4E9915B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F7A1358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  <w:gridSpan w:val="2"/>
          </w:tcPr>
          <w:p w14:paraId="7944F52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</w:tcPr>
          <w:p w14:paraId="657DBF5E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</w:p>
        </w:tc>
      </w:tr>
      <w:tr w:rsidR="006B4E98" w:rsidRPr="005151A3" w14:paraId="7FB5F781" w14:textId="77777777" w:rsidTr="001E6925">
        <w:trPr>
          <w:gridAfter w:val="3"/>
          <w:wAfter w:w="48" w:type="dxa"/>
          <w:trHeight w:val="247"/>
        </w:trPr>
        <w:tc>
          <w:tcPr>
            <w:tcW w:w="2195" w:type="dxa"/>
          </w:tcPr>
          <w:p w14:paraId="7E8ED366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NIMV</w:t>
            </w:r>
          </w:p>
        </w:tc>
        <w:tc>
          <w:tcPr>
            <w:tcW w:w="937" w:type="dxa"/>
          </w:tcPr>
          <w:p w14:paraId="4850FC18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16.781</w:t>
            </w:r>
          </w:p>
        </w:tc>
        <w:tc>
          <w:tcPr>
            <w:tcW w:w="905" w:type="dxa"/>
          </w:tcPr>
          <w:p w14:paraId="65E4114A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Arial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7978254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2.475</w:t>
            </w:r>
          </w:p>
        </w:tc>
        <w:tc>
          <w:tcPr>
            <w:tcW w:w="850" w:type="dxa"/>
          </w:tcPr>
          <w:p w14:paraId="113B66D2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1.604</w:t>
            </w:r>
          </w:p>
        </w:tc>
        <w:tc>
          <w:tcPr>
            <w:tcW w:w="851" w:type="dxa"/>
          </w:tcPr>
          <w:p w14:paraId="2EE43F2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3.818</w:t>
            </w:r>
          </w:p>
        </w:tc>
        <w:tc>
          <w:tcPr>
            <w:tcW w:w="773" w:type="dxa"/>
          </w:tcPr>
          <w:p w14:paraId="0557DC9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9.818</w:t>
            </w:r>
          </w:p>
        </w:tc>
        <w:tc>
          <w:tcPr>
            <w:tcW w:w="904" w:type="dxa"/>
            <w:gridSpan w:val="2"/>
          </w:tcPr>
          <w:p w14:paraId="16B563E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904" w:type="dxa"/>
            <w:gridSpan w:val="2"/>
          </w:tcPr>
          <w:p w14:paraId="47C60B0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2.165</w:t>
            </w:r>
          </w:p>
        </w:tc>
        <w:tc>
          <w:tcPr>
            <w:tcW w:w="904" w:type="dxa"/>
            <w:gridSpan w:val="2"/>
          </w:tcPr>
          <w:p w14:paraId="13A1E64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  <w:r w:rsidRPr="005151A3">
              <w:rPr>
                <w:rFonts w:ascii="Times" w:hAnsi="Times"/>
                <w:color w:val="000000" w:themeColor="text1"/>
              </w:rPr>
              <w:t>1.336</w:t>
            </w:r>
          </w:p>
        </w:tc>
        <w:tc>
          <w:tcPr>
            <w:tcW w:w="904" w:type="dxa"/>
          </w:tcPr>
          <w:p w14:paraId="450C30B9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  <w:r w:rsidRPr="005151A3">
              <w:rPr>
                <w:color w:val="000000" w:themeColor="text1"/>
              </w:rPr>
              <w:t>3.511</w:t>
            </w:r>
          </w:p>
        </w:tc>
      </w:tr>
      <w:tr w:rsidR="006B4E98" w:rsidRPr="005151A3" w14:paraId="4CCCBF6B" w14:textId="77777777" w:rsidTr="001E6925">
        <w:trPr>
          <w:gridAfter w:val="3"/>
          <w:wAfter w:w="48" w:type="dxa"/>
          <w:trHeight w:val="260"/>
        </w:trPr>
        <w:tc>
          <w:tcPr>
            <w:tcW w:w="2195" w:type="dxa"/>
          </w:tcPr>
          <w:p w14:paraId="02E508F4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IMV</w:t>
            </w:r>
          </w:p>
        </w:tc>
        <w:tc>
          <w:tcPr>
            <w:tcW w:w="937" w:type="dxa"/>
          </w:tcPr>
          <w:p w14:paraId="27951A23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0.156</w:t>
            </w:r>
          </w:p>
        </w:tc>
        <w:tc>
          <w:tcPr>
            <w:tcW w:w="905" w:type="dxa"/>
          </w:tcPr>
          <w:p w14:paraId="1E186B9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0.692</w:t>
            </w:r>
          </w:p>
        </w:tc>
        <w:tc>
          <w:tcPr>
            <w:tcW w:w="851" w:type="dxa"/>
          </w:tcPr>
          <w:p w14:paraId="29E527AD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0.842</w:t>
            </w:r>
          </w:p>
        </w:tc>
        <w:tc>
          <w:tcPr>
            <w:tcW w:w="850" w:type="dxa"/>
          </w:tcPr>
          <w:p w14:paraId="572FCFD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0.360</w:t>
            </w:r>
          </w:p>
        </w:tc>
        <w:tc>
          <w:tcPr>
            <w:tcW w:w="851" w:type="dxa"/>
          </w:tcPr>
          <w:p w14:paraId="6044791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1.972</w:t>
            </w:r>
          </w:p>
        </w:tc>
        <w:tc>
          <w:tcPr>
            <w:tcW w:w="773" w:type="dxa"/>
          </w:tcPr>
          <w:p w14:paraId="3DE5497B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040D864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2BA2C99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  <w:gridSpan w:val="2"/>
          </w:tcPr>
          <w:p w14:paraId="6B4DD33B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</w:tcPr>
          <w:p w14:paraId="23AD5CC5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</w:p>
        </w:tc>
      </w:tr>
      <w:tr w:rsidR="006B4E98" w:rsidRPr="005151A3" w14:paraId="0D3A7F62" w14:textId="77777777" w:rsidTr="001E6925">
        <w:trPr>
          <w:gridAfter w:val="3"/>
          <w:wAfter w:w="48" w:type="dxa"/>
          <w:trHeight w:val="64"/>
        </w:trPr>
        <w:tc>
          <w:tcPr>
            <w:tcW w:w="2195" w:type="dxa"/>
          </w:tcPr>
          <w:p w14:paraId="65D83B25" w14:textId="77777777" w:rsidR="006B4E98" w:rsidRPr="005151A3" w:rsidRDefault="006B4E98" w:rsidP="001E6925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ICU Admission Due to Suicide Attempt</w:t>
            </w:r>
          </w:p>
        </w:tc>
        <w:tc>
          <w:tcPr>
            <w:tcW w:w="937" w:type="dxa"/>
          </w:tcPr>
          <w:p w14:paraId="3361DB06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905" w:type="dxa"/>
          </w:tcPr>
          <w:p w14:paraId="4C1C543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0.711</w:t>
            </w:r>
          </w:p>
        </w:tc>
        <w:tc>
          <w:tcPr>
            <w:tcW w:w="851" w:type="dxa"/>
          </w:tcPr>
          <w:p w14:paraId="75D69B90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1.176</w:t>
            </w:r>
          </w:p>
        </w:tc>
        <w:tc>
          <w:tcPr>
            <w:tcW w:w="850" w:type="dxa"/>
          </w:tcPr>
          <w:p w14:paraId="451AD341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0.498</w:t>
            </w:r>
          </w:p>
        </w:tc>
        <w:tc>
          <w:tcPr>
            <w:tcW w:w="851" w:type="dxa"/>
          </w:tcPr>
          <w:p w14:paraId="31274CD7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color w:val="000000" w:themeColor="text1"/>
                <w:sz w:val="20"/>
                <w:szCs w:val="20"/>
              </w:rPr>
              <w:t>2.781</w:t>
            </w:r>
          </w:p>
        </w:tc>
        <w:tc>
          <w:tcPr>
            <w:tcW w:w="773" w:type="dxa"/>
          </w:tcPr>
          <w:p w14:paraId="4BBBA0FB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81BA4F5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7943ACC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  <w:gridSpan w:val="2"/>
          </w:tcPr>
          <w:p w14:paraId="6CA07E3F" w14:textId="77777777" w:rsidR="006B4E98" w:rsidRPr="005151A3" w:rsidRDefault="006B4E98" w:rsidP="001E6925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904" w:type="dxa"/>
          </w:tcPr>
          <w:p w14:paraId="6418246E" w14:textId="77777777" w:rsidR="006B4E98" w:rsidRPr="005151A3" w:rsidRDefault="006B4E98" w:rsidP="001E6925">
            <w:pPr>
              <w:jc w:val="center"/>
              <w:rPr>
                <w:color w:val="000000" w:themeColor="text1"/>
              </w:rPr>
            </w:pPr>
          </w:p>
        </w:tc>
      </w:tr>
      <w:tr w:rsidR="006B4E98" w:rsidRPr="005151A3" w14:paraId="6B83B8D8" w14:textId="77777777" w:rsidTr="001E6925">
        <w:trPr>
          <w:trHeight w:val="64"/>
        </w:trPr>
        <w:tc>
          <w:tcPr>
            <w:tcW w:w="11026" w:type="dxa"/>
            <w:gridSpan w:val="17"/>
          </w:tcPr>
          <w:p w14:paraId="183589E7" w14:textId="77777777" w:rsidR="006B4E98" w:rsidRPr="005151A3" w:rsidRDefault="006B4E98" w:rsidP="001E6925">
            <w:pPr>
              <w:spacing w:before="100" w:beforeAutospacing="1" w:after="100" w:afterAutospacing="1"/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</w:pPr>
            <w:r w:rsidRPr="005151A3"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  <w:t>APACHE-II: Acute Physiology and Chronic Health Evaluation-II; ICU: Intensive Care Unit; MV: Mechanical Ventilation; NIMV: Non-Invasive Mechanical Ventilation; IMV: Invasive Mechanical Ventilation</w:t>
            </w:r>
          </w:p>
          <w:p w14:paraId="58F81857" w14:textId="77777777" w:rsidR="006B4E98" w:rsidRPr="005151A3" w:rsidRDefault="006B4E98" w:rsidP="001E6925">
            <w:pPr>
              <w:jc w:val="both"/>
              <w:rPr>
                <w:rFonts w:ascii="Times" w:hAnsi="Time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/>
                <w:b/>
                <w:bCs/>
                <w:i/>
                <w:iCs/>
                <w:color w:val="000000" w:themeColor="text1"/>
                <w:sz w:val="20"/>
                <w:szCs w:val="20"/>
              </w:rPr>
              <w:t>Univariate and Multivariate Logistic Regression analysis for prediction of the IPAT</w:t>
            </w:r>
            <w:r w:rsidRPr="005151A3">
              <w:rPr>
                <w:rFonts w:ascii="Times" w:hAnsi="Times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≥</w:t>
            </w:r>
            <w:r w:rsidRPr="005151A3">
              <w:rPr>
                <w:rFonts w:ascii="Times" w:hAnsi="Times"/>
                <w:b/>
                <w:bCs/>
                <w:i/>
                <w:iCs/>
                <w:color w:val="000000" w:themeColor="text1"/>
                <w:sz w:val="20"/>
                <w:szCs w:val="20"/>
              </w:rPr>
              <w:t>6  risk. Wald: test statistics, OR: Odds  ratio, enter model. Statistically significant p-values are in bold.</w:t>
            </w:r>
          </w:p>
          <w:p w14:paraId="40CAAF00" w14:textId="77777777" w:rsidR="006B4E98" w:rsidRPr="005151A3" w:rsidRDefault="006B4E98" w:rsidP="001E6925">
            <w:pPr>
              <w:jc w:val="both"/>
              <w:rPr>
                <w:rFonts w:ascii="Times" w:hAnsi="Time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3AA87455" w14:textId="77777777" w:rsidR="006B4E98" w:rsidRPr="005151A3" w:rsidRDefault="006B4E98" w:rsidP="001E6925">
            <w:pPr>
              <w:spacing w:before="100" w:beforeAutospacing="1" w:after="100" w:afterAutospacing="1"/>
              <w:rPr>
                <w:rFonts w:ascii="Times" w:hAnsi="Times"/>
                <w:color w:val="000000" w:themeColor="text1"/>
              </w:rPr>
            </w:pPr>
          </w:p>
        </w:tc>
      </w:tr>
    </w:tbl>
    <w:p w14:paraId="375719C0" w14:textId="77777777" w:rsidR="006B4E98" w:rsidRPr="005151A3" w:rsidRDefault="006B4E98" w:rsidP="006B4E98">
      <w:pPr>
        <w:pStyle w:val="NormalWeb"/>
        <w:spacing w:line="480" w:lineRule="auto"/>
        <w:jc w:val="both"/>
        <w:rPr>
          <w:b/>
          <w:color w:val="000000" w:themeColor="text1"/>
          <w:sz w:val="22"/>
          <w:szCs w:val="22"/>
        </w:rPr>
      </w:pPr>
    </w:p>
    <w:p w14:paraId="2C8E54CF" w14:textId="77777777" w:rsidR="008F5183" w:rsidRPr="005151A3" w:rsidRDefault="008F5183" w:rsidP="008F5183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5151A3">
        <w:rPr>
          <w:rFonts w:ascii="Times New Roman" w:hAnsi="Times New Roman" w:cs="Times New Roman"/>
          <w:b/>
          <w:color w:val="000000" w:themeColor="text1"/>
        </w:rPr>
        <w:t>Table-2. Comparison of Variables According to IPAT Score</w:t>
      </w:r>
    </w:p>
    <w:tbl>
      <w:tblPr>
        <w:tblStyle w:val="TableGrid"/>
        <w:tblW w:w="9619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2389"/>
        <w:gridCol w:w="1418"/>
        <w:gridCol w:w="850"/>
        <w:gridCol w:w="1134"/>
        <w:gridCol w:w="993"/>
        <w:gridCol w:w="1222"/>
        <w:gridCol w:w="1613"/>
      </w:tblGrid>
      <w:tr w:rsidR="008F5183" w:rsidRPr="005151A3" w14:paraId="11FF0B85" w14:textId="77777777" w:rsidTr="001E6925">
        <w:tc>
          <w:tcPr>
            <w:tcW w:w="3807" w:type="dxa"/>
            <w:gridSpan w:val="2"/>
            <w:vMerge w:val="restart"/>
          </w:tcPr>
          <w:p w14:paraId="6B5841C5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" w:eastAsia="Calibri" w:hAnsi="Times" w:cs="Times New Roman"/>
                <w:color w:val="000000" w:themeColor="text1"/>
              </w:rPr>
            </w:pPr>
          </w:p>
        </w:tc>
        <w:tc>
          <w:tcPr>
            <w:tcW w:w="4199" w:type="dxa"/>
            <w:gridSpan w:val="4"/>
          </w:tcPr>
          <w:p w14:paraId="33E0101D" w14:textId="77777777" w:rsidR="008F5183" w:rsidRPr="005151A3" w:rsidRDefault="008F5183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IPAT Score</w:t>
            </w:r>
          </w:p>
        </w:tc>
        <w:tc>
          <w:tcPr>
            <w:tcW w:w="1613" w:type="dxa"/>
            <w:vMerge w:val="restart"/>
            <w:vAlign w:val="center"/>
          </w:tcPr>
          <w:p w14:paraId="35D6F197" w14:textId="77777777" w:rsidR="008F5183" w:rsidRPr="005151A3" w:rsidRDefault="008F5183" w:rsidP="001E692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p</w:t>
            </w:r>
          </w:p>
        </w:tc>
      </w:tr>
      <w:tr w:rsidR="008F5183" w:rsidRPr="005151A3" w14:paraId="2BA2E810" w14:textId="77777777" w:rsidTr="001E6925">
        <w:tc>
          <w:tcPr>
            <w:tcW w:w="3807" w:type="dxa"/>
            <w:gridSpan w:val="2"/>
            <w:vMerge/>
          </w:tcPr>
          <w:p w14:paraId="0069A2BF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6F951A0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&lt;6</w:t>
            </w:r>
          </w:p>
        </w:tc>
        <w:tc>
          <w:tcPr>
            <w:tcW w:w="2215" w:type="dxa"/>
            <w:gridSpan w:val="2"/>
          </w:tcPr>
          <w:p w14:paraId="46156C6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≥6</w:t>
            </w:r>
          </w:p>
        </w:tc>
        <w:tc>
          <w:tcPr>
            <w:tcW w:w="1613" w:type="dxa"/>
            <w:vMerge/>
          </w:tcPr>
          <w:p w14:paraId="3EED2B4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4AC3EB38" w14:textId="77777777" w:rsidTr="001E6925">
        <w:tc>
          <w:tcPr>
            <w:tcW w:w="3807" w:type="dxa"/>
            <w:gridSpan w:val="2"/>
            <w:vMerge/>
          </w:tcPr>
          <w:p w14:paraId="23AD8568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2E3A73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n:211</w:t>
            </w:r>
          </w:p>
        </w:tc>
        <w:tc>
          <w:tcPr>
            <w:tcW w:w="1134" w:type="dxa"/>
          </w:tcPr>
          <w:p w14:paraId="0292F147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93" w:type="dxa"/>
          </w:tcPr>
          <w:p w14:paraId="5A3EF3C7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n:181</w:t>
            </w:r>
          </w:p>
        </w:tc>
        <w:tc>
          <w:tcPr>
            <w:tcW w:w="1222" w:type="dxa"/>
          </w:tcPr>
          <w:p w14:paraId="3C1B01F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613" w:type="dxa"/>
            <w:vMerge/>
          </w:tcPr>
          <w:p w14:paraId="73276E6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2B16B0CC" w14:textId="77777777" w:rsidTr="001E6925">
        <w:tc>
          <w:tcPr>
            <w:tcW w:w="2389" w:type="dxa"/>
            <w:vMerge w:val="restart"/>
            <w:vAlign w:val="center"/>
          </w:tcPr>
          <w:p w14:paraId="59238FF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t>Gender</w:t>
            </w:r>
          </w:p>
        </w:tc>
        <w:tc>
          <w:tcPr>
            <w:tcW w:w="1418" w:type="dxa"/>
            <w:vAlign w:val="center"/>
          </w:tcPr>
          <w:p w14:paraId="4457FC8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Male</w:t>
            </w:r>
          </w:p>
        </w:tc>
        <w:tc>
          <w:tcPr>
            <w:tcW w:w="850" w:type="dxa"/>
            <w:vAlign w:val="center"/>
          </w:tcPr>
          <w:p w14:paraId="7E7EDD0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1134" w:type="dxa"/>
            <w:vAlign w:val="center"/>
          </w:tcPr>
          <w:p w14:paraId="63F1E1D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70.1%</w:t>
            </w:r>
          </w:p>
        </w:tc>
        <w:tc>
          <w:tcPr>
            <w:tcW w:w="993" w:type="dxa"/>
            <w:vAlign w:val="center"/>
          </w:tcPr>
          <w:p w14:paraId="51717A2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1222" w:type="dxa"/>
            <w:vAlign w:val="center"/>
          </w:tcPr>
          <w:p w14:paraId="0966FDF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61.3%</w:t>
            </w:r>
          </w:p>
        </w:tc>
        <w:tc>
          <w:tcPr>
            <w:tcW w:w="1613" w:type="dxa"/>
            <w:vMerge w:val="restart"/>
            <w:vAlign w:val="center"/>
          </w:tcPr>
          <w:p w14:paraId="4F2A76A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0.066</w:t>
            </w:r>
          </w:p>
        </w:tc>
      </w:tr>
      <w:tr w:rsidR="008F5183" w:rsidRPr="005151A3" w14:paraId="35266939" w14:textId="77777777" w:rsidTr="001E6925">
        <w:tc>
          <w:tcPr>
            <w:tcW w:w="2389" w:type="dxa"/>
            <w:vMerge/>
            <w:vAlign w:val="center"/>
          </w:tcPr>
          <w:p w14:paraId="20894A91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DFE68F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850" w:type="dxa"/>
            <w:vAlign w:val="center"/>
          </w:tcPr>
          <w:p w14:paraId="340D2F0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14:paraId="78D2304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29.9%</w:t>
            </w:r>
          </w:p>
        </w:tc>
        <w:tc>
          <w:tcPr>
            <w:tcW w:w="993" w:type="dxa"/>
            <w:vAlign w:val="center"/>
          </w:tcPr>
          <w:p w14:paraId="3293F77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222" w:type="dxa"/>
            <w:vAlign w:val="center"/>
          </w:tcPr>
          <w:p w14:paraId="7189E6B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38.7%</w:t>
            </w:r>
          </w:p>
        </w:tc>
        <w:tc>
          <w:tcPr>
            <w:tcW w:w="1613" w:type="dxa"/>
            <w:vMerge/>
            <w:vAlign w:val="center"/>
          </w:tcPr>
          <w:p w14:paraId="52662F0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116AEBB1" w14:textId="77777777" w:rsidTr="001E6925">
        <w:tc>
          <w:tcPr>
            <w:tcW w:w="2389" w:type="dxa"/>
            <w:vMerge w:val="restart"/>
            <w:vAlign w:val="center"/>
          </w:tcPr>
          <w:p w14:paraId="1D9F6F1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Psychiatric Disorder</w:t>
            </w:r>
          </w:p>
        </w:tc>
        <w:tc>
          <w:tcPr>
            <w:tcW w:w="1418" w:type="dxa"/>
            <w:vAlign w:val="center"/>
          </w:tcPr>
          <w:p w14:paraId="0875DF3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50" w:type="dxa"/>
            <w:vAlign w:val="center"/>
          </w:tcPr>
          <w:p w14:paraId="2CFFE46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1134" w:type="dxa"/>
            <w:vAlign w:val="center"/>
          </w:tcPr>
          <w:p w14:paraId="6FE9B3C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92.4%</w:t>
            </w:r>
          </w:p>
        </w:tc>
        <w:tc>
          <w:tcPr>
            <w:tcW w:w="993" w:type="dxa"/>
            <w:vAlign w:val="center"/>
          </w:tcPr>
          <w:p w14:paraId="73A1F4B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141</w:t>
            </w:r>
          </w:p>
        </w:tc>
        <w:tc>
          <w:tcPr>
            <w:tcW w:w="1222" w:type="dxa"/>
            <w:vAlign w:val="center"/>
          </w:tcPr>
          <w:p w14:paraId="2736D9C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77.9%</w:t>
            </w:r>
          </w:p>
        </w:tc>
        <w:tc>
          <w:tcPr>
            <w:tcW w:w="1613" w:type="dxa"/>
            <w:vMerge w:val="restart"/>
            <w:vAlign w:val="center"/>
          </w:tcPr>
          <w:p w14:paraId="7E4E003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7CE2927E" w14:textId="77777777" w:rsidTr="001E6925">
        <w:tc>
          <w:tcPr>
            <w:tcW w:w="2389" w:type="dxa"/>
            <w:vMerge/>
            <w:vAlign w:val="center"/>
          </w:tcPr>
          <w:p w14:paraId="4DE09148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B3268E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50" w:type="dxa"/>
            <w:vAlign w:val="center"/>
          </w:tcPr>
          <w:p w14:paraId="17EF0F0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49215B3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7.6%</w:t>
            </w:r>
          </w:p>
        </w:tc>
        <w:tc>
          <w:tcPr>
            <w:tcW w:w="993" w:type="dxa"/>
            <w:vAlign w:val="center"/>
          </w:tcPr>
          <w:p w14:paraId="1FB4F94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222" w:type="dxa"/>
            <w:vAlign w:val="center"/>
          </w:tcPr>
          <w:p w14:paraId="7CCB669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22.1%</w:t>
            </w:r>
          </w:p>
        </w:tc>
        <w:tc>
          <w:tcPr>
            <w:tcW w:w="1613" w:type="dxa"/>
            <w:vMerge/>
            <w:vAlign w:val="center"/>
          </w:tcPr>
          <w:p w14:paraId="222B943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75875956" w14:textId="77777777" w:rsidTr="001E6925">
        <w:tc>
          <w:tcPr>
            <w:tcW w:w="2389" w:type="dxa"/>
            <w:vMerge w:val="restart"/>
            <w:vAlign w:val="center"/>
          </w:tcPr>
          <w:p w14:paraId="1B1ADDA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Current Use of Psychotropic Medication</w:t>
            </w:r>
          </w:p>
        </w:tc>
        <w:tc>
          <w:tcPr>
            <w:tcW w:w="1418" w:type="dxa"/>
            <w:vAlign w:val="center"/>
          </w:tcPr>
          <w:p w14:paraId="70B6A03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50" w:type="dxa"/>
            <w:vAlign w:val="center"/>
          </w:tcPr>
          <w:p w14:paraId="292C650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1134" w:type="dxa"/>
            <w:vAlign w:val="center"/>
          </w:tcPr>
          <w:p w14:paraId="272D50E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92.4%</w:t>
            </w:r>
          </w:p>
        </w:tc>
        <w:tc>
          <w:tcPr>
            <w:tcW w:w="993" w:type="dxa"/>
            <w:vAlign w:val="center"/>
          </w:tcPr>
          <w:p w14:paraId="10859C1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1222" w:type="dxa"/>
            <w:vAlign w:val="center"/>
          </w:tcPr>
          <w:p w14:paraId="70C0EC1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79.6%</w:t>
            </w:r>
          </w:p>
        </w:tc>
        <w:tc>
          <w:tcPr>
            <w:tcW w:w="1613" w:type="dxa"/>
            <w:vMerge w:val="restart"/>
            <w:vAlign w:val="center"/>
          </w:tcPr>
          <w:p w14:paraId="342E7691" w14:textId="77777777" w:rsidR="008F5183" w:rsidRPr="005151A3" w:rsidRDefault="008F5183" w:rsidP="001E6925">
            <w:pPr>
              <w:jc w:val="center"/>
              <w:rPr>
                <w:rFonts w:ascii="Times" w:eastAsia="Calibri" w:hAnsi="Times" w:cs="Times New Roman"/>
                <w:b/>
                <w:color w:val="000000" w:themeColor="text1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68FBED8C" w14:textId="77777777" w:rsidTr="001E6925">
        <w:tc>
          <w:tcPr>
            <w:tcW w:w="2389" w:type="dxa"/>
            <w:vMerge/>
            <w:vAlign w:val="center"/>
          </w:tcPr>
          <w:p w14:paraId="647B2F14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4C9EF6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50" w:type="dxa"/>
            <w:vAlign w:val="center"/>
          </w:tcPr>
          <w:p w14:paraId="31F213C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EEE104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7.6%</w:t>
            </w:r>
          </w:p>
        </w:tc>
        <w:tc>
          <w:tcPr>
            <w:tcW w:w="993" w:type="dxa"/>
            <w:vAlign w:val="center"/>
          </w:tcPr>
          <w:p w14:paraId="7DF2B90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222" w:type="dxa"/>
            <w:vAlign w:val="center"/>
          </w:tcPr>
          <w:p w14:paraId="63B1F1F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20.4%</w:t>
            </w:r>
          </w:p>
        </w:tc>
        <w:tc>
          <w:tcPr>
            <w:tcW w:w="1613" w:type="dxa"/>
            <w:vMerge/>
            <w:vAlign w:val="center"/>
          </w:tcPr>
          <w:p w14:paraId="3C9CDDF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5FC51A18" w14:textId="77777777" w:rsidTr="001E6925">
        <w:tc>
          <w:tcPr>
            <w:tcW w:w="2389" w:type="dxa"/>
            <w:vMerge w:val="restart"/>
            <w:vAlign w:val="center"/>
          </w:tcPr>
          <w:p w14:paraId="23D5032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Psychiatric Consultation During ICU Stay</w:t>
            </w:r>
          </w:p>
        </w:tc>
        <w:tc>
          <w:tcPr>
            <w:tcW w:w="1418" w:type="dxa"/>
            <w:vAlign w:val="center"/>
          </w:tcPr>
          <w:p w14:paraId="3DE5D8B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50" w:type="dxa"/>
            <w:vAlign w:val="center"/>
          </w:tcPr>
          <w:p w14:paraId="35B7A22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202</w:t>
            </w:r>
          </w:p>
        </w:tc>
        <w:tc>
          <w:tcPr>
            <w:tcW w:w="1134" w:type="dxa"/>
            <w:vAlign w:val="center"/>
          </w:tcPr>
          <w:p w14:paraId="60D4521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95.7%</w:t>
            </w:r>
          </w:p>
        </w:tc>
        <w:tc>
          <w:tcPr>
            <w:tcW w:w="993" w:type="dxa"/>
            <w:vAlign w:val="center"/>
          </w:tcPr>
          <w:p w14:paraId="4C5DFE5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155</w:t>
            </w:r>
          </w:p>
        </w:tc>
        <w:tc>
          <w:tcPr>
            <w:tcW w:w="1222" w:type="dxa"/>
            <w:vAlign w:val="center"/>
          </w:tcPr>
          <w:p w14:paraId="4CF436F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85.6%</w:t>
            </w:r>
          </w:p>
        </w:tc>
        <w:tc>
          <w:tcPr>
            <w:tcW w:w="1613" w:type="dxa"/>
            <w:vMerge w:val="restart"/>
            <w:vAlign w:val="center"/>
          </w:tcPr>
          <w:p w14:paraId="4FED5AE6" w14:textId="77777777" w:rsidR="008F5183" w:rsidRPr="005151A3" w:rsidRDefault="008F5183" w:rsidP="001E6925">
            <w:pPr>
              <w:jc w:val="center"/>
              <w:rPr>
                <w:rFonts w:ascii="Times" w:eastAsia="Calibri" w:hAnsi="Times" w:cs="Times New Roman"/>
                <w:b/>
                <w:color w:val="000000" w:themeColor="text1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176449F0" w14:textId="77777777" w:rsidTr="001E6925">
        <w:tc>
          <w:tcPr>
            <w:tcW w:w="2389" w:type="dxa"/>
            <w:vMerge/>
            <w:vAlign w:val="center"/>
          </w:tcPr>
          <w:p w14:paraId="2787042E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1B81D0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50" w:type="dxa"/>
            <w:vAlign w:val="center"/>
          </w:tcPr>
          <w:p w14:paraId="0F3F220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04089FF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4.3%</w:t>
            </w:r>
          </w:p>
        </w:tc>
        <w:tc>
          <w:tcPr>
            <w:tcW w:w="993" w:type="dxa"/>
            <w:vAlign w:val="center"/>
          </w:tcPr>
          <w:p w14:paraId="59ED8D2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22" w:type="dxa"/>
            <w:vAlign w:val="center"/>
          </w:tcPr>
          <w:p w14:paraId="094D543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14.4%</w:t>
            </w:r>
          </w:p>
        </w:tc>
        <w:tc>
          <w:tcPr>
            <w:tcW w:w="1613" w:type="dxa"/>
            <w:vMerge/>
            <w:vAlign w:val="center"/>
          </w:tcPr>
          <w:p w14:paraId="76A447D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701E6633" w14:textId="77777777" w:rsidTr="001E6925">
        <w:tc>
          <w:tcPr>
            <w:tcW w:w="2389" w:type="dxa"/>
            <w:vMerge w:val="restart"/>
            <w:vAlign w:val="center"/>
          </w:tcPr>
          <w:p w14:paraId="7D753F6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Delirium During ICU Stay</w:t>
            </w:r>
          </w:p>
        </w:tc>
        <w:tc>
          <w:tcPr>
            <w:tcW w:w="1418" w:type="dxa"/>
            <w:vAlign w:val="center"/>
          </w:tcPr>
          <w:p w14:paraId="160E034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 xml:space="preserve">None </w:t>
            </w:r>
          </w:p>
        </w:tc>
        <w:tc>
          <w:tcPr>
            <w:tcW w:w="850" w:type="dxa"/>
            <w:vAlign w:val="center"/>
          </w:tcPr>
          <w:p w14:paraId="32A0586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211</w:t>
            </w:r>
          </w:p>
        </w:tc>
        <w:tc>
          <w:tcPr>
            <w:tcW w:w="1134" w:type="dxa"/>
            <w:vAlign w:val="center"/>
          </w:tcPr>
          <w:p w14:paraId="4C6BC48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100.0%</w:t>
            </w:r>
          </w:p>
        </w:tc>
        <w:tc>
          <w:tcPr>
            <w:tcW w:w="993" w:type="dxa"/>
            <w:vAlign w:val="center"/>
          </w:tcPr>
          <w:p w14:paraId="5D5E49F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154</w:t>
            </w:r>
          </w:p>
        </w:tc>
        <w:tc>
          <w:tcPr>
            <w:tcW w:w="1222" w:type="dxa"/>
            <w:vAlign w:val="center"/>
          </w:tcPr>
          <w:p w14:paraId="0548CFB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85.1%</w:t>
            </w:r>
          </w:p>
        </w:tc>
        <w:tc>
          <w:tcPr>
            <w:tcW w:w="1613" w:type="dxa"/>
            <w:vMerge w:val="restart"/>
            <w:vAlign w:val="center"/>
          </w:tcPr>
          <w:p w14:paraId="55567048" w14:textId="77777777" w:rsidR="008F5183" w:rsidRPr="005151A3" w:rsidRDefault="008F5183" w:rsidP="001E6925">
            <w:pPr>
              <w:jc w:val="center"/>
              <w:rPr>
                <w:rFonts w:ascii="Times" w:eastAsia="Calibri" w:hAnsi="Times" w:cs="Times New Roman"/>
                <w:b/>
                <w:color w:val="000000" w:themeColor="text1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14738BAF" w14:textId="77777777" w:rsidTr="001E6925">
        <w:tc>
          <w:tcPr>
            <w:tcW w:w="2389" w:type="dxa"/>
            <w:vMerge/>
            <w:vAlign w:val="center"/>
          </w:tcPr>
          <w:p w14:paraId="5943AFE2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4BF469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50" w:type="dxa"/>
            <w:vAlign w:val="center"/>
          </w:tcPr>
          <w:p w14:paraId="090418B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D35536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0.0%</w:t>
            </w:r>
          </w:p>
        </w:tc>
        <w:tc>
          <w:tcPr>
            <w:tcW w:w="993" w:type="dxa"/>
            <w:vAlign w:val="center"/>
          </w:tcPr>
          <w:p w14:paraId="01CECE8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222" w:type="dxa"/>
            <w:vAlign w:val="center"/>
          </w:tcPr>
          <w:p w14:paraId="75D6A93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14.9%</w:t>
            </w:r>
          </w:p>
        </w:tc>
        <w:tc>
          <w:tcPr>
            <w:tcW w:w="1613" w:type="dxa"/>
            <w:vMerge/>
            <w:vAlign w:val="center"/>
          </w:tcPr>
          <w:p w14:paraId="4725E94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04C0BCDE" w14:textId="77777777" w:rsidTr="001E6925">
        <w:tc>
          <w:tcPr>
            <w:tcW w:w="2389" w:type="dxa"/>
            <w:vMerge w:val="restart"/>
            <w:vAlign w:val="center"/>
          </w:tcPr>
          <w:p w14:paraId="2FC27D3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Need for Mechanical Ventilation</w:t>
            </w:r>
          </w:p>
        </w:tc>
        <w:tc>
          <w:tcPr>
            <w:tcW w:w="1418" w:type="dxa"/>
            <w:vAlign w:val="center"/>
          </w:tcPr>
          <w:p w14:paraId="534A42C7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50" w:type="dxa"/>
            <w:vAlign w:val="center"/>
          </w:tcPr>
          <w:p w14:paraId="62F0B50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1134" w:type="dxa"/>
            <w:vAlign w:val="center"/>
          </w:tcPr>
          <w:p w14:paraId="475E3E4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66.4%</w:t>
            </w:r>
          </w:p>
        </w:tc>
        <w:tc>
          <w:tcPr>
            <w:tcW w:w="993" w:type="dxa"/>
            <w:vAlign w:val="center"/>
          </w:tcPr>
          <w:p w14:paraId="058867D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222" w:type="dxa"/>
            <w:vAlign w:val="center"/>
          </w:tcPr>
          <w:p w14:paraId="5D03629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48.6%</w:t>
            </w:r>
          </w:p>
        </w:tc>
        <w:tc>
          <w:tcPr>
            <w:tcW w:w="1613" w:type="dxa"/>
            <w:vMerge w:val="restart"/>
            <w:vAlign w:val="center"/>
          </w:tcPr>
          <w:p w14:paraId="65EB08E2" w14:textId="77777777" w:rsidR="008F5183" w:rsidRPr="005151A3" w:rsidRDefault="008F5183" w:rsidP="001E6925">
            <w:pPr>
              <w:jc w:val="center"/>
              <w:rPr>
                <w:rFonts w:ascii="Times" w:eastAsia="Calibri" w:hAnsi="Times" w:cs="Times New Roman"/>
                <w:b/>
                <w:color w:val="000000" w:themeColor="text1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406473DC" w14:textId="77777777" w:rsidTr="001E6925">
        <w:tc>
          <w:tcPr>
            <w:tcW w:w="2389" w:type="dxa"/>
            <w:vMerge/>
            <w:vAlign w:val="center"/>
          </w:tcPr>
          <w:p w14:paraId="711A404D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721B7E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NIMV</w:t>
            </w:r>
          </w:p>
        </w:tc>
        <w:tc>
          <w:tcPr>
            <w:tcW w:w="850" w:type="dxa"/>
            <w:vAlign w:val="center"/>
          </w:tcPr>
          <w:p w14:paraId="039891A7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center"/>
          </w:tcPr>
          <w:p w14:paraId="0F1875C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25.6%</w:t>
            </w:r>
          </w:p>
        </w:tc>
        <w:tc>
          <w:tcPr>
            <w:tcW w:w="993" w:type="dxa"/>
            <w:vAlign w:val="center"/>
          </w:tcPr>
          <w:p w14:paraId="386A4EE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222" w:type="dxa"/>
            <w:vAlign w:val="center"/>
          </w:tcPr>
          <w:p w14:paraId="6161829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46.4%</w:t>
            </w:r>
          </w:p>
        </w:tc>
        <w:tc>
          <w:tcPr>
            <w:tcW w:w="1613" w:type="dxa"/>
            <w:vMerge/>
            <w:vAlign w:val="center"/>
          </w:tcPr>
          <w:p w14:paraId="74DC3ED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6B7ABFDA" w14:textId="77777777" w:rsidTr="001E6925">
        <w:tc>
          <w:tcPr>
            <w:tcW w:w="2389" w:type="dxa"/>
            <w:vMerge/>
            <w:vAlign w:val="center"/>
          </w:tcPr>
          <w:p w14:paraId="68BD952A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C1048B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 xml:space="preserve"> IMV</w:t>
            </w:r>
          </w:p>
        </w:tc>
        <w:tc>
          <w:tcPr>
            <w:tcW w:w="850" w:type="dxa"/>
            <w:vAlign w:val="center"/>
          </w:tcPr>
          <w:p w14:paraId="27C29A3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6FA385AC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8.1%</w:t>
            </w:r>
          </w:p>
        </w:tc>
        <w:tc>
          <w:tcPr>
            <w:tcW w:w="993" w:type="dxa"/>
            <w:vAlign w:val="center"/>
          </w:tcPr>
          <w:p w14:paraId="6F4C192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22" w:type="dxa"/>
            <w:vAlign w:val="center"/>
          </w:tcPr>
          <w:p w14:paraId="556F0A1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5.0%</w:t>
            </w:r>
          </w:p>
        </w:tc>
        <w:tc>
          <w:tcPr>
            <w:tcW w:w="1613" w:type="dxa"/>
            <w:vMerge/>
            <w:vAlign w:val="center"/>
          </w:tcPr>
          <w:p w14:paraId="1FE33BD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19948FC6" w14:textId="77777777" w:rsidTr="001E6925">
        <w:tc>
          <w:tcPr>
            <w:tcW w:w="2389" w:type="dxa"/>
            <w:vMerge w:val="restart"/>
            <w:vAlign w:val="center"/>
          </w:tcPr>
          <w:p w14:paraId="5F1F02D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Use of Psychotropic/Sedative Medication in ICU</w:t>
            </w:r>
          </w:p>
        </w:tc>
        <w:tc>
          <w:tcPr>
            <w:tcW w:w="1418" w:type="dxa"/>
            <w:vAlign w:val="center"/>
          </w:tcPr>
          <w:p w14:paraId="43BD84B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50" w:type="dxa"/>
            <w:vAlign w:val="center"/>
          </w:tcPr>
          <w:p w14:paraId="589955A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  <w:vAlign w:val="center"/>
          </w:tcPr>
          <w:p w14:paraId="0D785E4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90.0%</w:t>
            </w:r>
          </w:p>
        </w:tc>
        <w:tc>
          <w:tcPr>
            <w:tcW w:w="993" w:type="dxa"/>
            <w:vAlign w:val="center"/>
          </w:tcPr>
          <w:p w14:paraId="5DC4DB59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132</w:t>
            </w:r>
          </w:p>
        </w:tc>
        <w:tc>
          <w:tcPr>
            <w:tcW w:w="1222" w:type="dxa"/>
            <w:vAlign w:val="center"/>
          </w:tcPr>
          <w:p w14:paraId="641FC93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72.9%</w:t>
            </w:r>
          </w:p>
        </w:tc>
        <w:tc>
          <w:tcPr>
            <w:tcW w:w="1613" w:type="dxa"/>
            <w:vMerge w:val="restart"/>
            <w:vAlign w:val="center"/>
          </w:tcPr>
          <w:p w14:paraId="3276FB54" w14:textId="77777777" w:rsidR="008F5183" w:rsidRPr="005151A3" w:rsidRDefault="008F5183" w:rsidP="001E6925">
            <w:pPr>
              <w:jc w:val="center"/>
              <w:rPr>
                <w:rFonts w:ascii="Times" w:eastAsia="Calibri" w:hAnsi="Times" w:cs="Times New Roman"/>
                <w:b/>
                <w:color w:val="000000" w:themeColor="text1"/>
              </w:rPr>
            </w:pPr>
            <w:r w:rsidRPr="005151A3">
              <w:rPr>
                <w:rFonts w:ascii="Times" w:eastAsia="Calibri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5386519D" w14:textId="77777777" w:rsidTr="001E6925">
        <w:tc>
          <w:tcPr>
            <w:tcW w:w="2389" w:type="dxa"/>
            <w:vMerge/>
            <w:vAlign w:val="center"/>
          </w:tcPr>
          <w:p w14:paraId="735C52A1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7DAD11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50" w:type="dxa"/>
            <w:vAlign w:val="center"/>
          </w:tcPr>
          <w:p w14:paraId="6093464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14:paraId="0CFBE81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10.0%</w:t>
            </w:r>
          </w:p>
        </w:tc>
        <w:tc>
          <w:tcPr>
            <w:tcW w:w="993" w:type="dxa"/>
            <w:vAlign w:val="center"/>
          </w:tcPr>
          <w:p w14:paraId="37045D9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222" w:type="dxa"/>
            <w:vAlign w:val="center"/>
          </w:tcPr>
          <w:p w14:paraId="3D87B83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27.1%</w:t>
            </w:r>
          </w:p>
        </w:tc>
        <w:tc>
          <w:tcPr>
            <w:tcW w:w="1613" w:type="dxa"/>
            <w:vMerge/>
            <w:vAlign w:val="center"/>
          </w:tcPr>
          <w:p w14:paraId="1AB2AC3D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0AFB6924" w14:textId="77777777" w:rsidTr="001E6925">
        <w:tc>
          <w:tcPr>
            <w:tcW w:w="2389" w:type="dxa"/>
            <w:vMerge w:val="restart"/>
            <w:vAlign w:val="center"/>
          </w:tcPr>
          <w:p w14:paraId="62F5C96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151A3">
              <w:rPr>
                <w:rFonts w:ascii="Times New Roman" w:hAnsi="Times New Roman" w:cs="Times New Roman"/>
                <w:color w:val="000000" w:themeColor="text1"/>
              </w:rPr>
              <w:t>Area followed in ICU</w:t>
            </w:r>
          </w:p>
        </w:tc>
        <w:tc>
          <w:tcPr>
            <w:tcW w:w="1418" w:type="dxa"/>
            <w:vAlign w:val="center"/>
          </w:tcPr>
          <w:p w14:paraId="0A3B63C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 xml:space="preserve">Arena </w:t>
            </w:r>
          </w:p>
        </w:tc>
        <w:tc>
          <w:tcPr>
            <w:tcW w:w="850" w:type="dxa"/>
            <w:vAlign w:val="center"/>
          </w:tcPr>
          <w:p w14:paraId="2370C05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164</w:t>
            </w:r>
          </w:p>
        </w:tc>
        <w:tc>
          <w:tcPr>
            <w:tcW w:w="1134" w:type="dxa"/>
            <w:vAlign w:val="center"/>
          </w:tcPr>
          <w:p w14:paraId="378E74C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77.7%</w:t>
            </w:r>
          </w:p>
        </w:tc>
        <w:tc>
          <w:tcPr>
            <w:tcW w:w="993" w:type="dxa"/>
            <w:vAlign w:val="center"/>
          </w:tcPr>
          <w:p w14:paraId="6F24086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1222" w:type="dxa"/>
            <w:vAlign w:val="center"/>
          </w:tcPr>
          <w:p w14:paraId="54645EF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76.2%</w:t>
            </w:r>
          </w:p>
        </w:tc>
        <w:tc>
          <w:tcPr>
            <w:tcW w:w="1613" w:type="dxa"/>
            <w:vMerge w:val="restart"/>
            <w:vAlign w:val="center"/>
          </w:tcPr>
          <w:p w14:paraId="299D1A0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0.728</w:t>
            </w:r>
          </w:p>
        </w:tc>
      </w:tr>
      <w:tr w:rsidR="008F5183" w:rsidRPr="005151A3" w14:paraId="60C421B0" w14:textId="77777777" w:rsidTr="001E6925">
        <w:tc>
          <w:tcPr>
            <w:tcW w:w="2389" w:type="dxa"/>
            <w:vMerge/>
            <w:vAlign w:val="center"/>
          </w:tcPr>
          <w:p w14:paraId="69FD3635" w14:textId="77777777" w:rsidR="008F5183" w:rsidRPr="005151A3" w:rsidRDefault="008F5183" w:rsidP="001E69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2158EE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color w:val="000000" w:themeColor="text1"/>
              </w:rPr>
              <w:t>Isolated Room</w:t>
            </w:r>
          </w:p>
        </w:tc>
        <w:tc>
          <w:tcPr>
            <w:tcW w:w="850" w:type="dxa"/>
            <w:vAlign w:val="center"/>
          </w:tcPr>
          <w:p w14:paraId="00192E1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center"/>
          </w:tcPr>
          <w:p w14:paraId="6109AB8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22.3%</w:t>
            </w:r>
          </w:p>
        </w:tc>
        <w:tc>
          <w:tcPr>
            <w:tcW w:w="993" w:type="dxa"/>
            <w:vAlign w:val="center"/>
          </w:tcPr>
          <w:p w14:paraId="4B053F7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222" w:type="dxa"/>
            <w:vAlign w:val="center"/>
          </w:tcPr>
          <w:p w14:paraId="2360AA4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  <w:t>23.8%</w:t>
            </w:r>
          </w:p>
        </w:tc>
        <w:tc>
          <w:tcPr>
            <w:tcW w:w="1613" w:type="dxa"/>
            <w:vMerge/>
            <w:vAlign w:val="center"/>
          </w:tcPr>
          <w:p w14:paraId="4E71047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2DB6E50C" w14:textId="77777777" w:rsidTr="001E6925">
        <w:trPr>
          <w:trHeight w:val="348"/>
        </w:trPr>
        <w:tc>
          <w:tcPr>
            <w:tcW w:w="3807" w:type="dxa"/>
            <w:gridSpan w:val="2"/>
            <w:vAlign w:val="center"/>
          </w:tcPr>
          <w:p w14:paraId="5F4D577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3520899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Times New Roman"/>
                <w:b/>
                <w:color w:val="000000" w:themeColor="text1"/>
                <w:sz w:val="20"/>
                <w:szCs w:val="20"/>
              </w:rPr>
              <w:t>median (P25, P75)</w:t>
            </w:r>
          </w:p>
        </w:tc>
        <w:tc>
          <w:tcPr>
            <w:tcW w:w="2215" w:type="dxa"/>
            <w:gridSpan w:val="2"/>
            <w:shd w:val="clear" w:color="auto" w:fill="FFFFFF" w:themeFill="background1"/>
            <w:vAlign w:val="center"/>
          </w:tcPr>
          <w:p w14:paraId="3C4AD27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b/>
                <w:color w:val="000000" w:themeColor="text1"/>
                <w:sz w:val="20"/>
                <w:szCs w:val="20"/>
              </w:rPr>
            </w:pPr>
            <w:r w:rsidRPr="005151A3">
              <w:rPr>
                <w:rFonts w:ascii="Times" w:hAnsi="Times" w:cs="Times New Roman"/>
                <w:b/>
                <w:color w:val="000000" w:themeColor="text1"/>
                <w:sz w:val="20"/>
                <w:szCs w:val="20"/>
              </w:rPr>
              <w:t>median (P25, P75)</w:t>
            </w:r>
          </w:p>
        </w:tc>
        <w:tc>
          <w:tcPr>
            <w:tcW w:w="1613" w:type="dxa"/>
            <w:vAlign w:val="center"/>
          </w:tcPr>
          <w:p w14:paraId="1D785DE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8F5183" w:rsidRPr="005151A3" w14:paraId="607D7B1F" w14:textId="77777777" w:rsidTr="001E6925">
        <w:tc>
          <w:tcPr>
            <w:tcW w:w="3807" w:type="dxa"/>
            <w:gridSpan w:val="2"/>
            <w:vAlign w:val="center"/>
          </w:tcPr>
          <w:p w14:paraId="5C7DC27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t>Age</w:t>
            </w:r>
          </w:p>
        </w:tc>
        <w:tc>
          <w:tcPr>
            <w:tcW w:w="1984" w:type="dxa"/>
            <w:gridSpan w:val="2"/>
            <w:vAlign w:val="center"/>
          </w:tcPr>
          <w:p w14:paraId="5F99550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66.00(54.00-74.00)</w:t>
            </w:r>
          </w:p>
        </w:tc>
        <w:tc>
          <w:tcPr>
            <w:tcW w:w="2215" w:type="dxa"/>
            <w:gridSpan w:val="2"/>
            <w:vAlign w:val="center"/>
          </w:tcPr>
          <w:p w14:paraId="185F973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69.00(59.00-82.00)</w:t>
            </w:r>
          </w:p>
        </w:tc>
        <w:tc>
          <w:tcPr>
            <w:tcW w:w="1613" w:type="dxa"/>
            <w:vAlign w:val="center"/>
          </w:tcPr>
          <w:p w14:paraId="26387F6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42F370E4" w14:textId="77777777" w:rsidTr="001E6925">
        <w:tc>
          <w:tcPr>
            <w:tcW w:w="3807" w:type="dxa"/>
            <w:gridSpan w:val="2"/>
            <w:vAlign w:val="center"/>
          </w:tcPr>
          <w:p w14:paraId="48E93E23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t>APACHE-II</w:t>
            </w:r>
          </w:p>
        </w:tc>
        <w:tc>
          <w:tcPr>
            <w:tcW w:w="1984" w:type="dxa"/>
            <w:gridSpan w:val="2"/>
            <w:vAlign w:val="center"/>
          </w:tcPr>
          <w:p w14:paraId="3701917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18.00(15.00-23.00)</w:t>
            </w:r>
          </w:p>
        </w:tc>
        <w:tc>
          <w:tcPr>
            <w:tcW w:w="2215" w:type="dxa"/>
            <w:gridSpan w:val="2"/>
            <w:vAlign w:val="center"/>
          </w:tcPr>
          <w:p w14:paraId="523575E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23.00(16.00-28.00)</w:t>
            </w:r>
          </w:p>
        </w:tc>
        <w:tc>
          <w:tcPr>
            <w:tcW w:w="1613" w:type="dxa"/>
            <w:vAlign w:val="center"/>
          </w:tcPr>
          <w:p w14:paraId="67F87D7F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0DB4351D" w14:textId="77777777" w:rsidTr="001E6925">
        <w:tc>
          <w:tcPr>
            <w:tcW w:w="3807" w:type="dxa"/>
            <w:gridSpan w:val="2"/>
            <w:vAlign w:val="center"/>
          </w:tcPr>
          <w:p w14:paraId="103EA90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t>Duration of Psychiatric Disorder (years)</w:t>
            </w:r>
          </w:p>
        </w:tc>
        <w:tc>
          <w:tcPr>
            <w:tcW w:w="1984" w:type="dxa"/>
            <w:gridSpan w:val="2"/>
            <w:vAlign w:val="center"/>
          </w:tcPr>
          <w:p w14:paraId="4EE849D6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10.00(5.00-11.50)</w:t>
            </w:r>
          </w:p>
        </w:tc>
        <w:tc>
          <w:tcPr>
            <w:tcW w:w="2215" w:type="dxa"/>
            <w:gridSpan w:val="2"/>
            <w:vAlign w:val="center"/>
          </w:tcPr>
          <w:p w14:paraId="4065891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4.00(3.00-5.00)</w:t>
            </w:r>
          </w:p>
        </w:tc>
        <w:tc>
          <w:tcPr>
            <w:tcW w:w="1613" w:type="dxa"/>
            <w:vAlign w:val="center"/>
          </w:tcPr>
          <w:p w14:paraId="1248CB84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F5183" w:rsidRPr="005151A3" w14:paraId="7886467B" w14:textId="77777777" w:rsidTr="001E6925">
        <w:tc>
          <w:tcPr>
            <w:tcW w:w="3807" w:type="dxa"/>
            <w:gridSpan w:val="2"/>
            <w:vAlign w:val="center"/>
          </w:tcPr>
          <w:p w14:paraId="556648D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Duration of Psychotropic/Sedative Drug Use in ICU (hours)</w:t>
            </w:r>
          </w:p>
        </w:tc>
        <w:tc>
          <w:tcPr>
            <w:tcW w:w="1984" w:type="dxa"/>
            <w:gridSpan w:val="2"/>
            <w:vAlign w:val="center"/>
          </w:tcPr>
          <w:p w14:paraId="50044501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0(0-0)</w:t>
            </w:r>
          </w:p>
        </w:tc>
        <w:tc>
          <w:tcPr>
            <w:tcW w:w="2215" w:type="dxa"/>
            <w:gridSpan w:val="2"/>
            <w:vAlign w:val="center"/>
          </w:tcPr>
          <w:p w14:paraId="4ED8115A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0(0-12.00)</w:t>
            </w:r>
          </w:p>
        </w:tc>
        <w:tc>
          <w:tcPr>
            <w:tcW w:w="1613" w:type="dxa"/>
            <w:vAlign w:val="center"/>
          </w:tcPr>
          <w:p w14:paraId="521E894E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0.641</w:t>
            </w:r>
          </w:p>
        </w:tc>
      </w:tr>
      <w:tr w:rsidR="008F5183" w:rsidRPr="005151A3" w14:paraId="09B09D00" w14:textId="77777777" w:rsidTr="001E6925">
        <w:tc>
          <w:tcPr>
            <w:tcW w:w="3807" w:type="dxa"/>
            <w:gridSpan w:val="2"/>
            <w:vAlign w:val="center"/>
          </w:tcPr>
          <w:p w14:paraId="524AD20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151A3">
              <w:rPr>
                <w:rFonts w:ascii="Times New Roman" w:eastAsia="Calibri" w:hAnsi="Times New Roman" w:cs="Times New Roman"/>
                <w:b/>
                <w:color w:val="000000" w:themeColor="text1"/>
              </w:rPr>
              <w:t>Length of ICU Stay (days)</w:t>
            </w:r>
          </w:p>
        </w:tc>
        <w:tc>
          <w:tcPr>
            <w:tcW w:w="1984" w:type="dxa"/>
            <w:gridSpan w:val="2"/>
            <w:vAlign w:val="center"/>
          </w:tcPr>
          <w:p w14:paraId="1B67F50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4.00(3.00-7.00)</w:t>
            </w:r>
          </w:p>
        </w:tc>
        <w:tc>
          <w:tcPr>
            <w:tcW w:w="2215" w:type="dxa"/>
            <w:gridSpan w:val="2"/>
            <w:vAlign w:val="center"/>
          </w:tcPr>
          <w:p w14:paraId="7E3057B2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5.00(3.00-7.00)</w:t>
            </w:r>
          </w:p>
        </w:tc>
        <w:tc>
          <w:tcPr>
            <w:tcW w:w="1613" w:type="dxa"/>
            <w:vAlign w:val="center"/>
          </w:tcPr>
          <w:p w14:paraId="1FA14A6B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0.175</w:t>
            </w:r>
          </w:p>
        </w:tc>
      </w:tr>
      <w:tr w:rsidR="008F5183" w:rsidRPr="005151A3" w14:paraId="718C3FDD" w14:textId="77777777" w:rsidTr="001E6925">
        <w:trPr>
          <w:trHeight w:val="650"/>
        </w:trPr>
        <w:tc>
          <w:tcPr>
            <w:tcW w:w="9619" w:type="dxa"/>
            <w:gridSpan w:val="7"/>
          </w:tcPr>
          <w:p w14:paraId="5783D055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</w:pPr>
            <w:r w:rsidRPr="005151A3"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  <w:t>ICU: Intensive Care Unit; MV: Mechanical Ventilation; NIMV: Non-Invasive Mechanical Ventilation; IMV: Invasive Mechanical Ventilation; APACHE-II: Acute Physiology and Chronic Health Evaluation-II</w:t>
            </w:r>
          </w:p>
          <w:p w14:paraId="76DC23B8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</w:pPr>
            <w:r w:rsidRPr="005151A3"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  <w:t xml:space="preserve">Categorical variables are presented as frequency (percentage). Variables were compared using Pearson’s chi-square test or </w:t>
            </w:r>
            <w:r w:rsidRPr="005151A3">
              <w:rPr>
                <w:rFonts w:ascii="Times New Roman" w:hAnsi="Times New Roman" w:cs="Times New Roman"/>
                <w:i/>
                <w:color w:val="000000" w:themeColor="text1"/>
              </w:rPr>
              <w:t>Fisher’s</w:t>
            </w:r>
            <w:r w:rsidRPr="005151A3"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  <w:t xml:space="preserve"> exact test. Statistically significant p-values are in bold</w:t>
            </w:r>
          </w:p>
          <w:p w14:paraId="765337B0" w14:textId="77777777" w:rsidR="008F5183" w:rsidRPr="005151A3" w:rsidRDefault="008F5183" w:rsidP="001E692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" w:eastAsia="Calibri" w:hAnsi="Times" w:cs="Times New Roman"/>
                <w:color w:val="000000" w:themeColor="text1"/>
                <w:sz w:val="18"/>
                <w:szCs w:val="18"/>
              </w:rPr>
            </w:pPr>
            <w:r w:rsidRPr="005151A3">
              <w:rPr>
                <w:rFonts w:ascii="Times" w:hAnsi="Times" w:cs="Times New Roman"/>
                <w:b/>
                <w:i/>
                <w:color w:val="000000" w:themeColor="text1"/>
                <w:sz w:val="20"/>
              </w:rPr>
              <w:t>Continuous variables are expressed as median (persentile 25-persentle 75). Variables were compared with Mann-Whitney U test. Statistically significant p-values are in bold.</w:t>
            </w:r>
          </w:p>
        </w:tc>
      </w:tr>
    </w:tbl>
    <w:p w14:paraId="2C7AF4E7" w14:textId="77777777" w:rsidR="008F5183" w:rsidRPr="005151A3" w:rsidRDefault="008F5183" w:rsidP="008F5183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2383A82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98"/>
    <w:rsid w:val="000C4033"/>
    <w:rsid w:val="00173ED8"/>
    <w:rsid w:val="002F50B1"/>
    <w:rsid w:val="004B42CB"/>
    <w:rsid w:val="004D0615"/>
    <w:rsid w:val="005F2B46"/>
    <w:rsid w:val="006B4E98"/>
    <w:rsid w:val="006E1731"/>
    <w:rsid w:val="00866D74"/>
    <w:rsid w:val="00882A73"/>
    <w:rsid w:val="008F518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E408"/>
  <w15:chartTrackingRefBased/>
  <w15:docId w15:val="{2280CF02-F1F6-4AEE-8D28-467ED9A6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98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E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E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E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E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E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E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E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E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E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E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E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4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4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E9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4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E9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4E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E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E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E9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2026-07-07T12:34:00Z</dcterms:created>
  <dcterms:modified xsi:type="dcterms:W3CDTF">2026-07-07T12:36:00Z</dcterms:modified>
</cp:coreProperties>
</file>